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73384" w14:textId="77777777" w:rsidR="00930701" w:rsidRPr="00401BE4" w:rsidRDefault="00930701">
      <w:pPr>
        <w:rPr>
          <w:rFonts w:ascii="Times New Roman" w:hAnsi="Times New Roman" w:cs="Times New Roman"/>
        </w:rPr>
        <w:sectPr w:rsidR="00930701" w:rsidRPr="00401BE4">
          <w:headerReference w:type="default" r:id="rId8"/>
          <w:footerReference w:type="default" r:id="rId9"/>
          <w:type w:val="continuous"/>
          <w:pgSz w:w="11906" w:h="16838"/>
          <w:pgMar w:top="1418" w:right="1418" w:bottom="1418" w:left="1418" w:header="709" w:footer="709" w:gutter="0"/>
          <w:cols w:space="720"/>
          <w:formProt w:val="0"/>
          <w:docGrid w:linePitch="100" w:charSpace="4096"/>
        </w:sectPr>
      </w:pPr>
    </w:p>
    <w:p w14:paraId="0DF0414D" w14:textId="77777777" w:rsidR="00930701" w:rsidRPr="00401BE4" w:rsidRDefault="00930701" w:rsidP="00401BE4">
      <w:pPr>
        <w:spacing w:after="0" w:line="360" w:lineRule="auto"/>
        <w:rPr>
          <w:rFonts w:ascii="Times New Roman" w:eastAsia="Arial" w:hAnsi="Times New Roman" w:cs="Times New Roman"/>
          <w:b/>
          <w:sz w:val="24"/>
          <w:szCs w:val="24"/>
        </w:rPr>
      </w:pPr>
    </w:p>
    <w:p w14:paraId="5505D427" w14:textId="33C0B43B" w:rsidR="00930701" w:rsidRPr="00401BE4" w:rsidRDefault="00EE4DFF">
      <w:pPr>
        <w:spacing w:after="0" w:line="36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DESEMPENHO PRODUTIVO DE FRANGOS DE CORTE ALIMENTADOS COM PÓLEN APÍCOLA DOS 8 AOS 42 DIAS DE IDADE</w:t>
      </w:r>
    </w:p>
    <w:p w14:paraId="5BA8CA50" w14:textId="5EB38652" w:rsidR="00930701" w:rsidRPr="00401BE4" w:rsidRDefault="00486485">
      <w:pPr>
        <w:spacing w:after="0" w:line="360" w:lineRule="auto"/>
        <w:jc w:val="both"/>
        <w:rPr>
          <w:rFonts w:ascii="Times New Roman" w:eastAsia="Arial" w:hAnsi="Times New Roman" w:cs="Times New Roman"/>
          <w:sz w:val="20"/>
          <w:szCs w:val="20"/>
        </w:rPr>
      </w:pPr>
      <w:r w:rsidRPr="00401BE4">
        <w:rPr>
          <w:rFonts w:ascii="Times New Roman" w:eastAsia="Arial" w:hAnsi="Times New Roman" w:cs="Times New Roman"/>
          <w:sz w:val="24"/>
          <w:szCs w:val="24"/>
        </w:rPr>
        <w:t xml:space="preserve">                                          </w:t>
      </w:r>
    </w:p>
    <w:p w14:paraId="75663959" w14:textId="21341A65" w:rsidR="00930701" w:rsidRPr="00185C18" w:rsidRDefault="00486485">
      <w:pPr>
        <w:spacing w:after="0" w:line="360" w:lineRule="auto"/>
        <w:jc w:val="center"/>
        <w:rPr>
          <w:rFonts w:ascii="Times New Roman" w:eastAsia="Arial" w:hAnsi="Times New Roman" w:cs="Times New Roman"/>
          <w:sz w:val="24"/>
          <w:szCs w:val="24"/>
          <w:vertAlign w:val="superscript"/>
        </w:rPr>
      </w:pPr>
      <w:r w:rsidRPr="00401BE4">
        <w:rPr>
          <w:rFonts w:ascii="Times New Roman" w:eastAsia="Arial" w:hAnsi="Times New Roman" w:cs="Times New Roman"/>
          <w:b/>
          <w:sz w:val="24"/>
          <w:szCs w:val="24"/>
        </w:rPr>
        <w:t>SILVA</w:t>
      </w:r>
      <w:r w:rsidRPr="00401BE4">
        <w:rPr>
          <w:rFonts w:ascii="Times New Roman" w:eastAsia="Arial" w:hAnsi="Times New Roman" w:cs="Times New Roman"/>
          <w:sz w:val="24"/>
          <w:szCs w:val="24"/>
        </w:rPr>
        <w:t xml:space="preserve">, </w:t>
      </w:r>
      <w:proofErr w:type="spellStart"/>
      <w:r w:rsidR="00EE4DFF">
        <w:rPr>
          <w:rFonts w:ascii="Times New Roman" w:eastAsia="Arial" w:hAnsi="Times New Roman" w:cs="Times New Roman"/>
          <w:sz w:val="24"/>
          <w:szCs w:val="24"/>
        </w:rPr>
        <w:t>Lyvia</w:t>
      </w:r>
      <w:proofErr w:type="spellEnd"/>
      <w:r w:rsidR="00EE4DFF">
        <w:rPr>
          <w:rFonts w:ascii="Times New Roman" w:eastAsia="Arial" w:hAnsi="Times New Roman" w:cs="Times New Roman"/>
          <w:sz w:val="24"/>
          <w:szCs w:val="24"/>
        </w:rPr>
        <w:t xml:space="preserve"> de Paiva</w:t>
      </w:r>
      <w:r w:rsidRPr="00401BE4">
        <w:rPr>
          <w:rStyle w:val="ncoradanotaderodap"/>
          <w:rFonts w:ascii="Times New Roman" w:eastAsia="Arial" w:hAnsi="Times New Roman" w:cs="Times New Roman"/>
          <w:sz w:val="24"/>
          <w:szCs w:val="24"/>
        </w:rPr>
        <w:footnoteReference w:id="1"/>
      </w:r>
      <w:r w:rsidRPr="00401BE4">
        <w:rPr>
          <w:rFonts w:ascii="Times New Roman" w:eastAsia="Arial" w:hAnsi="Times New Roman" w:cs="Times New Roman"/>
          <w:sz w:val="24"/>
          <w:szCs w:val="24"/>
        </w:rPr>
        <w:t xml:space="preserve">; </w:t>
      </w:r>
      <w:r w:rsidR="00EE4DFF">
        <w:rPr>
          <w:rFonts w:ascii="Times New Roman" w:eastAsia="Arial" w:hAnsi="Times New Roman" w:cs="Times New Roman"/>
          <w:b/>
          <w:sz w:val="24"/>
          <w:szCs w:val="24"/>
        </w:rPr>
        <w:t>Vaz</w:t>
      </w:r>
      <w:r w:rsidRPr="00401BE4">
        <w:rPr>
          <w:rFonts w:ascii="Times New Roman" w:eastAsia="Arial" w:hAnsi="Times New Roman" w:cs="Times New Roman"/>
          <w:sz w:val="24"/>
          <w:szCs w:val="24"/>
        </w:rPr>
        <w:t xml:space="preserve">, </w:t>
      </w:r>
      <w:r w:rsidR="00EE4DFF">
        <w:rPr>
          <w:rFonts w:ascii="Times New Roman" w:eastAsia="Arial" w:hAnsi="Times New Roman" w:cs="Times New Roman"/>
          <w:sz w:val="24"/>
          <w:szCs w:val="24"/>
        </w:rPr>
        <w:t>Roberta Gomes Marçal Vieira</w:t>
      </w:r>
      <w:r w:rsidRPr="00401BE4">
        <w:rPr>
          <w:rStyle w:val="ncoradanotaderodap"/>
          <w:rFonts w:ascii="Times New Roman" w:eastAsia="Arial" w:hAnsi="Times New Roman" w:cs="Times New Roman"/>
          <w:sz w:val="24"/>
          <w:szCs w:val="24"/>
        </w:rPr>
        <w:footnoteReference w:id="2"/>
      </w:r>
      <w:r w:rsidRPr="00401BE4">
        <w:rPr>
          <w:rFonts w:ascii="Times New Roman" w:eastAsia="Arial" w:hAnsi="Times New Roman" w:cs="Times New Roman"/>
          <w:sz w:val="24"/>
          <w:szCs w:val="24"/>
        </w:rPr>
        <w:t xml:space="preserve">; </w:t>
      </w:r>
      <w:r w:rsidR="00EE4DFF">
        <w:rPr>
          <w:rFonts w:ascii="Times New Roman" w:eastAsia="Arial" w:hAnsi="Times New Roman" w:cs="Times New Roman"/>
          <w:b/>
          <w:sz w:val="24"/>
          <w:szCs w:val="24"/>
        </w:rPr>
        <w:t>Silva</w:t>
      </w:r>
      <w:r w:rsidRPr="00401BE4">
        <w:rPr>
          <w:rFonts w:ascii="Times New Roman" w:eastAsia="Arial" w:hAnsi="Times New Roman" w:cs="Times New Roman"/>
          <w:sz w:val="24"/>
          <w:szCs w:val="24"/>
        </w:rPr>
        <w:t xml:space="preserve">, </w:t>
      </w:r>
      <w:r w:rsidR="00EE4DFF">
        <w:rPr>
          <w:rFonts w:ascii="Times New Roman" w:eastAsia="Arial" w:hAnsi="Times New Roman" w:cs="Times New Roman"/>
          <w:sz w:val="24"/>
          <w:szCs w:val="24"/>
        </w:rPr>
        <w:t>Mônica Calixto</w:t>
      </w:r>
      <w:r w:rsidRPr="00401BE4">
        <w:rPr>
          <w:rStyle w:val="ncoradanotaderodap"/>
          <w:rFonts w:ascii="Times New Roman" w:eastAsia="Arial" w:hAnsi="Times New Roman" w:cs="Times New Roman"/>
          <w:sz w:val="24"/>
          <w:szCs w:val="24"/>
        </w:rPr>
        <w:footnoteReference w:id="3"/>
      </w:r>
      <w:r w:rsidR="00EE4DFF">
        <w:rPr>
          <w:rFonts w:ascii="Times New Roman" w:eastAsia="Arial" w:hAnsi="Times New Roman" w:cs="Times New Roman"/>
          <w:sz w:val="24"/>
          <w:szCs w:val="24"/>
        </w:rPr>
        <w:t xml:space="preserve">; </w:t>
      </w:r>
      <w:r w:rsidR="00185C18">
        <w:rPr>
          <w:rFonts w:ascii="Times New Roman" w:eastAsia="Arial" w:hAnsi="Times New Roman" w:cs="Times New Roman"/>
          <w:b/>
          <w:bCs/>
          <w:sz w:val="24"/>
          <w:szCs w:val="24"/>
        </w:rPr>
        <w:t>Bezerra,</w:t>
      </w:r>
      <w:r w:rsidR="00185C18">
        <w:rPr>
          <w:rFonts w:ascii="Times New Roman" w:eastAsia="Arial" w:hAnsi="Times New Roman" w:cs="Times New Roman"/>
          <w:sz w:val="24"/>
          <w:szCs w:val="24"/>
        </w:rPr>
        <w:t xml:space="preserve"> </w:t>
      </w:r>
      <w:proofErr w:type="spellStart"/>
      <w:r w:rsidR="00185C18">
        <w:rPr>
          <w:rFonts w:ascii="Times New Roman" w:eastAsia="Arial" w:hAnsi="Times New Roman" w:cs="Times New Roman"/>
          <w:sz w:val="24"/>
          <w:szCs w:val="24"/>
        </w:rPr>
        <w:t>Latoya</w:t>
      </w:r>
      <w:proofErr w:type="spellEnd"/>
      <w:r w:rsidR="00185C18">
        <w:rPr>
          <w:rFonts w:ascii="Times New Roman" w:eastAsia="Arial" w:hAnsi="Times New Roman" w:cs="Times New Roman"/>
          <w:sz w:val="24"/>
          <w:szCs w:val="24"/>
        </w:rPr>
        <w:t xml:space="preserve"> de Sousa</w:t>
      </w:r>
      <w:r w:rsidR="00185C18">
        <w:rPr>
          <w:rFonts w:ascii="Times New Roman" w:eastAsia="Arial" w:hAnsi="Times New Roman" w:cs="Times New Roman"/>
          <w:sz w:val="24"/>
          <w:szCs w:val="24"/>
          <w:vertAlign w:val="superscript"/>
        </w:rPr>
        <w:t>4</w:t>
      </w:r>
      <w:r w:rsidR="00185C18">
        <w:rPr>
          <w:rFonts w:ascii="Times New Roman" w:eastAsia="Arial" w:hAnsi="Times New Roman" w:cs="Times New Roman"/>
          <w:sz w:val="24"/>
          <w:szCs w:val="24"/>
        </w:rPr>
        <w:t xml:space="preserve">; </w:t>
      </w:r>
      <w:r w:rsidR="00EE4DFF">
        <w:rPr>
          <w:rFonts w:ascii="Times New Roman" w:eastAsia="Arial" w:hAnsi="Times New Roman" w:cs="Times New Roman"/>
          <w:b/>
          <w:bCs/>
          <w:sz w:val="24"/>
          <w:szCs w:val="24"/>
        </w:rPr>
        <w:t>Oliveira</w:t>
      </w:r>
      <w:r w:rsidR="00EE4DFF">
        <w:rPr>
          <w:rFonts w:ascii="Times New Roman" w:eastAsia="Arial" w:hAnsi="Times New Roman" w:cs="Times New Roman"/>
          <w:sz w:val="24"/>
          <w:szCs w:val="24"/>
        </w:rPr>
        <w:t>, Magna Ferreira</w:t>
      </w:r>
      <w:r w:rsidR="00185C18">
        <w:rPr>
          <w:rFonts w:ascii="Times New Roman" w:eastAsia="Arial" w:hAnsi="Times New Roman" w:cs="Times New Roman"/>
          <w:sz w:val="24"/>
          <w:szCs w:val="24"/>
          <w:vertAlign w:val="superscript"/>
        </w:rPr>
        <w:t>5</w:t>
      </w:r>
      <w:r w:rsidR="00EE4DFF">
        <w:rPr>
          <w:rFonts w:ascii="Times New Roman" w:eastAsia="Arial" w:hAnsi="Times New Roman" w:cs="Times New Roman"/>
          <w:sz w:val="24"/>
          <w:szCs w:val="24"/>
        </w:rPr>
        <w:t xml:space="preserve">; </w:t>
      </w:r>
      <w:r w:rsidR="00EE4DFF">
        <w:rPr>
          <w:rFonts w:ascii="Times New Roman" w:eastAsia="Arial" w:hAnsi="Times New Roman" w:cs="Times New Roman"/>
          <w:b/>
          <w:bCs/>
          <w:sz w:val="24"/>
          <w:szCs w:val="24"/>
        </w:rPr>
        <w:t>Junior</w:t>
      </w:r>
      <w:r w:rsidR="00EE4DFF">
        <w:rPr>
          <w:rFonts w:ascii="Times New Roman" w:eastAsia="Arial" w:hAnsi="Times New Roman" w:cs="Times New Roman"/>
          <w:sz w:val="24"/>
          <w:szCs w:val="24"/>
        </w:rPr>
        <w:t xml:space="preserve">, Jerry </w:t>
      </w:r>
      <w:proofErr w:type="spellStart"/>
      <w:r w:rsidR="00EE4DFF">
        <w:rPr>
          <w:rFonts w:ascii="Times New Roman" w:eastAsia="Arial" w:hAnsi="Times New Roman" w:cs="Times New Roman"/>
          <w:sz w:val="24"/>
          <w:szCs w:val="24"/>
        </w:rPr>
        <w:t>Kleube</w:t>
      </w:r>
      <w:proofErr w:type="spellEnd"/>
      <w:r w:rsidR="00EE4DFF">
        <w:rPr>
          <w:rFonts w:ascii="Times New Roman" w:eastAsia="Arial" w:hAnsi="Times New Roman" w:cs="Times New Roman"/>
          <w:sz w:val="24"/>
          <w:szCs w:val="24"/>
        </w:rPr>
        <w:t xml:space="preserve"> </w:t>
      </w:r>
      <w:proofErr w:type="spellStart"/>
      <w:r w:rsidR="00EE4DFF">
        <w:rPr>
          <w:rFonts w:ascii="Times New Roman" w:eastAsia="Arial" w:hAnsi="Times New Roman" w:cs="Times New Roman"/>
          <w:sz w:val="24"/>
          <w:szCs w:val="24"/>
        </w:rPr>
        <w:t>Fêlix</w:t>
      </w:r>
      <w:proofErr w:type="spellEnd"/>
      <w:r w:rsidR="00EE4DFF">
        <w:rPr>
          <w:rFonts w:ascii="Times New Roman" w:eastAsia="Arial" w:hAnsi="Times New Roman" w:cs="Times New Roman"/>
          <w:sz w:val="24"/>
          <w:szCs w:val="24"/>
        </w:rPr>
        <w:t xml:space="preserve"> monteiro</w:t>
      </w:r>
      <w:r w:rsidR="00185C18">
        <w:rPr>
          <w:rFonts w:ascii="Times New Roman" w:eastAsia="Arial" w:hAnsi="Times New Roman" w:cs="Times New Roman"/>
          <w:sz w:val="24"/>
          <w:szCs w:val="24"/>
          <w:vertAlign w:val="superscript"/>
        </w:rPr>
        <w:t>5</w:t>
      </w:r>
    </w:p>
    <w:p w14:paraId="6DB306D0" w14:textId="6D6E1CFD" w:rsidR="00930701" w:rsidRPr="00401BE4" w:rsidRDefault="00486485">
      <w:pPr>
        <w:spacing w:after="0" w:line="360" w:lineRule="auto"/>
        <w:jc w:val="both"/>
        <w:rPr>
          <w:rFonts w:ascii="Times New Roman" w:eastAsia="Arial" w:hAnsi="Times New Roman" w:cs="Times New Roman"/>
          <w:sz w:val="24"/>
          <w:szCs w:val="24"/>
        </w:rPr>
      </w:pPr>
      <w:r w:rsidRPr="00401BE4">
        <w:rPr>
          <w:rFonts w:ascii="Times New Roman" w:eastAsia="Arial" w:hAnsi="Times New Roman" w:cs="Times New Roman"/>
          <w:sz w:val="20"/>
          <w:szCs w:val="20"/>
        </w:rPr>
        <w:t xml:space="preserve">                                                                 </w:t>
      </w:r>
      <w:r w:rsidRPr="00401BE4">
        <w:rPr>
          <w:rFonts w:ascii="Times New Roman" w:eastAsia="Arial" w:hAnsi="Times New Roman" w:cs="Times New Roman"/>
          <w:noProof/>
          <w:sz w:val="20"/>
          <w:szCs w:val="20"/>
        </w:rPr>
        <w:drawing>
          <wp:anchor distT="0" distB="0" distL="114300" distR="114300" simplePos="0" relativeHeight="5" behindDoc="0" locked="0" layoutInCell="0" allowOverlap="1" wp14:anchorId="4A5D8746" wp14:editId="011B64F8">
            <wp:simplePos x="0" y="0"/>
            <wp:positionH relativeFrom="column">
              <wp:posOffset>2927350</wp:posOffset>
            </wp:positionH>
            <wp:positionV relativeFrom="paragraph">
              <wp:posOffset>3175</wp:posOffset>
            </wp:positionV>
            <wp:extent cx="175260" cy="175260"/>
            <wp:effectExtent l="0" t="0" r="0" b="0"/>
            <wp:wrapSquare wrapText="bothSides"/>
            <wp:docPr id="5" name="Figura1" descr="Seta: curva lig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Seta: curva ligeira"/>
                    <pic:cNvPicPr>
                      <a:picLocks noChangeAspect="1" noChangeArrowheads="1"/>
                    </pic:cNvPicPr>
                  </pic:nvPicPr>
                  <pic:blipFill>
                    <a:blip r:embed="rId10"/>
                    <a:stretch>
                      <a:fillRect/>
                    </a:stretch>
                  </pic:blipFill>
                  <pic:spPr bwMode="auto">
                    <a:xfrm>
                      <a:off x="0" y="0"/>
                      <a:ext cx="175260" cy="175260"/>
                    </a:xfrm>
                    <a:prstGeom prst="rect">
                      <a:avLst/>
                    </a:prstGeom>
                  </pic:spPr>
                </pic:pic>
              </a:graphicData>
            </a:graphic>
          </wp:anchor>
        </w:drawing>
      </w:r>
    </w:p>
    <w:p w14:paraId="08194098" w14:textId="77777777" w:rsidR="00930701" w:rsidRPr="00401BE4" w:rsidRDefault="00930701">
      <w:pPr>
        <w:spacing w:after="0" w:line="360" w:lineRule="auto"/>
        <w:jc w:val="both"/>
        <w:rPr>
          <w:rFonts w:ascii="Times New Roman" w:eastAsia="Arial" w:hAnsi="Times New Roman" w:cs="Times New Roman"/>
          <w:sz w:val="24"/>
          <w:szCs w:val="24"/>
        </w:rPr>
      </w:pPr>
    </w:p>
    <w:p w14:paraId="4BCFB167" w14:textId="77777777" w:rsidR="00930701" w:rsidRPr="00401BE4" w:rsidRDefault="00486485">
      <w:pPr>
        <w:widowControl w:val="0"/>
        <w:spacing w:after="0" w:line="360" w:lineRule="auto"/>
        <w:jc w:val="center"/>
        <w:rPr>
          <w:rFonts w:ascii="Times New Roman" w:eastAsia="Arial" w:hAnsi="Times New Roman" w:cs="Times New Roman"/>
          <w:b/>
          <w:sz w:val="24"/>
          <w:szCs w:val="24"/>
        </w:rPr>
      </w:pPr>
      <w:r w:rsidRPr="00401BE4">
        <w:rPr>
          <w:rFonts w:ascii="Times New Roman" w:eastAsia="Arial" w:hAnsi="Times New Roman" w:cs="Times New Roman"/>
          <w:b/>
          <w:sz w:val="24"/>
          <w:szCs w:val="24"/>
        </w:rPr>
        <w:t>RESUMO</w:t>
      </w:r>
    </w:p>
    <w:p w14:paraId="5471BB78" w14:textId="7F0E7182" w:rsidR="00401BE4" w:rsidRPr="00401BE4" w:rsidRDefault="00401BE4" w:rsidP="00401BE4">
      <w:pPr>
        <w:spacing w:after="0" w:line="240" w:lineRule="auto"/>
        <w:ind w:firstLine="720"/>
        <w:jc w:val="both"/>
        <w:rPr>
          <w:rFonts w:ascii="Times New Roman" w:hAnsi="Times New Roman" w:cs="Times New Roman"/>
          <w:sz w:val="24"/>
          <w:szCs w:val="24"/>
        </w:rPr>
      </w:pPr>
      <w:r w:rsidRPr="00401BE4">
        <w:rPr>
          <w:rFonts w:ascii="Times New Roman" w:hAnsi="Times New Roman" w:cs="Times New Roman"/>
          <w:sz w:val="24"/>
          <w:szCs w:val="24"/>
        </w:rPr>
        <w:t>Objetivo</w:t>
      </w:r>
      <w:r w:rsidRPr="00401BE4">
        <w:rPr>
          <w:rFonts w:ascii="Times New Roman" w:hAnsi="Times New Roman" w:cs="Times New Roman"/>
          <w:sz w:val="24"/>
          <w:szCs w:val="24"/>
        </w:rPr>
        <w:t>u-se</w:t>
      </w:r>
      <w:r w:rsidRPr="00401BE4">
        <w:rPr>
          <w:rFonts w:ascii="Times New Roman" w:hAnsi="Times New Roman" w:cs="Times New Roman"/>
          <w:sz w:val="24"/>
          <w:szCs w:val="24"/>
        </w:rPr>
        <w:t xml:space="preserve"> avaliar o desempenho produtivo e qualidade da carne de frangos de corte alimentados com pólen apícola, dos 8 até os 42 dias de idade</w:t>
      </w:r>
      <w:r w:rsidRPr="00401BE4">
        <w:rPr>
          <w:rFonts w:ascii="Times New Roman" w:hAnsi="Times New Roman" w:cs="Times New Roman"/>
          <w:sz w:val="24"/>
          <w:szCs w:val="24"/>
        </w:rPr>
        <w:t xml:space="preserve">. </w:t>
      </w:r>
      <w:r w:rsidRPr="00401BE4">
        <w:rPr>
          <w:rFonts w:ascii="Times New Roman" w:hAnsi="Times New Roman" w:cs="Times New Roman"/>
          <w:sz w:val="24"/>
          <w:szCs w:val="24"/>
        </w:rPr>
        <w:t xml:space="preserve">Foram utilizados 200 pintos de corte, de um dia de idade, machos, da linhagem comercial Cobb 500®, criados até o sétimo dia de vida, de acordo com as recomendações da linhagem. No oitavo dia de idade as aves foram homogeneizadas e os tratamentos distribuídos em um delineamento inteiramente </w:t>
      </w:r>
      <w:proofErr w:type="spellStart"/>
      <w:r w:rsidRPr="00401BE4">
        <w:rPr>
          <w:rFonts w:ascii="Times New Roman" w:hAnsi="Times New Roman" w:cs="Times New Roman"/>
          <w:sz w:val="24"/>
          <w:szCs w:val="24"/>
        </w:rPr>
        <w:t>casualizado</w:t>
      </w:r>
      <w:proofErr w:type="spellEnd"/>
      <w:r w:rsidRPr="00401BE4">
        <w:rPr>
          <w:rFonts w:ascii="Times New Roman" w:hAnsi="Times New Roman" w:cs="Times New Roman"/>
          <w:sz w:val="24"/>
          <w:szCs w:val="24"/>
        </w:rPr>
        <w:t xml:space="preserve"> (DIC), com cinco tratamentos, T1: Controle positivo com adição do promotor de crescimento, T2: Controle negativo sem adição do promotor de crescimento, T3: 2, T4: 4, T5: 6 (g de pólen apícola/Kg de ração) e 4 repetições de 10 aves por unidade experimental. As dietas experimentais foram calculadas considerando as exigências nutricionais, de acordo com as recomendações de </w:t>
      </w:r>
      <w:proofErr w:type="spellStart"/>
      <w:r w:rsidRPr="00401BE4">
        <w:rPr>
          <w:rFonts w:ascii="Times New Roman" w:hAnsi="Times New Roman" w:cs="Times New Roman"/>
          <w:sz w:val="24"/>
          <w:szCs w:val="24"/>
        </w:rPr>
        <w:t>Rostagno</w:t>
      </w:r>
      <w:proofErr w:type="spellEnd"/>
      <w:r w:rsidRPr="00401BE4">
        <w:rPr>
          <w:rFonts w:ascii="Times New Roman" w:hAnsi="Times New Roman" w:cs="Times New Roman"/>
          <w:sz w:val="24"/>
          <w:szCs w:val="24"/>
        </w:rPr>
        <w:t xml:space="preserve"> et al. (2017). Foram avaliados, o consumo de ração (CR), ganho de peso (GP), conversão alimentar (CA), qualidade da carne (pH, perda de peso por cocção e força de cisalhamento).</w:t>
      </w:r>
      <w:r w:rsidRPr="00401BE4">
        <w:rPr>
          <w:rFonts w:ascii="Times New Roman" w:hAnsi="Times New Roman" w:cs="Times New Roman"/>
          <w:bCs/>
          <w:sz w:val="24"/>
          <w:szCs w:val="24"/>
        </w:rPr>
        <w:t xml:space="preserve"> </w:t>
      </w:r>
      <w:r w:rsidRPr="00401BE4">
        <w:rPr>
          <w:rFonts w:ascii="Times New Roman" w:hAnsi="Times New Roman" w:cs="Times New Roman"/>
          <w:bCs/>
          <w:sz w:val="24"/>
          <w:szCs w:val="24"/>
        </w:rPr>
        <w:t>Observou-se que os níveis de pólen apícola nas dietas, não influenciaram (p&gt;0,05) o consumo de ração (CR), o ganho de peso (GP), a conversão alimentar (CA) e o peso aos 21 e 42 dias de idade (P21d</w:t>
      </w:r>
      <w:r w:rsidR="00247CC4" w:rsidRPr="00401BE4">
        <w:rPr>
          <w:rFonts w:ascii="Times New Roman" w:hAnsi="Times New Roman" w:cs="Times New Roman"/>
          <w:bCs/>
          <w:sz w:val="24"/>
          <w:szCs w:val="24"/>
        </w:rPr>
        <w:t>)</w:t>
      </w:r>
      <w:r w:rsidR="00247CC4" w:rsidRPr="00401BE4">
        <w:rPr>
          <w:rFonts w:ascii="Times New Roman" w:hAnsi="Times New Roman" w:cs="Times New Roman"/>
          <w:sz w:val="24"/>
          <w:szCs w:val="24"/>
        </w:rPr>
        <w:t>. As</w:t>
      </w:r>
      <w:r w:rsidRPr="00401BE4">
        <w:rPr>
          <w:rFonts w:ascii="Times New Roman" w:hAnsi="Times New Roman" w:cs="Times New Roman"/>
          <w:sz w:val="24"/>
          <w:szCs w:val="24"/>
        </w:rPr>
        <w:t xml:space="preserve"> variáveis foram submetidas à análise de variância pelo procedimento GLM do SAS (2002) e as médias foram comparadas pelo teste de </w:t>
      </w:r>
      <w:proofErr w:type="spellStart"/>
      <w:r w:rsidRPr="00401BE4">
        <w:rPr>
          <w:rFonts w:ascii="Times New Roman" w:hAnsi="Times New Roman" w:cs="Times New Roman"/>
          <w:sz w:val="24"/>
          <w:szCs w:val="24"/>
        </w:rPr>
        <w:t>Student</w:t>
      </w:r>
      <w:proofErr w:type="spellEnd"/>
      <w:r w:rsidRPr="00401BE4">
        <w:rPr>
          <w:rFonts w:ascii="Times New Roman" w:hAnsi="Times New Roman" w:cs="Times New Roman"/>
          <w:sz w:val="24"/>
          <w:szCs w:val="24"/>
        </w:rPr>
        <w:t xml:space="preserve"> </w:t>
      </w:r>
      <w:proofErr w:type="spellStart"/>
      <w:r w:rsidRPr="00401BE4">
        <w:rPr>
          <w:rFonts w:ascii="Times New Roman" w:hAnsi="Times New Roman" w:cs="Times New Roman"/>
          <w:sz w:val="24"/>
          <w:szCs w:val="24"/>
        </w:rPr>
        <w:t>Newmam</w:t>
      </w:r>
      <w:proofErr w:type="spellEnd"/>
      <w:r w:rsidRPr="00401BE4">
        <w:rPr>
          <w:rFonts w:ascii="Times New Roman" w:hAnsi="Times New Roman" w:cs="Times New Roman"/>
          <w:sz w:val="24"/>
          <w:szCs w:val="24"/>
        </w:rPr>
        <w:t xml:space="preserve"> </w:t>
      </w:r>
      <w:proofErr w:type="spellStart"/>
      <w:r w:rsidRPr="00401BE4">
        <w:rPr>
          <w:rFonts w:ascii="Times New Roman" w:hAnsi="Times New Roman" w:cs="Times New Roman"/>
          <w:sz w:val="24"/>
          <w:szCs w:val="24"/>
        </w:rPr>
        <w:t>Keuls</w:t>
      </w:r>
      <w:proofErr w:type="spellEnd"/>
      <w:r w:rsidRPr="00401BE4">
        <w:rPr>
          <w:rFonts w:ascii="Times New Roman" w:hAnsi="Times New Roman" w:cs="Times New Roman"/>
          <w:sz w:val="24"/>
          <w:szCs w:val="24"/>
        </w:rPr>
        <w:t xml:space="preserve"> (SNK) a 5% de significância.</w:t>
      </w:r>
      <w:r w:rsidRPr="00401BE4">
        <w:rPr>
          <w:rFonts w:ascii="Times New Roman" w:hAnsi="Times New Roman" w:cs="Times New Roman"/>
          <w:bCs/>
          <w:sz w:val="24"/>
          <w:szCs w:val="24"/>
        </w:rPr>
        <w:t xml:space="preserve"> </w:t>
      </w:r>
      <w:r w:rsidRPr="00401BE4">
        <w:rPr>
          <w:rFonts w:ascii="Times New Roman" w:hAnsi="Times New Roman" w:cs="Times New Roman"/>
          <w:bCs/>
          <w:sz w:val="24"/>
          <w:szCs w:val="24"/>
        </w:rPr>
        <w:t xml:space="preserve">Observou-se que os níveis de pólen apícola nas dietas, não influenciaram (p&gt;0,05) o </w:t>
      </w:r>
      <w:proofErr w:type="spellStart"/>
      <w:r w:rsidRPr="00401BE4">
        <w:rPr>
          <w:rFonts w:ascii="Times New Roman" w:hAnsi="Times New Roman" w:cs="Times New Roman"/>
          <w:bCs/>
          <w:sz w:val="24"/>
          <w:szCs w:val="24"/>
        </w:rPr>
        <w:t>Ph</w:t>
      </w:r>
      <w:proofErr w:type="spellEnd"/>
      <w:r w:rsidRPr="00401BE4">
        <w:rPr>
          <w:rFonts w:ascii="Times New Roman" w:hAnsi="Times New Roman" w:cs="Times New Roman"/>
          <w:bCs/>
          <w:sz w:val="24"/>
          <w:szCs w:val="24"/>
        </w:rPr>
        <w:t>, a perda de peso por cocção (PPC) e a força de cisalhamento (FC).</w:t>
      </w:r>
      <w:r w:rsidRPr="00401BE4">
        <w:rPr>
          <w:rFonts w:ascii="Times New Roman" w:hAnsi="Times New Roman" w:cs="Times New Roman"/>
          <w:sz w:val="24"/>
          <w:szCs w:val="24"/>
        </w:rPr>
        <w:t xml:space="preserve"> </w:t>
      </w:r>
      <w:proofErr w:type="spellStart"/>
      <w:r w:rsidRPr="00401BE4">
        <w:rPr>
          <w:rFonts w:ascii="Times New Roman" w:hAnsi="Times New Roman" w:cs="Times New Roman"/>
          <w:sz w:val="24"/>
          <w:szCs w:val="24"/>
        </w:rPr>
        <w:t>Conclui-se</w:t>
      </w:r>
      <w:r w:rsidRPr="00401BE4">
        <w:rPr>
          <w:rFonts w:ascii="Times New Roman" w:hAnsi="Times New Roman" w:cs="Times New Roman"/>
          <w:sz w:val="24"/>
          <w:szCs w:val="24"/>
        </w:rPr>
        <w:t>que</w:t>
      </w:r>
      <w:proofErr w:type="spellEnd"/>
      <w:r w:rsidRPr="00401BE4">
        <w:rPr>
          <w:rFonts w:ascii="Times New Roman" w:hAnsi="Times New Roman" w:cs="Times New Roman"/>
          <w:sz w:val="24"/>
          <w:szCs w:val="24"/>
        </w:rPr>
        <w:t xml:space="preserve">, o pólen apícola apresentar em sua composição química uma gama de nutrientes tornando –se um potencial para alimentação animal, ainda há poucos estudos esclarecendo de como este aditivo atua no organismo animal, sendo assim novos estudos devem ser realizados para uma melhor compreensão do pólen apícola, tanto em relação a sua atuação como também nas quantidades fornecidas para os frangos de corte.  </w:t>
      </w:r>
    </w:p>
    <w:p w14:paraId="5DFF7F31" w14:textId="28FF74E5" w:rsidR="00401BE4" w:rsidRDefault="00401BE4">
      <w:pPr>
        <w:widowControl w:val="0"/>
        <w:spacing w:after="0" w:line="360" w:lineRule="auto"/>
        <w:rPr>
          <w:rFonts w:ascii="Times New Roman" w:hAnsi="Times New Roman" w:cs="Times New Roman"/>
          <w:sz w:val="24"/>
          <w:szCs w:val="24"/>
        </w:rPr>
      </w:pPr>
    </w:p>
    <w:p w14:paraId="13764231" w14:textId="5C1D4E12" w:rsidR="00930701" w:rsidRPr="00401BE4" w:rsidRDefault="00486485">
      <w:pPr>
        <w:widowControl w:val="0"/>
        <w:spacing w:after="0" w:line="360" w:lineRule="auto"/>
        <w:rPr>
          <w:rFonts w:ascii="Times New Roman" w:eastAsia="Arial" w:hAnsi="Times New Roman" w:cs="Times New Roman"/>
          <w:sz w:val="24"/>
          <w:szCs w:val="24"/>
        </w:rPr>
      </w:pPr>
      <w:r w:rsidRPr="00401BE4">
        <w:rPr>
          <w:rFonts w:ascii="Times New Roman" w:eastAsia="Arial" w:hAnsi="Times New Roman" w:cs="Times New Roman"/>
          <w:b/>
          <w:sz w:val="24"/>
          <w:szCs w:val="24"/>
        </w:rPr>
        <w:t>Palavras-chave</w:t>
      </w:r>
      <w:r w:rsidRPr="00401BE4">
        <w:rPr>
          <w:rFonts w:ascii="Times New Roman" w:eastAsia="Arial" w:hAnsi="Times New Roman" w:cs="Times New Roman"/>
          <w:sz w:val="24"/>
          <w:szCs w:val="24"/>
        </w:rPr>
        <w:t xml:space="preserve">: </w:t>
      </w:r>
      <w:r w:rsidR="00247CC4">
        <w:rPr>
          <w:rFonts w:ascii="Times New Roman" w:eastAsia="Arial" w:hAnsi="Times New Roman" w:cs="Times New Roman"/>
          <w:sz w:val="24"/>
          <w:szCs w:val="24"/>
        </w:rPr>
        <w:t xml:space="preserve">Antibiótico, Frango </w:t>
      </w:r>
      <w:r w:rsidR="00185C18">
        <w:rPr>
          <w:rFonts w:ascii="Times New Roman" w:eastAsia="Arial" w:hAnsi="Times New Roman" w:cs="Times New Roman"/>
          <w:sz w:val="24"/>
          <w:szCs w:val="24"/>
        </w:rPr>
        <w:t>industrial,</w:t>
      </w:r>
      <w:r w:rsidR="00247CC4">
        <w:rPr>
          <w:rFonts w:ascii="Times New Roman" w:eastAsia="Arial" w:hAnsi="Times New Roman" w:cs="Times New Roman"/>
          <w:sz w:val="24"/>
          <w:szCs w:val="24"/>
        </w:rPr>
        <w:t xml:space="preserve"> Nutrientes, </w:t>
      </w:r>
      <w:r w:rsidRPr="00401BE4">
        <w:rPr>
          <w:rFonts w:ascii="Times New Roman" w:eastAsia="Arial" w:hAnsi="Times New Roman" w:cs="Times New Roman"/>
          <w:sz w:val="24"/>
          <w:szCs w:val="24"/>
        </w:rPr>
        <w:t xml:space="preserve"> </w:t>
      </w:r>
    </w:p>
    <w:p w14:paraId="4263E622" w14:textId="77777777" w:rsidR="00930701" w:rsidRPr="00401BE4" w:rsidRDefault="00930701">
      <w:pPr>
        <w:spacing w:after="0" w:line="360" w:lineRule="auto"/>
        <w:jc w:val="both"/>
        <w:rPr>
          <w:rFonts w:ascii="Times New Roman" w:eastAsia="Arial" w:hAnsi="Times New Roman" w:cs="Times New Roman"/>
          <w:b/>
          <w:sz w:val="24"/>
          <w:szCs w:val="24"/>
        </w:rPr>
      </w:pPr>
    </w:p>
    <w:p w14:paraId="0D80854A" w14:textId="31F5C5EB" w:rsidR="00930701" w:rsidRPr="00401BE4" w:rsidRDefault="00486485">
      <w:pPr>
        <w:numPr>
          <w:ilvl w:val="0"/>
          <w:numId w:val="2"/>
        </w:numPr>
        <w:spacing w:after="0" w:line="360" w:lineRule="auto"/>
        <w:jc w:val="both"/>
        <w:rPr>
          <w:rFonts w:ascii="Times New Roman" w:eastAsia="Arial" w:hAnsi="Times New Roman" w:cs="Times New Roman"/>
          <w:b/>
          <w:sz w:val="24"/>
          <w:szCs w:val="24"/>
        </w:rPr>
      </w:pPr>
      <w:r w:rsidRPr="00401BE4">
        <w:rPr>
          <w:rFonts w:ascii="Times New Roman" w:eastAsia="Arial" w:hAnsi="Times New Roman" w:cs="Times New Roman"/>
          <w:b/>
          <w:sz w:val="24"/>
          <w:szCs w:val="24"/>
        </w:rPr>
        <w:t>INTRODUÇÃO/JUSTIFICATIV</w:t>
      </w:r>
      <w:r w:rsidR="009569F7" w:rsidRPr="00401BE4">
        <w:rPr>
          <w:rFonts w:ascii="Times New Roman" w:eastAsia="Arial" w:hAnsi="Times New Roman" w:cs="Times New Roman"/>
          <w:b/>
          <w:sz w:val="24"/>
          <w:szCs w:val="24"/>
        </w:rPr>
        <w:t>A</w:t>
      </w:r>
    </w:p>
    <w:p w14:paraId="5329E2CB" w14:textId="6F295CEA" w:rsidR="00930701" w:rsidRPr="00401BE4" w:rsidRDefault="0079175F" w:rsidP="0079175F">
      <w:pPr>
        <w:spacing w:after="0" w:line="360" w:lineRule="auto"/>
        <w:ind w:firstLine="709"/>
        <w:jc w:val="both"/>
        <w:rPr>
          <w:rFonts w:ascii="Times New Roman" w:eastAsia="Arial" w:hAnsi="Times New Roman" w:cs="Times New Roman"/>
          <w:sz w:val="24"/>
          <w:szCs w:val="24"/>
        </w:rPr>
      </w:pPr>
      <w:r w:rsidRPr="00401BE4">
        <w:rPr>
          <w:rFonts w:ascii="Times New Roman" w:eastAsia="Arial" w:hAnsi="Times New Roman" w:cs="Times New Roman"/>
          <w:sz w:val="24"/>
          <w:szCs w:val="24"/>
        </w:rPr>
        <w:t xml:space="preserve">   </w:t>
      </w:r>
      <w:r w:rsidRPr="00401BE4">
        <w:rPr>
          <w:rFonts w:ascii="Times New Roman" w:hAnsi="Times New Roman" w:cs="Times New Roman"/>
          <w:sz w:val="24"/>
          <w:szCs w:val="24"/>
        </w:rPr>
        <w:t>Avicultura tem passados por diversas mudanças, principalmente nutricional, sendo que, nos últimos anos houve-se uma maior preocupação no uso dos antibióticos como promotores de crescimento, essas preocupações ocorrem devido ao uso inadequado dos antibióticos, ocasionando resíduos na carne que será posteriormente comercializada, como consequência há um aumento resistência bacteriana em humanos. Com isso alguns países da União Europeia proibiram o uso dos antibióticos como promotores de crescimento na alimentação animal desde 1 de janeiro de 2006 (CASTONON, 2007). No Brasil o órgão que regulamenta e fiscaliza o uso de aditivos na alimentação animal é o MAPA (Ministério da Agricultura Pecuária e Abastecimento), que também já proibiram alguns antibióticos na alimentação dos animais, pela instrução normativa no 1, do dia 13 de janeiro de 2020 (BRASIL, 2020).</w:t>
      </w:r>
      <w:r w:rsidR="00486485" w:rsidRPr="00401BE4">
        <w:rPr>
          <w:rFonts w:ascii="Times New Roman" w:eastAsia="Arial" w:hAnsi="Times New Roman" w:cs="Times New Roman"/>
          <w:sz w:val="24"/>
          <w:szCs w:val="24"/>
        </w:rPr>
        <w:t xml:space="preserve"> </w:t>
      </w:r>
    </w:p>
    <w:p w14:paraId="550A6D86" w14:textId="6D6A1DF4" w:rsidR="0079175F" w:rsidRPr="00401BE4" w:rsidRDefault="0079175F" w:rsidP="00401BE4">
      <w:pPr>
        <w:spacing w:after="0" w:line="360" w:lineRule="auto"/>
        <w:ind w:firstLine="709"/>
        <w:jc w:val="both"/>
        <w:rPr>
          <w:rFonts w:ascii="Times New Roman" w:hAnsi="Times New Roman" w:cs="Times New Roman"/>
          <w:sz w:val="24"/>
          <w:szCs w:val="24"/>
        </w:rPr>
      </w:pPr>
      <w:r w:rsidRPr="00401BE4">
        <w:rPr>
          <w:rFonts w:ascii="Times New Roman" w:hAnsi="Times New Roman" w:cs="Times New Roman"/>
          <w:sz w:val="24"/>
          <w:szCs w:val="24"/>
        </w:rPr>
        <w:t>O alimento que vem ganhando destaque para a substituição dos antibióticos como promotores de crescimento na alimentação dos frangos de produção, é o pólen apícola, devido a sua composição nutricional, destacando-se para os probióticos, ácidos orgânicos, enzimas exógenas, flavonoides e antioxidantes, dentre outros (NASCIMENTO, 2015; OLIVEIRA et al., 2013).</w:t>
      </w:r>
    </w:p>
    <w:p w14:paraId="28375502" w14:textId="5ED75F7D" w:rsidR="00930701" w:rsidRPr="00401BE4" w:rsidRDefault="00486485" w:rsidP="0079175F">
      <w:pPr>
        <w:spacing w:after="0" w:line="360" w:lineRule="auto"/>
        <w:ind w:firstLine="709"/>
        <w:jc w:val="both"/>
        <w:rPr>
          <w:rFonts w:ascii="Times New Roman" w:eastAsia="Arial" w:hAnsi="Times New Roman" w:cs="Times New Roman"/>
          <w:b/>
          <w:sz w:val="24"/>
          <w:szCs w:val="24"/>
        </w:rPr>
      </w:pPr>
      <w:r w:rsidRPr="00401BE4">
        <w:rPr>
          <w:rFonts w:ascii="Times New Roman" w:eastAsia="Arial" w:hAnsi="Times New Roman" w:cs="Times New Roman"/>
          <w:sz w:val="24"/>
          <w:szCs w:val="24"/>
        </w:rPr>
        <w:t xml:space="preserve">5. </w:t>
      </w:r>
      <w:r w:rsidRPr="00401BE4">
        <w:rPr>
          <w:rFonts w:ascii="Times New Roman" w:eastAsia="Arial" w:hAnsi="Times New Roman" w:cs="Times New Roman"/>
          <w:b/>
          <w:sz w:val="24"/>
          <w:szCs w:val="24"/>
        </w:rPr>
        <w:t>BASE TEÓRICA</w:t>
      </w:r>
    </w:p>
    <w:p w14:paraId="159134E5" w14:textId="3544EC0E" w:rsidR="00135331" w:rsidRPr="00401BE4" w:rsidRDefault="00135331" w:rsidP="00135331">
      <w:pPr>
        <w:spacing w:after="0" w:line="360" w:lineRule="auto"/>
        <w:jc w:val="both"/>
        <w:rPr>
          <w:rFonts w:ascii="Times New Roman" w:hAnsi="Times New Roman" w:cs="Times New Roman"/>
          <w:sz w:val="24"/>
          <w:szCs w:val="24"/>
        </w:rPr>
      </w:pPr>
      <w:r w:rsidRPr="00401BE4">
        <w:rPr>
          <w:rFonts w:ascii="Times New Roman" w:hAnsi="Times New Roman" w:cs="Times New Roman"/>
          <w:sz w:val="24"/>
          <w:szCs w:val="24"/>
        </w:rPr>
        <w:t xml:space="preserve">        Já </w:t>
      </w:r>
      <w:proofErr w:type="spellStart"/>
      <w:r w:rsidRPr="00401BE4">
        <w:rPr>
          <w:rFonts w:ascii="Times New Roman" w:hAnsi="Times New Roman" w:cs="Times New Roman"/>
          <w:sz w:val="24"/>
          <w:szCs w:val="24"/>
        </w:rPr>
        <w:t>Prakatur</w:t>
      </w:r>
      <w:proofErr w:type="spellEnd"/>
      <w:r w:rsidRPr="00401BE4">
        <w:rPr>
          <w:rFonts w:ascii="Times New Roman" w:hAnsi="Times New Roman" w:cs="Times New Roman"/>
          <w:sz w:val="24"/>
          <w:szCs w:val="24"/>
        </w:rPr>
        <w:t xml:space="preserve"> et al. (2019) avaliando a inclusão da própolis e pólen apícola na alimentação dos frangos de corte da linhagem comercial Ross 308, com objetivo de avaliar a morfofisiologia intestinal e suas áreas de absolvição, tendo os níveis de inclusão de controle (ração basal); T1 =0,25g de própolis/kg + 20 g de pólen apícola /kg; T2 = 0,5 g </w:t>
      </w:r>
      <w:r w:rsidR="00247CC4" w:rsidRPr="00401BE4">
        <w:rPr>
          <w:rFonts w:ascii="Times New Roman" w:hAnsi="Times New Roman" w:cs="Times New Roman"/>
          <w:sz w:val="24"/>
          <w:szCs w:val="24"/>
        </w:rPr>
        <w:t>de N</w:t>
      </w:r>
      <w:r w:rsidRPr="00401BE4">
        <w:rPr>
          <w:rFonts w:ascii="Times New Roman" w:hAnsi="Times New Roman" w:cs="Times New Roman"/>
          <w:sz w:val="24"/>
          <w:szCs w:val="24"/>
        </w:rPr>
        <w:t xml:space="preserve"> própolis/kg; T3 = 1,0 g de própolis/kg; T4 = 20 g de pólen apícola/kg. Constataram um aumento tanta para a altura das vilosidades, profundidade das criptas e para as áreas de absorção dos frangos, em comparação ao grupo controle, sendo que, a morfofisiologia intestinal teve efeitos positivos com a inclusão do pólen apícola e da própolis.</w:t>
      </w:r>
    </w:p>
    <w:p w14:paraId="7EA6E8F7" w14:textId="77777777" w:rsidR="00135331" w:rsidRPr="00401BE4" w:rsidRDefault="00135331" w:rsidP="00135331">
      <w:pPr>
        <w:spacing w:after="0" w:line="360" w:lineRule="auto"/>
        <w:jc w:val="both"/>
        <w:rPr>
          <w:rFonts w:ascii="Times New Roman" w:hAnsi="Times New Roman" w:cs="Times New Roman"/>
          <w:sz w:val="24"/>
          <w:szCs w:val="24"/>
        </w:rPr>
        <w:sectPr w:rsidR="00135331" w:rsidRPr="00401BE4" w:rsidSect="00135331">
          <w:footerReference w:type="default" r:id="rId11"/>
          <w:headerReference w:type="first" r:id="rId12"/>
          <w:footerReference w:type="first" r:id="rId13"/>
          <w:type w:val="continuous"/>
          <w:pgSz w:w="11906" w:h="16838"/>
          <w:pgMar w:top="694" w:right="1134" w:bottom="1134" w:left="1134" w:header="284" w:footer="279" w:gutter="0"/>
          <w:cols w:space="720"/>
          <w:titlePg/>
          <w:docGrid w:linePitch="360"/>
        </w:sectPr>
      </w:pPr>
      <w:r w:rsidRPr="00401BE4">
        <w:rPr>
          <w:rFonts w:ascii="Times New Roman" w:hAnsi="Times New Roman" w:cs="Times New Roman"/>
          <w:sz w:val="24"/>
          <w:szCs w:val="24"/>
        </w:rPr>
        <w:t xml:space="preserve">     Portanto, poucos ainda são os estudos avaliando o pólen apícola na alimentação dos frangos de corte, consequentemente novas pesquisas devem ser realizadas acerca do potencial do pólen apícola. Objetivo do estudo foi avaliar o pólen apícola na alimentação dos frangos de corte dos 8 aos 42 dias de idade.</w:t>
      </w:r>
    </w:p>
    <w:p w14:paraId="6BE4FC2C" w14:textId="77777777" w:rsidR="00170B5E" w:rsidRPr="00401BE4" w:rsidRDefault="00170B5E">
      <w:pPr>
        <w:spacing w:after="0" w:line="360" w:lineRule="auto"/>
        <w:jc w:val="both"/>
        <w:rPr>
          <w:rFonts w:ascii="Times New Roman" w:eastAsia="Arial" w:hAnsi="Times New Roman" w:cs="Times New Roman"/>
          <w:b/>
          <w:sz w:val="24"/>
          <w:szCs w:val="24"/>
        </w:rPr>
      </w:pPr>
    </w:p>
    <w:p w14:paraId="35CE1F13" w14:textId="77777777" w:rsidR="00930701" w:rsidRPr="00401BE4" w:rsidRDefault="00486485">
      <w:pPr>
        <w:numPr>
          <w:ilvl w:val="0"/>
          <w:numId w:val="2"/>
        </w:numPr>
        <w:spacing w:after="0" w:line="360" w:lineRule="auto"/>
        <w:jc w:val="both"/>
        <w:rPr>
          <w:rFonts w:ascii="Times New Roman" w:eastAsia="Arial" w:hAnsi="Times New Roman" w:cs="Times New Roman"/>
          <w:b/>
          <w:sz w:val="24"/>
          <w:szCs w:val="24"/>
        </w:rPr>
      </w:pPr>
      <w:r w:rsidRPr="00401BE4">
        <w:rPr>
          <w:rFonts w:ascii="Times New Roman" w:eastAsia="Arial" w:hAnsi="Times New Roman" w:cs="Times New Roman"/>
          <w:b/>
          <w:sz w:val="24"/>
          <w:szCs w:val="24"/>
        </w:rPr>
        <w:t>OBJETIVOS</w:t>
      </w:r>
    </w:p>
    <w:p w14:paraId="2002F4EE" w14:textId="77777777" w:rsidR="00170B5E" w:rsidRPr="00401BE4" w:rsidRDefault="00170B5E" w:rsidP="00170B5E">
      <w:pPr>
        <w:spacing w:after="0" w:line="360" w:lineRule="auto"/>
        <w:ind w:left="720"/>
        <w:jc w:val="both"/>
        <w:rPr>
          <w:rFonts w:ascii="Times New Roman" w:eastAsia="Arial" w:hAnsi="Times New Roman" w:cs="Times New Roman"/>
          <w:b/>
          <w:sz w:val="24"/>
          <w:szCs w:val="24"/>
        </w:rPr>
      </w:pPr>
    </w:p>
    <w:p w14:paraId="7277C284" w14:textId="34481FFE" w:rsidR="00461E57" w:rsidRPr="00401BE4" w:rsidRDefault="00461E57" w:rsidP="00461E57">
      <w:pPr>
        <w:spacing w:line="360" w:lineRule="auto"/>
        <w:ind w:left="360"/>
        <w:jc w:val="both"/>
        <w:rPr>
          <w:rFonts w:ascii="Times New Roman" w:hAnsi="Times New Roman" w:cs="Times New Roman"/>
          <w:b/>
          <w:bCs/>
          <w:sz w:val="24"/>
          <w:szCs w:val="24"/>
        </w:rPr>
      </w:pPr>
      <w:r w:rsidRPr="00401BE4">
        <w:rPr>
          <w:rFonts w:ascii="Times New Roman" w:hAnsi="Times New Roman" w:cs="Times New Roman"/>
          <w:b/>
          <w:bCs/>
          <w:sz w:val="24"/>
          <w:szCs w:val="24"/>
        </w:rPr>
        <w:lastRenderedPageBreak/>
        <w:t>OBJETIVO GERAL</w:t>
      </w:r>
    </w:p>
    <w:p w14:paraId="59774686" w14:textId="7038092D" w:rsidR="00461E57" w:rsidRPr="00401BE4" w:rsidRDefault="00461E57" w:rsidP="004A024F">
      <w:pPr>
        <w:spacing w:line="360" w:lineRule="auto"/>
        <w:ind w:left="360"/>
        <w:jc w:val="both"/>
        <w:rPr>
          <w:rFonts w:ascii="Times New Roman" w:hAnsi="Times New Roman" w:cs="Times New Roman"/>
          <w:sz w:val="24"/>
          <w:szCs w:val="24"/>
        </w:rPr>
      </w:pPr>
      <w:r w:rsidRPr="00401BE4">
        <w:rPr>
          <w:rFonts w:ascii="Times New Roman" w:hAnsi="Times New Roman" w:cs="Times New Roman"/>
          <w:sz w:val="24"/>
          <w:szCs w:val="24"/>
        </w:rPr>
        <w:t>Avaliar o desempenho produtivo e qualidade da carne de frangos de corte alimentados com pólen apícola, dos 8 até os 42 dias de idade.</w:t>
      </w:r>
    </w:p>
    <w:p w14:paraId="4FD9704D" w14:textId="77777777" w:rsidR="00461E57" w:rsidRPr="00401BE4" w:rsidRDefault="00461E57" w:rsidP="00461E57">
      <w:pPr>
        <w:spacing w:line="360" w:lineRule="auto"/>
        <w:ind w:left="360"/>
        <w:jc w:val="both"/>
        <w:rPr>
          <w:rFonts w:ascii="Times New Roman" w:hAnsi="Times New Roman" w:cs="Times New Roman"/>
          <w:b/>
          <w:bCs/>
          <w:sz w:val="24"/>
          <w:szCs w:val="24"/>
        </w:rPr>
      </w:pPr>
      <w:r w:rsidRPr="00401BE4">
        <w:rPr>
          <w:rFonts w:ascii="Times New Roman" w:hAnsi="Times New Roman" w:cs="Times New Roman"/>
          <w:b/>
          <w:bCs/>
          <w:sz w:val="24"/>
          <w:szCs w:val="24"/>
        </w:rPr>
        <w:t>OBJETIVO ESPECÍFICO</w:t>
      </w:r>
    </w:p>
    <w:p w14:paraId="59A4956F" w14:textId="180725C2" w:rsidR="00461E57" w:rsidRPr="00401BE4" w:rsidRDefault="00461E57" w:rsidP="00461E57">
      <w:pPr>
        <w:spacing w:line="360" w:lineRule="auto"/>
        <w:jc w:val="both"/>
        <w:rPr>
          <w:rFonts w:ascii="Times New Roman" w:hAnsi="Times New Roman" w:cs="Times New Roman"/>
          <w:sz w:val="24"/>
          <w:szCs w:val="24"/>
        </w:rPr>
      </w:pPr>
      <w:r w:rsidRPr="00401BE4">
        <w:rPr>
          <w:rFonts w:ascii="Times New Roman" w:hAnsi="Times New Roman" w:cs="Times New Roman"/>
          <w:sz w:val="24"/>
          <w:szCs w:val="24"/>
        </w:rPr>
        <w:t xml:space="preserve">     </w:t>
      </w:r>
      <w:r w:rsidR="00170B5E" w:rsidRPr="00401BE4">
        <w:rPr>
          <w:rFonts w:ascii="Times New Roman" w:hAnsi="Times New Roman" w:cs="Times New Roman"/>
          <w:sz w:val="24"/>
          <w:szCs w:val="24"/>
        </w:rPr>
        <w:t xml:space="preserve">- </w:t>
      </w:r>
      <w:r w:rsidRPr="00401BE4">
        <w:rPr>
          <w:rFonts w:ascii="Times New Roman" w:hAnsi="Times New Roman" w:cs="Times New Roman"/>
          <w:sz w:val="24"/>
          <w:szCs w:val="24"/>
        </w:rPr>
        <w:t>Avaliar os efeitos do pólen apícola sobre o desempenho de frangos de corte (ganho de peso, consumo de ração e conversão alimentar) dos 8 aos 42 dias.</w:t>
      </w:r>
    </w:p>
    <w:p w14:paraId="784D287E" w14:textId="2FB83F3B" w:rsidR="00461E57" w:rsidRPr="00401BE4" w:rsidRDefault="00170B5E" w:rsidP="0040630A">
      <w:pPr>
        <w:spacing w:line="360" w:lineRule="auto"/>
        <w:ind w:left="360"/>
        <w:jc w:val="both"/>
        <w:rPr>
          <w:rFonts w:ascii="Times New Roman" w:hAnsi="Times New Roman" w:cs="Times New Roman"/>
          <w:sz w:val="24"/>
          <w:szCs w:val="24"/>
        </w:rPr>
      </w:pPr>
      <w:r w:rsidRPr="00401BE4">
        <w:rPr>
          <w:rFonts w:ascii="Times New Roman" w:hAnsi="Times New Roman" w:cs="Times New Roman"/>
          <w:sz w:val="24"/>
          <w:szCs w:val="24"/>
        </w:rPr>
        <w:t xml:space="preserve">- </w:t>
      </w:r>
      <w:r w:rsidR="00461E57" w:rsidRPr="00401BE4">
        <w:rPr>
          <w:rFonts w:ascii="Times New Roman" w:hAnsi="Times New Roman" w:cs="Times New Roman"/>
          <w:sz w:val="24"/>
          <w:szCs w:val="24"/>
        </w:rPr>
        <w:t xml:space="preserve">Avaliar os efeitos do pólen apícola sobre a qualidade da carne (pH, perda de peso por </w:t>
      </w:r>
      <w:r w:rsidR="0040630A" w:rsidRPr="00401BE4">
        <w:rPr>
          <w:rFonts w:ascii="Times New Roman" w:hAnsi="Times New Roman" w:cs="Times New Roman"/>
          <w:sz w:val="24"/>
          <w:szCs w:val="24"/>
        </w:rPr>
        <w:t xml:space="preserve">cocção e força de cisalhamento). </w:t>
      </w:r>
    </w:p>
    <w:p w14:paraId="081A680C" w14:textId="77777777" w:rsidR="00930701" w:rsidRPr="00401BE4" w:rsidRDefault="00486485">
      <w:pPr>
        <w:numPr>
          <w:ilvl w:val="0"/>
          <w:numId w:val="2"/>
        </w:numPr>
        <w:spacing w:after="0" w:line="360" w:lineRule="auto"/>
        <w:jc w:val="both"/>
        <w:rPr>
          <w:rFonts w:ascii="Times New Roman" w:eastAsia="Arial" w:hAnsi="Times New Roman" w:cs="Times New Roman"/>
          <w:b/>
          <w:sz w:val="24"/>
          <w:szCs w:val="24"/>
        </w:rPr>
      </w:pPr>
      <w:r w:rsidRPr="00401BE4">
        <w:rPr>
          <w:rFonts w:ascii="Times New Roman" w:eastAsia="Arial" w:hAnsi="Times New Roman" w:cs="Times New Roman"/>
          <w:b/>
          <w:sz w:val="24"/>
          <w:szCs w:val="24"/>
        </w:rPr>
        <w:t>METODOLOGIA</w:t>
      </w:r>
    </w:p>
    <w:p w14:paraId="732CCE30" w14:textId="77777777" w:rsidR="00170B5E" w:rsidRPr="00401BE4" w:rsidRDefault="00170B5E" w:rsidP="0040630A">
      <w:pPr>
        <w:spacing w:after="0" w:line="360" w:lineRule="auto"/>
        <w:ind w:firstLine="720"/>
        <w:jc w:val="both"/>
        <w:rPr>
          <w:rFonts w:ascii="Times New Roman" w:hAnsi="Times New Roman" w:cs="Times New Roman"/>
          <w:sz w:val="24"/>
          <w:szCs w:val="24"/>
        </w:rPr>
      </w:pPr>
      <w:r w:rsidRPr="00401BE4">
        <w:rPr>
          <w:rFonts w:ascii="Times New Roman" w:hAnsi="Times New Roman" w:cs="Times New Roman"/>
          <w:sz w:val="24"/>
          <w:szCs w:val="24"/>
        </w:rPr>
        <w:t xml:space="preserve">O experimento foi realizado no Setor de Avicultura da Escola de Medicina Veterinária e Zootecnia da Universidade Federal do Norte Tocantins, localizado no município de Araguaína – TO.  Sendo executado segundo as normas éticas estabelecidas pela Lei de Procedimentos para o Uso de Animais, como determinado pela Comissão de Ética no Uso de Animais da Universidade Federal do Norte do Tocantins (CEUA-UFNT), com protocolo nº 003/2023. </w:t>
      </w:r>
    </w:p>
    <w:p w14:paraId="18EEE9F9" w14:textId="660CCBF2" w:rsidR="00170B5E" w:rsidRPr="00401BE4" w:rsidRDefault="00170B5E" w:rsidP="0040630A">
      <w:pPr>
        <w:spacing w:after="0" w:line="360" w:lineRule="auto"/>
        <w:ind w:firstLine="720"/>
        <w:jc w:val="both"/>
        <w:rPr>
          <w:rFonts w:ascii="Times New Roman" w:hAnsi="Times New Roman" w:cs="Times New Roman"/>
          <w:sz w:val="24"/>
          <w:szCs w:val="24"/>
        </w:rPr>
      </w:pPr>
      <w:r w:rsidRPr="00401BE4">
        <w:rPr>
          <w:rFonts w:ascii="Times New Roman" w:hAnsi="Times New Roman" w:cs="Times New Roman"/>
          <w:sz w:val="24"/>
          <w:szCs w:val="24"/>
        </w:rPr>
        <w:t xml:space="preserve">Foram utilizados 200 pintos de corte, de um dia de idade, machos, da linhagem comercial Cobb 500®, criados até o sétimo dia de vida, de acordo com as recomendações da linhagem. No oitavo dia de idade as aves foram homogeneizadas e os tratamentos distribuídos em um delineamento inteiramente casualizado (DIC), com cinco tratamentos, T1: Controle positivo com adição do promotor de crescimento, T2: Controle negativo sem adição do promotor de crescimento, T3: 2, T4: 4, T5: 6 (g de pólen apícola/Kg de ração) e 4 repetições de 10 aves por unidade experimental.  </w:t>
      </w:r>
    </w:p>
    <w:p w14:paraId="4AAE1062" w14:textId="77777777" w:rsidR="00170B5E" w:rsidRPr="00401BE4" w:rsidRDefault="00170B5E" w:rsidP="0040630A">
      <w:pPr>
        <w:spacing w:after="0" w:line="360" w:lineRule="auto"/>
        <w:ind w:firstLine="720"/>
        <w:jc w:val="both"/>
        <w:rPr>
          <w:rFonts w:ascii="Times New Roman" w:hAnsi="Times New Roman" w:cs="Times New Roman"/>
          <w:sz w:val="24"/>
          <w:szCs w:val="24"/>
        </w:rPr>
      </w:pPr>
      <w:r w:rsidRPr="00401BE4">
        <w:rPr>
          <w:rFonts w:ascii="Times New Roman" w:hAnsi="Times New Roman" w:cs="Times New Roman"/>
          <w:sz w:val="24"/>
          <w:szCs w:val="24"/>
        </w:rPr>
        <w:t xml:space="preserve">As dietas experimentais foram calculadas considerando as exigências nutricionais, de acordo com as recomendações de </w:t>
      </w:r>
      <w:proofErr w:type="spellStart"/>
      <w:r w:rsidRPr="00401BE4">
        <w:rPr>
          <w:rFonts w:ascii="Times New Roman" w:hAnsi="Times New Roman" w:cs="Times New Roman"/>
          <w:sz w:val="24"/>
          <w:szCs w:val="24"/>
        </w:rPr>
        <w:t>Rostagno</w:t>
      </w:r>
      <w:proofErr w:type="spellEnd"/>
      <w:r w:rsidRPr="00401BE4">
        <w:rPr>
          <w:rFonts w:ascii="Times New Roman" w:hAnsi="Times New Roman" w:cs="Times New Roman"/>
          <w:sz w:val="24"/>
          <w:szCs w:val="24"/>
        </w:rPr>
        <w:t xml:space="preserve"> et al. (2017). Foram avaliados, o consumo de ração (CR), ganho de peso (GP), conversão alimentar (CA), qualidade da carne (pH, perda de peso por cocção e força de cisalhamento).</w:t>
      </w:r>
    </w:p>
    <w:p w14:paraId="51F2D9B2" w14:textId="6F37FA35" w:rsidR="00170B5E" w:rsidRPr="00401BE4" w:rsidRDefault="009E2DBA" w:rsidP="0040630A">
      <w:pPr>
        <w:spacing w:line="360" w:lineRule="auto"/>
        <w:ind w:firstLine="720"/>
        <w:jc w:val="both"/>
        <w:rPr>
          <w:rFonts w:ascii="Times New Roman" w:hAnsi="Times New Roman" w:cs="Times New Roman"/>
          <w:sz w:val="24"/>
          <w:szCs w:val="24"/>
        </w:rPr>
      </w:pPr>
      <w:r w:rsidRPr="00401BE4">
        <w:rPr>
          <w:rFonts w:ascii="Times New Roman" w:hAnsi="Times New Roman" w:cs="Times New Roman"/>
          <w:sz w:val="24"/>
          <w:szCs w:val="24"/>
        </w:rPr>
        <w:lastRenderedPageBreak/>
        <w:t>As variáveis foram submetidas à análise de variância pelo procedimento GLM do SAS (2002) e as médias foram comparadas pelo teste de Student Newmam Keuls (SNK) a 5% de significância.</w:t>
      </w:r>
    </w:p>
    <w:p w14:paraId="2402C8D0" w14:textId="2B777813" w:rsidR="00930701" w:rsidRPr="00401BE4" w:rsidRDefault="00135331" w:rsidP="00401BE4">
      <w:pPr>
        <w:spacing w:line="360" w:lineRule="auto"/>
        <w:ind w:firstLine="720"/>
        <w:jc w:val="both"/>
        <w:rPr>
          <w:rFonts w:ascii="Times New Roman" w:hAnsi="Times New Roman" w:cs="Times New Roman"/>
          <w:sz w:val="24"/>
          <w:szCs w:val="24"/>
        </w:rPr>
      </w:pPr>
      <w:r w:rsidRPr="00401BE4">
        <w:rPr>
          <w:rFonts w:ascii="Times New Roman" w:eastAsia="Arial" w:hAnsi="Times New Roman" w:cs="Times New Roman"/>
          <w:b/>
          <w:sz w:val="24"/>
          <w:szCs w:val="24"/>
        </w:rPr>
        <w:t>RESULTADOS E DISCUSSÃO</w:t>
      </w:r>
      <w:r w:rsidR="00486485" w:rsidRPr="00401BE4">
        <w:rPr>
          <w:rFonts w:ascii="Times New Roman" w:eastAsia="Arial" w:hAnsi="Times New Roman" w:cs="Times New Roman"/>
          <w:sz w:val="20"/>
          <w:szCs w:val="20"/>
        </w:rPr>
        <w:t xml:space="preserve">               </w:t>
      </w:r>
      <w:r w:rsidR="00F91A96" w:rsidRPr="00401BE4">
        <w:rPr>
          <w:rFonts w:ascii="Times New Roman" w:eastAsia="Arial" w:hAnsi="Times New Roman" w:cs="Times New Roman"/>
          <w:sz w:val="20"/>
          <w:szCs w:val="20"/>
        </w:rPr>
        <w:t xml:space="preserve">        </w:t>
      </w:r>
    </w:p>
    <w:p w14:paraId="28A1F482" w14:textId="054D00DF" w:rsidR="0040630A" w:rsidRPr="00401BE4" w:rsidRDefault="004A024F" w:rsidP="00F91A96">
      <w:pPr>
        <w:spacing w:line="360" w:lineRule="auto"/>
        <w:ind w:firstLine="360"/>
        <w:jc w:val="both"/>
        <w:rPr>
          <w:rFonts w:ascii="Times New Roman" w:hAnsi="Times New Roman" w:cs="Times New Roman"/>
          <w:bCs/>
          <w:sz w:val="24"/>
          <w:szCs w:val="24"/>
        </w:rPr>
      </w:pPr>
      <w:r w:rsidRPr="00401BE4">
        <w:rPr>
          <w:rFonts w:ascii="Times New Roman" w:hAnsi="Times New Roman" w:cs="Times New Roman"/>
          <w:bCs/>
          <w:sz w:val="24"/>
          <w:szCs w:val="24"/>
        </w:rPr>
        <w:t>Observou-se que os níveis de pólen apícol</w:t>
      </w:r>
      <w:r w:rsidR="00564779" w:rsidRPr="00401BE4">
        <w:rPr>
          <w:rFonts w:ascii="Times New Roman" w:hAnsi="Times New Roman" w:cs="Times New Roman"/>
          <w:bCs/>
          <w:sz w:val="24"/>
          <w:szCs w:val="24"/>
        </w:rPr>
        <w:t xml:space="preserve">a nas dietas, não influenciaram </w:t>
      </w:r>
      <w:r w:rsidRPr="00401BE4">
        <w:rPr>
          <w:rFonts w:ascii="Times New Roman" w:hAnsi="Times New Roman" w:cs="Times New Roman"/>
          <w:bCs/>
          <w:sz w:val="24"/>
          <w:szCs w:val="24"/>
        </w:rPr>
        <w:t xml:space="preserve">(p&gt;0,05) o consumo de ração (CR), o ganho de peso (GP), a conversão alimentar (CA) e o peso aos 21 e 42 </w:t>
      </w:r>
      <w:r w:rsidR="00F91A96" w:rsidRPr="00401BE4">
        <w:rPr>
          <w:rFonts w:ascii="Times New Roman" w:hAnsi="Times New Roman" w:cs="Times New Roman"/>
          <w:bCs/>
          <w:sz w:val="24"/>
          <w:szCs w:val="24"/>
        </w:rPr>
        <w:t>dias de idade (P21d) (Tabela 1</w:t>
      </w:r>
      <w:r w:rsidR="0040630A" w:rsidRPr="00401BE4">
        <w:rPr>
          <w:rFonts w:ascii="Times New Roman" w:hAnsi="Times New Roman" w:cs="Times New Roman"/>
          <w:bCs/>
          <w:sz w:val="24"/>
          <w:szCs w:val="24"/>
        </w:rPr>
        <w:t xml:space="preserve">). </w:t>
      </w:r>
    </w:p>
    <w:p w14:paraId="09EAB425" w14:textId="27093C6C" w:rsidR="00401BE4" w:rsidRPr="00401BE4" w:rsidRDefault="004A024F" w:rsidP="00401BE4">
      <w:pPr>
        <w:spacing w:line="360" w:lineRule="auto"/>
        <w:ind w:left="1134" w:hanging="1134"/>
        <w:jc w:val="both"/>
        <w:rPr>
          <w:rFonts w:ascii="Times New Roman" w:hAnsi="Times New Roman" w:cs="Times New Roman"/>
          <w:sz w:val="24"/>
          <w:szCs w:val="24"/>
        </w:rPr>
      </w:pPr>
      <w:r w:rsidRPr="00401BE4">
        <w:rPr>
          <w:rFonts w:ascii="Times New Roman" w:hAnsi="Times New Roman" w:cs="Times New Roman"/>
          <w:sz w:val="24"/>
          <w:szCs w:val="24"/>
        </w:rPr>
        <w:t>Tabela 1 - Valores médios de consumo de ração (CR), ganho de peso (GP), conversão alimentar (CA), e o peso aos 21 e 42 dias (P21d e P42d) de idade</w:t>
      </w:r>
    </w:p>
    <w:p w14:paraId="785F038B" w14:textId="77A56FF5" w:rsidR="00051AF3" w:rsidRPr="00401BE4" w:rsidRDefault="00564779" w:rsidP="00051AF3">
      <w:pPr>
        <w:pBdr>
          <w:top w:val="single" w:sz="4" w:space="1" w:color="auto"/>
        </w:pBdr>
        <w:jc w:val="center"/>
        <w:rPr>
          <w:rFonts w:ascii="Times New Roman" w:hAnsi="Times New Roman" w:cs="Times New Roman"/>
          <w:bCs/>
          <w:iCs/>
          <w:sz w:val="24"/>
          <w:szCs w:val="24"/>
        </w:rPr>
      </w:pPr>
      <w:r w:rsidRPr="00401BE4">
        <w:rPr>
          <w:rFonts w:ascii="Times New Roman" w:hAnsi="Times New Roman" w:cs="Times New Roman"/>
          <w:bCs/>
          <w:iCs/>
          <w:sz w:val="24"/>
          <w:szCs w:val="24"/>
        </w:rPr>
        <w:t>21 dias de idade</w:t>
      </w:r>
    </w:p>
    <w:tbl>
      <w:tblPr>
        <w:tblW w:w="9128" w:type="dxa"/>
        <w:jc w:val="center"/>
        <w:tblCellMar>
          <w:left w:w="70" w:type="dxa"/>
          <w:right w:w="70" w:type="dxa"/>
        </w:tblCellMar>
        <w:tblLook w:val="04A0" w:firstRow="1" w:lastRow="0" w:firstColumn="1" w:lastColumn="0" w:noHBand="0" w:noVBand="1"/>
      </w:tblPr>
      <w:tblGrid>
        <w:gridCol w:w="1140"/>
        <w:gridCol w:w="1069"/>
        <w:gridCol w:w="1069"/>
        <w:gridCol w:w="1069"/>
        <w:gridCol w:w="1069"/>
        <w:gridCol w:w="1075"/>
        <w:gridCol w:w="1121"/>
        <w:gridCol w:w="34"/>
        <w:gridCol w:w="785"/>
        <w:gridCol w:w="34"/>
        <w:gridCol w:w="663"/>
      </w:tblGrid>
      <w:tr w:rsidR="00401BE4" w:rsidRPr="00401BE4" w14:paraId="4EB34C77" w14:textId="77777777" w:rsidTr="00401BE4">
        <w:trPr>
          <w:trHeight w:val="268"/>
          <w:jc w:val="center"/>
        </w:trPr>
        <w:tc>
          <w:tcPr>
            <w:tcW w:w="1140" w:type="dxa"/>
            <w:vMerge w:val="restart"/>
            <w:tcBorders>
              <w:top w:val="single" w:sz="4" w:space="0" w:color="auto"/>
              <w:left w:val="nil"/>
              <w:bottom w:val="single" w:sz="4" w:space="0" w:color="auto"/>
              <w:right w:val="nil"/>
            </w:tcBorders>
            <w:shd w:val="clear" w:color="auto" w:fill="auto"/>
            <w:noWrap/>
            <w:vAlign w:val="center"/>
            <w:hideMark/>
          </w:tcPr>
          <w:p w14:paraId="3DD9670E" w14:textId="77777777" w:rsidR="00401BE4" w:rsidRPr="00401BE4" w:rsidRDefault="00401BE4" w:rsidP="00401BE4">
            <w:pPr>
              <w:spacing w:after="0" w:line="240" w:lineRule="auto"/>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Variáveis</w:t>
            </w:r>
          </w:p>
        </w:tc>
        <w:tc>
          <w:tcPr>
            <w:tcW w:w="5351" w:type="dxa"/>
            <w:gridSpan w:val="5"/>
            <w:tcBorders>
              <w:top w:val="single" w:sz="4" w:space="0" w:color="auto"/>
              <w:left w:val="nil"/>
              <w:bottom w:val="single" w:sz="4" w:space="0" w:color="auto"/>
              <w:right w:val="nil"/>
            </w:tcBorders>
            <w:shd w:val="clear" w:color="auto" w:fill="auto"/>
            <w:noWrap/>
            <w:vAlign w:val="bottom"/>
            <w:hideMark/>
          </w:tcPr>
          <w:p w14:paraId="585366EA"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w:t>
            </w:r>
          </w:p>
        </w:tc>
        <w:tc>
          <w:tcPr>
            <w:tcW w:w="1121" w:type="dxa"/>
            <w:vMerge w:val="restart"/>
            <w:tcBorders>
              <w:top w:val="single" w:sz="4" w:space="0" w:color="auto"/>
              <w:left w:val="nil"/>
            </w:tcBorders>
            <w:shd w:val="clear" w:color="auto" w:fill="auto"/>
            <w:noWrap/>
            <w:vAlign w:val="center"/>
            <w:hideMark/>
          </w:tcPr>
          <w:p w14:paraId="12A00F41"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Média</w:t>
            </w:r>
          </w:p>
        </w:tc>
        <w:tc>
          <w:tcPr>
            <w:tcW w:w="819" w:type="dxa"/>
            <w:gridSpan w:val="2"/>
            <w:vMerge w:val="restart"/>
            <w:tcBorders>
              <w:top w:val="single" w:sz="4" w:space="0" w:color="auto"/>
              <w:left w:val="nil"/>
            </w:tcBorders>
            <w:shd w:val="clear" w:color="auto" w:fill="auto"/>
            <w:vAlign w:val="center"/>
          </w:tcPr>
          <w:p w14:paraId="2175E7D6"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P</w:t>
            </w:r>
          </w:p>
        </w:tc>
        <w:tc>
          <w:tcPr>
            <w:tcW w:w="697" w:type="dxa"/>
            <w:gridSpan w:val="2"/>
            <w:vMerge w:val="restart"/>
            <w:tcBorders>
              <w:top w:val="single" w:sz="4" w:space="0" w:color="auto"/>
              <w:left w:val="nil"/>
            </w:tcBorders>
            <w:shd w:val="clear" w:color="auto" w:fill="auto"/>
            <w:vAlign w:val="center"/>
          </w:tcPr>
          <w:p w14:paraId="434BD190"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CV (%)</w:t>
            </w:r>
          </w:p>
        </w:tc>
      </w:tr>
      <w:tr w:rsidR="00401BE4" w:rsidRPr="00401BE4" w14:paraId="28F7D089" w14:textId="77777777" w:rsidTr="00401BE4">
        <w:trPr>
          <w:trHeight w:val="268"/>
          <w:jc w:val="center"/>
        </w:trPr>
        <w:tc>
          <w:tcPr>
            <w:tcW w:w="1140" w:type="dxa"/>
            <w:vMerge/>
            <w:tcBorders>
              <w:top w:val="nil"/>
              <w:left w:val="nil"/>
              <w:bottom w:val="single" w:sz="4" w:space="0" w:color="auto"/>
              <w:right w:val="nil"/>
            </w:tcBorders>
            <w:vAlign w:val="center"/>
            <w:hideMark/>
          </w:tcPr>
          <w:p w14:paraId="4F895230"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p>
        </w:tc>
        <w:tc>
          <w:tcPr>
            <w:tcW w:w="1069" w:type="dxa"/>
            <w:tcBorders>
              <w:top w:val="single" w:sz="4" w:space="0" w:color="auto"/>
              <w:left w:val="nil"/>
              <w:bottom w:val="single" w:sz="4" w:space="0" w:color="auto"/>
              <w:right w:val="nil"/>
            </w:tcBorders>
            <w:shd w:val="clear" w:color="auto" w:fill="auto"/>
            <w:noWrap/>
            <w:vAlign w:val="center"/>
            <w:hideMark/>
          </w:tcPr>
          <w:p w14:paraId="6222D6EC"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CA</w:t>
            </w:r>
          </w:p>
        </w:tc>
        <w:tc>
          <w:tcPr>
            <w:tcW w:w="1069" w:type="dxa"/>
            <w:tcBorders>
              <w:top w:val="single" w:sz="4" w:space="0" w:color="auto"/>
              <w:left w:val="nil"/>
              <w:bottom w:val="single" w:sz="4" w:space="0" w:color="auto"/>
              <w:right w:val="nil"/>
            </w:tcBorders>
            <w:shd w:val="clear" w:color="auto" w:fill="auto"/>
            <w:noWrap/>
            <w:vAlign w:val="center"/>
            <w:hideMark/>
          </w:tcPr>
          <w:p w14:paraId="6D9C139E"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SA</w:t>
            </w:r>
          </w:p>
        </w:tc>
        <w:tc>
          <w:tcPr>
            <w:tcW w:w="1069" w:type="dxa"/>
            <w:tcBorders>
              <w:top w:val="single" w:sz="4" w:space="0" w:color="auto"/>
              <w:left w:val="nil"/>
              <w:bottom w:val="single" w:sz="4" w:space="0" w:color="auto"/>
              <w:right w:val="nil"/>
            </w:tcBorders>
            <w:shd w:val="clear" w:color="auto" w:fill="auto"/>
            <w:noWrap/>
            <w:vAlign w:val="center"/>
            <w:hideMark/>
          </w:tcPr>
          <w:p w14:paraId="17A98638"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w:t>
            </w:r>
          </w:p>
        </w:tc>
        <w:tc>
          <w:tcPr>
            <w:tcW w:w="1069" w:type="dxa"/>
            <w:tcBorders>
              <w:top w:val="single" w:sz="4" w:space="0" w:color="auto"/>
              <w:left w:val="nil"/>
              <w:bottom w:val="single" w:sz="4" w:space="0" w:color="auto"/>
              <w:right w:val="nil"/>
            </w:tcBorders>
            <w:shd w:val="clear" w:color="auto" w:fill="auto"/>
            <w:noWrap/>
            <w:vAlign w:val="center"/>
            <w:hideMark/>
          </w:tcPr>
          <w:p w14:paraId="5D8EC285"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4</w:t>
            </w:r>
          </w:p>
        </w:tc>
        <w:tc>
          <w:tcPr>
            <w:tcW w:w="1075" w:type="dxa"/>
            <w:tcBorders>
              <w:top w:val="single" w:sz="4" w:space="0" w:color="auto"/>
              <w:left w:val="nil"/>
              <w:bottom w:val="single" w:sz="4" w:space="0" w:color="auto"/>
              <w:right w:val="nil"/>
            </w:tcBorders>
            <w:shd w:val="clear" w:color="auto" w:fill="auto"/>
            <w:noWrap/>
            <w:vAlign w:val="center"/>
            <w:hideMark/>
          </w:tcPr>
          <w:p w14:paraId="48C960A7"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6</w:t>
            </w:r>
          </w:p>
        </w:tc>
        <w:tc>
          <w:tcPr>
            <w:tcW w:w="1121" w:type="dxa"/>
            <w:vMerge/>
            <w:tcBorders>
              <w:left w:val="nil"/>
              <w:bottom w:val="single" w:sz="4" w:space="0" w:color="auto"/>
            </w:tcBorders>
            <w:vAlign w:val="center"/>
            <w:hideMark/>
          </w:tcPr>
          <w:p w14:paraId="708DB591"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p>
        </w:tc>
        <w:tc>
          <w:tcPr>
            <w:tcW w:w="819" w:type="dxa"/>
            <w:gridSpan w:val="2"/>
            <w:vMerge/>
            <w:tcBorders>
              <w:left w:val="nil"/>
              <w:bottom w:val="single" w:sz="4" w:space="0" w:color="auto"/>
            </w:tcBorders>
            <w:vAlign w:val="center"/>
          </w:tcPr>
          <w:p w14:paraId="077B5FC9"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p>
        </w:tc>
        <w:tc>
          <w:tcPr>
            <w:tcW w:w="697" w:type="dxa"/>
            <w:gridSpan w:val="2"/>
            <w:vMerge/>
            <w:tcBorders>
              <w:left w:val="nil"/>
              <w:bottom w:val="single" w:sz="4" w:space="0" w:color="auto"/>
            </w:tcBorders>
            <w:vAlign w:val="center"/>
          </w:tcPr>
          <w:p w14:paraId="231648E9"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p>
        </w:tc>
      </w:tr>
      <w:tr w:rsidR="00401BE4" w:rsidRPr="00401BE4" w14:paraId="5DE5982A" w14:textId="77777777" w:rsidTr="00401BE4">
        <w:trPr>
          <w:trHeight w:val="268"/>
          <w:jc w:val="center"/>
        </w:trPr>
        <w:tc>
          <w:tcPr>
            <w:tcW w:w="1140" w:type="dxa"/>
            <w:tcBorders>
              <w:top w:val="single" w:sz="4" w:space="0" w:color="auto"/>
              <w:left w:val="nil"/>
              <w:bottom w:val="nil"/>
              <w:right w:val="nil"/>
            </w:tcBorders>
            <w:shd w:val="clear" w:color="auto" w:fill="auto"/>
            <w:noWrap/>
            <w:vAlign w:val="bottom"/>
          </w:tcPr>
          <w:p w14:paraId="4607F2F5" w14:textId="77777777" w:rsidR="00401BE4" w:rsidRPr="00401BE4" w:rsidRDefault="00401BE4" w:rsidP="00401BE4">
            <w:pPr>
              <w:spacing w:after="0" w:line="240" w:lineRule="auto"/>
              <w:jc w:val="both"/>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CR</w:t>
            </w:r>
            <w:r w:rsidRPr="00401BE4">
              <w:rPr>
                <w:rFonts w:ascii="Times New Roman" w:hAnsi="Times New Roman" w:cs="Times New Roman"/>
                <w:sz w:val="24"/>
                <w:szCs w:val="24"/>
                <w:vertAlign w:val="superscript"/>
                <w:lang w:eastAsia="zh-CN"/>
              </w:rPr>
              <w:t xml:space="preserve"> </w:t>
            </w:r>
            <w:r w:rsidRPr="00401BE4">
              <w:rPr>
                <w:rFonts w:ascii="Times New Roman" w:hAnsi="Times New Roman" w:cs="Times New Roman"/>
                <w:sz w:val="24"/>
                <w:szCs w:val="24"/>
                <w:lang w:eastAsia="zh-CN"/>
              </w:rPr>
              <w:t>(g)</w:t>
            </w:r>
          </w:p>
        </w:tc>
        <w:tc>
          <w:tcPr>
            <w:tcW w:w="1069" w:type="dxa"/>
            <w:tcBorders>
              <w:top w:val="single" w:sz="4" w:space="0" w:color="auto"/>
              <w:left w:val="nil"/>
              <w:bottom w:val="nil"/>
              <w:right w:val="nil"/>
            </w:tcBorders>
            <w:shd w:val="clear" w:color="auto" w:fill="auto"/>
            <w:noWrap/>
            <w:vAlign w:val="center"/>
          </w:tcPr>
          <w:p w14:paraId="3A007D04"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1446.25</w:t>
            </w:r>
          </w:p>
        </w:tc>
        <w:tc>
          <w:tcPr>
            <w:tcW w:w="1069" w:type="dxa"/>
            <w:tcBorders>
              <w:top w:val="single" w:sz="4" w:space="0" w:color="auto"/>
              <w:left w:val="nil"/>
              <w:bottom w:val="nil"/>
              <w:right w:val="nil"/>
            </w:tcBorders>
            <w:shd w:val="clear" w:color="auto" w:fill="auto"/>
            <w:noWrap/>
            <w:vAlign w:val="center"/>
          </w:tcPr>
          <w:p w14:paraId="3FC8DE64"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1505.36</w:t>
            </w:r>
          </w:p>
        </w:tc>
        <w:tc>
          <w:tcPr>
            <w:tcW w:w="1069" w:type="dxa"/>
            <w:tcBorders>
              <w:top w:val="single" w:sz="4" w:space="0" w:color="auto"/>
              <w:left w:val="nil"/>
              <w:bottom w:val="nil"/>
              <w:right w:val="nil"/>
            </w:tcBorders>
            <w:shd w:val="clear" w:color="auto" w:fill="auto"/>
            <w:noWrap/>
            <w:vAlign w:val="center"/>
          </w:tcPr>
          <w:p w14:paraId="1808774D"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1493.25</w:t>
            </w:r>
          </w:p>
        </w:tc>
        <w:tc>
          <w:tcPr>
            <w:tcW w:w="1069" w:type="dxa"/>
            <w:tcBorders>
              <w:top w:val="single" w:sz="4" w:space="0" w:color="auto"/>
              <w:left w:val="nil"/>
              <w:bottom w:val="nil"/>
              <w:right w:val="nil"/>
            </w:tcBorders>
            <w:shd w:val="clear" w:color="auto" w:fill="auto"/>
            <w:noWrap/>
            <w:vAlign w:val="center"/>
          </w:tcPr>
          <w:p w14:paraId="17D577B4"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1492.25</w:t>
            </w:r>
          </w:p>
        </w:tc>
        <w:tc>
          <w:tcPr>
            <w:tcW w:w="1075" w:type="dxa"/>
            <w:tcBorders>
              <w:top w:val="single" w:sz="4" w:space="0" w:color="auto"/>
              <w:left w:val="nil"/>
              <w:bottom w:val="nil"/>
              <w:right w:val="nil"/>
            </w:tcBorders>
            <w:shd w:val="clear" w:color="auto" w:fill="auto"/>
            <w:noWrap/>
            <w:vAlign w:val="center"/>
          </w:tcPr>
          <w:p w14:paraId="735DE6BD"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1592.25</w:t>
            </w:r>
          </w:p>
        </w:tc>
        <w:tc>
          <w:tcPr>
            <w:tcW w:w="1155" w:type="dxa"/>
            <w:gridSpan w:val="2"/>
            <w:tcBorders>
              <w:top w:val="single" w:sz="4" w:space="0" w:color="auto"/>
              <w:left w:val="nil"/>
              <w:bottom w:val="nil"/>
              <w:right w:val="nil"/>
            </w:tcBorders>
            <w:shd w:val="clear" w:color="auto" w:fill="auto"/>
            <w:noWrap/>
            <w:vAlign w:val="center"/>
          </w:tcPr>
          <w:p w14:paraId="7469E342"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1505.872</w:t>
            </w:r>
          </w:p>
        </w:tc>
        <w:tc>
          <w:tcPr>
            <w:tcW w:w="819" w:type="dxa"/>
            <w:gridSpan w:val="2"/>
            <w:tcBorders>
              <w:top w:val="single" w:sz="4" w:space="0" w:color="auto"/>
              <w:left w:val="nil"/>
              <w:bottom w:val="nil"/>
              <w:right w:val="nil"/>
            </w:tcBorders>
            <w:shd w:val="clear" w:color="auto" w:fill="auto"/>
            <w:noWrap/>
            <w:vAlign w:val="center"/>
          </w:tcPr>
          <w:p w14:paraId="1D404BE5"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0.338</w:t>
            </w:r>
          </w:p>
        </w:tc>
        <w:tc>
          <w:tcPr>
            <w:tcW w:w="663" w:type="dxa"/>
            <w:tcBorders>
              <w:top w:val="single" w:sz="4" w:space="0" w:color="auto"/>
              <w:left w:val="nil"/>
              <w:bottom w:val="nil"/>
              <w:right w:val="nil"/>
            </w:tcBorders>
            <w:shd w:val="clear" w:color="auto" w:fill="auto"/>
            <w:noWrap/>
            <w:vAlign w:val="center"/>
          </w:tcPr>
          <w:p w14:paraId="46AC5FD7"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6.3</w:t>
            </w:r>
          </w:p>
        </w:tc>
      </w:tr>
      <w:tr w:rsidR="00401BE4" w:rsidRPr="00401BE4" w14:paraId="4A93CB83" w14:textId="77777777" w:rsidTr="00401BE4">
        <w:trPr>
          <w:trHeight w:val="268"/>
          <w:jc w:val="center"/>
        </w:trPr>
        <w:tc>
          <w:tcPr>
            <w:tcW w:w="1140" w:type="dxa"/>
            <w:tcBorders>
              <w:top w:val="nil"/>
              <w:left w:val="nil"/>
              <w:bottom w:val="nil"/>
              <w:right w:val="nil"/>
            </w:tcBorders>
            <w:shd w:val="clear" w:color="auto" w:fill="auto"/>
            <w:noWrap/>
            <w:vAlign w:val="bottom"/>
          </w:tcPr>
          <w:p w14:paraId="4C0B7406" w14:textId="77777777" w:rsidR="00401BE4" w:rsidRPr="00401BE4" w:rsidRDefault="00401BE4" w:rsidP="00401BE4">
            <w:pPr>
              <w:spacing w:after="0" w:line="240" w:lineRule="auto"/>
              <w:jc w:val="both"/>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GP</w:t>
            </w:r>
            <w:r w:rsidRPr="00401BE4">
              <w:rPr>
                <w:rFonts w:ascii="Times New Roman" w:hAnsi="Times New Roman" w:cs="Times New Roman"/>
                <w:sz w:val="24"/>
                <w:szCs w:val="24"/>
                <w:vertAlign w:val="superscript"/>
                <w:lang w:eastAsia="zh-CN"/>
              </w:rPr>
              <w:t xml:space="preserve"> </w:t>
            </w:r>
            <w:r w:rsidRPr="00401BE4">
              <w:rPr>
                <w:rFonts w:ascii="Times New Roman" w:hAnsi="Times New Roman" w:cs="Times New Roman"/>
                <w:sz w:val="24"/>
                <w:szCs w:val="24"/>
                <w:lang w:eastAsia="zh-CN"/>
              </w:rPr>
              <w:t>(g)</w:t>
            </w:r>
          </w:p>
        </w:tc>
        <w:tc>
          <w:tcPr>
            <w:tcW w:w="1069" w:type="dxa"/>
            <w:tcBorders>
              <w:top w:val="nil"/>
              <w:left w:val="nil"/>
              <w:bottom w:val="nil"/>
              <w:right w:val="nil"/>
            </w:tcBorders>
            <w:shd w:val="clear" w:color="auto" w:fill="auto"/>
            <w:noWrap/>
            <w:vAlign w:val="center"/>
          </w:tcPr>
          <w:p w14:paraId="6E6EF22D"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999.250</w:t>
            </w:r>
          </w:p>
        </w:tc>
        <w:tc>
          <w:tcPr>
            <w:tcW w:w="1069" w:type="dxa"/>
            <w:tcBorders>
              <w:top w:val="nil"/>
              <w:left w:val="nil"/>
              <w:bottom w:val="nil"/>
              <w:right w:val="nil"/>
            </w:tcBorders>
            <w:shd w:val="clear" w:color="auto" w:fill="auto"/>
            <w:noWrap/>
            <w:vAlign w:val="center"/>
          </w:tcPr>
          <w:p w14:paraId="314DAD0C"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1022.02</w:t>
            </w:r>
          </w:p>
        </w:tc>
        <w:tc>
          <w:tcPr>
            <w:tcW w:w="1069" w:type="dxa"/>
            <w:tcBorders>
              <w:top w:val="nil"/>
              <w:left w:val="nil"/>
              <w:bottom w:val="nil"/>
              <w:right w:val="nil"/>
            </w:tcBorders>
            <w:shd w:val="clear" w:color="auto" w:fill="auto"/>
            <w:noWrap/>
            <w:vAlign w:val="center"/>
          </w:tcPr>
          <w:p w14:paraId="0BF47337"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995.500</w:t>
            </w:r>
          </w:p>
        </w:tc>
        <w:tc>
          <w:tcPr>
            <w:tcW w:w="1069" w:type="dxa"/>
            <w:tcBorders>
              <w:top w:val="nil"/>
              <w:left w:val="nil"/>
              <w:bottom w:val="nil"/>
              <w:right w:val="nil"/>
            </w:tcBorders>
            <w:shd w:val="clear" w:color="auto" w:fill="auto"/>
            <w:noWrap/>
            <w:vAlign w:val="center"/>
          </w:tcPr>
          <w:p w14:paraId="3BF4ADE4"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1021.50</w:t>
            </w:r>
          </w:p>
        </w:tc>
        <w:tc>
          <w:tcPr>
            <w:tcW w:w="1075" w:type="dxa"/>
            <w:tcBorders>
              <w:top w:val="nil"/>
              <w:left w:val="nil"/>
              <w:bottom w:val="nil"/>
              <w:right w:val="nil"/>
            </w:tcBorders>
            <w:shd w:val="clear" w:color="auto" w:fill="auto"/>
            <w:noWrap/>
            <w:vAlign w:val="center"/>
          </w:tcPr>
          <w:p w14:paraId="34BFE469"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1014.56</w:t>
            </w:r>
          </w:p>
        </w:tc>
        <w:tc>
          <w:tcPr>
            <w:tcW w:w="1155" w:type="dxa"/>
            <w:gridSpan w:val="2"/>
            <w:tcBorders>
              <w:top w:val="nil"/>
              <w:left w:val="nil"/>
              <w:bottom w:val="nil"/>
              <w:right w:val="nil"/>
            </w:tcBorders>
            <w:shd w:val="clear" w:color="auto" w:fill="auto"/>
            <w:noWrap/>
            <w:vAlign w:val="center"/>
          </w:tcPr>
          <w:p w14:paraId="40AA6F27"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1010.568</w:t>
            </w:r>
          </w:p>
        </w:tc>
        <w:tc>
          <w:tcPr>
            <w:tcW w:w="819" w:type="dxa"/>
            <w:gridSpan w:val="2"/>
            <w:tcBorders>
              <w:top w:val="nil"/>
              <w:left w:val="nil"/>
              <w:bottom w:val="nil"/>
              <w:right w:val="nil"/>
            </w:tcBorders>
            <w:shd w:val="clear" w:color="auto" w:fill="auto"/>
            <w:noWrap/>
            <w:vAlign w:val="center"/>
          </w:tcPr>
          <w:p w14:paraId="6577114B"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0.947</w:t>
            </w:r>
          </w:p>
        </w:tc>
        <w:tc>
          <w:tcPr>
            <w:tcW w:w="663" w:type="dxa"/>
            <w:tcBorders>
              <w:top w:val="nil"/>
              <w:left w:val="nil"/>
              <w:bottom w:val="nil"/>
              <w:right w:val="nil"/>
            </w:tcBorders>
            <w:shd w:val="clear" w:color="auto" w:fill="auto"/>
            <w:noWrap/>
            <w:vAlign w:val="center"/>
          </w:tcPr>
          <w:p w14:paraId="23DF5A31"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5.9</w:t>
            </w:r>
          </w:p>
        </w:tc>
      </w:tr>
      <w:tr w:rsidR="00401BE4" w:rsidRPr="00401BE4" w14:paraId="3390A41B" w14:textId="77777777" w:rsidTr="00401BE4">
        <w:trPr>
          <w:trHeight w:val="268"/>
          <w:jc w:val="center"/>
        </w:trPr>
        <w:tc>
          <w:tcPr>
            <w:tcW w:w="1140" w:type="dxa"/>
            <w:tcBorders>
              <w:top w:val="nil"/>
              <w:left w:val="nil"/>
              <w:right w:val="nil"/>
            </w:tcBorders>
            <w:shd w:val="clear" w:color="auto" w:fill="auto"/>
            <w:noWrap/>
            <w:vAlign w:val="bottom"/>
          </w:tcPr>
          <w:p w14:paraId="22F345E5" w14:textId="77777777" w:rsidR="00401BE4" w:rsidRPr="00401BE4" w:rsidRDefault="00401BE4" w:rsidP="00401BE4">
            <w:pPr>
              <w:spacing w:after="0" w:line="240" w:lineRule="auto"/>
              <w:jc w:val="both"/>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CA</w:t>
            </w:r>
            <w:r w:rsidRPr="00401BE4">
              <w:rPr>
                <w:rFonts w:ascii="Times New Roman" w:hAnsi="Times New Roman" w:cs="Times New Roman"/>
                <w:sz w:val="24"/>
                <w:szCs w:val="24"/>
                <w:vertAlign w:val="superscript"/>
                <w:lang w:eastAsia="zh-CN"/>
              </w:rPr>
              <w:t xml:space="preserve"> </w:t>
            </w:r>
          </w:p>
        </w:tc>
        <w:tc>
          <w:tcPr>
            <w:tcW w:w="1069" w:type="dxa"/>
            <w:tcBorders>
              <w:top w:val="nil"/>
              <w:left w:val="nil"/>
              <w:right w:val="nil"/>
            </w:tcBorders>
            <w:shd w:val="clear" w:color="auto" w:fill="auto"/>
            <w:noWrap/>
            <w:vAlign w:val="center"/>
          </w:tcPr>
          <w:p w14:paraId="69CD2BD8"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1.450</w:t>
            </w:r>
          </w:p>
        </w:tc>
        <w:tc>
          <w:tcPr>
            <w:tcW w:w="1069" w:type="dxa"/>
            <w:tcBorders>
              <w:top w:val="nil"/>
              <w:left w:val="nil"/>
              <w:right w:val="nil"/>
            </w:tcBorders>
            <w:shd w:val="clear" w:color="auto" w:fill="auto"/>
            <w:noWrap/>
            <w:vAlign w:val="center"/>
          </w:tcPr>
          <w:p w14:paraId="7F17EC82"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1.475</w:t>
            </w:r>
          </w:p>
        </w:tc>
        <w:tc>
          <w:tcPr>
            <w:tcW w:w="1069" w:type="dxa"/>
            <w:tcBorders>
              <w:top w:val="nil"/>
              <w:left w:val="nil"/>
              <w:right w:val="nil"/>
            </w:tcBorders>
            <w:shd w:val="clear" w:color="auto" w:fill="auto"/>
            <w:noWrap/>
            <w:vAlign w:val="center"/>
          </w:tcPr>
          <w:p w14:paraId="53D93EC5"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1.500</w:t>
            </w:r>
          </w:p>
        </w:tc>
        <w:tc>
          <w:tcPr>
            <w:tcW w:w="1069" w:type="dxa"/>
            <w:tcBorders>
              <w:top w:val="nil"/>
              <w:left w:val="nil"/>
              <w:right w:val="nil"/>
            </w:tcBorders>
            <w:shd w:val="clear" w:color="auto" w:fill="auto"/>
            <w:noWrap/>
            <w:vAlign w:val="center"/>
          </w:tcPr>
          <w:p w14:paraId="5049FC08"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1.475</w:t>
            </w:r>
          </w:p>
        </w:tc>
        <w:tc>
          <w:tcPr>
            <w:tcW w:w="1075" w:type="dxa"/>
            <w:tcBorders>
              <w:top w:val="nil"/>
              <w:left w:val="nil"/>
              <w:right w:val="nil"/>
            </w:tcBorders>
            <w:shd w:val="clear" w:color="auto" w:fill="auto"/>
            <w:noWrap/>
            <w:vAlign w:val="center"/>
          </w:tcPr>
          <w:p w14:paraId="4156B166"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1.550</w:t>
            </w:r>
          </w:p>
        </w:tc>
        <w:tc>
          <w:tcPr>
            <w:tcW w:w="1155" w:type="dxa"/>
            <w:gridSpan w:val="2"/>
            <w:tcBorders>
              <w:top w:val="nil"/>
              <w:left w:val="nil"/>
              <w:right w:val="nil"/>
            </w:tcBorders>
            <w:shd w:val="clear" w:color="auto" w:fill="auto"/>
            <w:noWrap/>
            <w:vAlign w:val="center"/>
          </w:tcPr>
          <w:p w14:paraId="35E05E83"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1.490</w:t>
            </w:r>
          </w:p>
        </w:tc>
        <w:tc>
          <w:tcPr>
            <w:tcW w:w="819" w:type="dxa"/>
            <w:gridSpan w:val="2"/>
            <w:tcBorders>
              <w:top w:val="nil"/>
              <w:left w:val="nil"/>
              <w:right w:val="nil"/>
            </w:tcBorders>
            <w:shd w:val="clear" w:color="auto" w:fill="auto"/>
            <w:noWrap/>
            <w:vAlign w:val="center"/>
          </w:tcPr>
          <w:p w14:paraId="7B9693DD"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0.852</w:t>
            </w:r>
          </w:p>
        </w:tc>
        <w:tc>
          <w:tcPr>
            <w:tcW w:w="663" w:type="dxa"/>
            <w:tcBorders>
              <w:top w:val="nil"/>
              <w:left w:val="nil"/>
              <w:right w:val="nil"/>
            </w:tcBorders>
            <w:shd w:val="clear" w:color="auto" w:fill="auto"/>
            <w:noWrap/>
            <w:vAlign w:val="center"/>
          </w:tcPr>
          <w:p w14:paraId="5AB3820A"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8.8</w:t>
            </w:r>
          </w:p>
        </w:tc>
      </w:tr>
      <w:tr w:rsidR="00401BE4" w:rsidRPr="00401BE4" w14:paraId="28D7A59D" w14:textId="77777777" w:rsidTr="00401BE4">
        <w:trPr>
          <w:trHeight w:val="268"/>
          <w:jc w:val="center"/>
        </w:trPr>
        <w:tc>
          <w:tcPr>
            <w:tcW w:w="1140" w:type="dxa"/>
            <w:tcBorders>
              <w:top w:val="nil"/>
              <w:left w:val="nil"/>
              <w:bottom w:val="single" w:sz="4" w:space="0" w:color="auto"/>
              <w:right w:val="nil"/>
            </w:tcBorders>
            <w:shd w:val="clear" w:color="auto" w:fill="auto"/>
            <w:noWrap/>
            <w:vAlign w:val="bottom"/>
          </w:tcPr>
          <w:p w14:paraId="4EF47DEB" w14:textId="77777777" w:rsidR="00401BE4" w:rsidRPr="00401BE4" w:rsidRDefault="00401BE4" w:rsidP="00401BE4">
            <w:pPr>
              <w:spacing w:after="0" w:line="240" w:lineRule="auto"/>
              <w:jc w:val="both"/>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P21d</w:t>
            </w:r>
            <w:r w:rsidRPr="00401BE4">
              <w:rPr>
                <w:rFonts w:ascii="Times New Roman" w:hAnsi="Times New Roman" w:cs="Times New Roman"/>
                <w:sz w:val="24"/>
                <w:szCs w:val="24"/>
                <w:lang w:eastAsia="zh-CN"/>
              </w:rPr>
              <w:t xml:space="preserve"> (g)</w:t>
            </w:r>
          </w:p>
        </w:tc>
        <w:tc>
          <w:tcPr>
            <w:tcW w:w="1069" w:type="dxa"/>
            <w:tcBorders>
              <w:top w:val="nil"/>
              <w:left w:val="nil"/>
              <w:bottom w:val="single" w:sz="4" w:space="0" w:color="auto"/>
              <w:right w:val="nil"/>
            </w:tcBorders>
            <w:shd w:val="clear" w:color="auto" w:fill="auto"/>
            <w:noWrap/>
            <w:vAlign w:val="center"/>
          </w:tcPr>
          <w:p w14:paraId="148F7F9C"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1170.50</w:t>
            </w:r>
          </w:p>
        </w:tc>
        <w:tc>
          <w:tcPr>
            <w:tcW w:w="1069" w:type="dxa"/>
            <w:tcBorders>
              <w:top w:val="nil"/>
              <w:left w:val="nil"/>
              <w:bottom w:val="single" w:sz="4" w:space="0" w:color="auto"/>
              <w:right w:val="nil"/>
            </w:tcBorders>
            <w:shd w:val="clear" w:color="auto" w:fill="auto"/>
            <w:noWrap/>
            <w:vAlign w:val="center"/>
          </w:tcPr>
          <w:p w14:paraId="601F31FA"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1193.77</w:t>
            </w:r>
          </w:p>
        </w:tc>
        <w:tc>
          <w:tcPr>
            <w:tcW w:w="1069" w:type="dxa"/>
            <w:tcBorders>
              <w:top w:val="nil"/>
              <w:left w:val="nil"/>
              <w:bottom w:val="single" w:sz="4" w:space="0" w:color="auto"/>
              <w:right w:val="nil"/>
            </w:tcBorders>
            <w:shd w:val="clear" w:color="auto" w:fill="auto"/>
            <w:noWrap/>
            <w:vAlign w:val="center"/>
          </w:tcPr>
          <w:p w14:paraId="27CD2767"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1167.25</w:t>
            </w:r>
          </w:p>
        </w:tc>
        <w:tc>
          <w:tcPr>
            <w:tcW w:w="1069" w:type="dxa"/>
            <w:tcBorders>
              <w:top w:val="nil"/>
              <w:left w:val="nil"/>
              <w:bottom w:val="single" w:sz="4" w:space="0" w:color="auto"/>
              <w:right w:val="nil"/>
            </w:tcBorders>
            <w:shd w:val="clear" w:color="auto" w:fill="auto"/>
            <w:noWrap/>
            <w:vAlign w:val="center"/>
          </w:tcPr>
          <w:p w14:paraId="046D5D42"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1193.25</w:t>
            </w:r>
          </w:p>
        </w:tc>
        <w:tc>
          <w:tcPr>
            <w:tcW w:w="1075" w:type="dxa"/>
            <w:tcBorders>
              <w:top w:val="nil"/>
              <w:left w:val="nil"/>
              <w:bottom w:val="single" w:sz="4" w:space="0" w:color="auto"/>
              <w:right w:val="nil"/>
            </w:tcBorders>
            <w:shd w:val="clear" w:color="auto" w:fill="auto"/>
            <w:noWrap/>
            <w:vAlign w:val="center"/>
          </w:tcPr>
          <w:p w14:paraId="729F6159"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1186.43</w:t>
            </w:r>
          </w:p>
        </w:tc>
        <w:tc>
          <w:tcPr>
            <w:tcW w:w="1155" w:type="dxa"/>
            <w:gridSpan w:val="2"/>
            <w:tcBorders>
              <w:top w:val="nil"/>
              <w:left w:val="nil"/>
              <w:bottom w:val="single" w:sz="4" w:space="0" w:color="auto"/>
              <w:right w:val="nil"/>
            </w:tcBorders>
            <w:shd w:val="clear" w:color="auto" w:fill="auto"/>
            <w:noWrap/>
            <w:vAlign w:val="center"/>
          </w:tcPr>
          <w:p w14:paraId="67669242"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1182.243</w:t>
            </w:r>
          </w:p>
        </w:tc>
        <w:tc>
          <w:tcPr>
            <w:tcW w:w="819" w:type="dxa"/>
            <w:gridSpan w:val="2"/>
            <w:tcBorders>
              <w:top w:val="nil"/>
              <w:left w:val="nil"/>
              <w:bottom w:val="single" w:sz="4" w:space="0" w:color="auto"/>
              <w:right w:val="nil"/>
            </w:tcBorders>
            <w:shd w:val="clear" w:color="auto" w:fill="auto"/>
            <w:noWrap/>
            <w:vAlign w:val="center"/>
          </w:tcPr>
          <w:p w14:paraId="6505E2CA"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0.946</w:t>
            </w:r>
          </w:p>
        </w:tc>
        <w:tc>
          <w:tcPr>
            <w:tcW w:w="663" w:type="dxa"/>
            <w:tcBorders>
              <w:top w:val="nil"/>
              <w:left w:val="nil"/>
              <w:bottom w:val="single" w:sz="4" w:space="0" w:color="auto"/>
              <w:right w:val="nil"/>
            </w:tcBorders>
            <w:shd w:val="clear" w:color="auto" w:fill="auto"/>
            <w:noWrap/>
            <w:vAlign w:val="center"/>
          </w:tcPr>
          <w:p w14:paraId="2DDA400B"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5.0</w:t>
            </w:r>
          </w:p>
        </w:tc>
      </w:tr>
    </w:tbl>
    <w:p w14:paraId="25C1D318" w14:textId="77777777" w:rsidR="00F91A96" w:rsidRPr="00401BE4" w:rsidRDefault="00F91A96" w:rsidP="00F91A96">
      <w:pPr>
        <w:spacing w:after="0" w:line="240" w:lineRule="auto"/>
        <w:rPr>
          <w:rFonts w:ascii="Times New Roman" w:eastAsia="Times New Roman" w:hAnsi="Times New Roman" w:cs="Times New Roman"/>
          <w:sz w:val="24"/>
          <w:szCs w:val="24"/>
          <w:lang w:eastAsia="zh-CN"/>
        </w:rPr>
      </w:pPr>
    </w:p>
    <w:p w14:paraId="059F2165" w14:textId="77777777" w:rsidR="00F91A96" w:rsidRPr="00401BE4" w:rsidRDefault="00F91A96" w:rsidP="00564779">
      <w:pPr>
        <w:spacing w:after="0" w:line="240" w:lineRule="auto"/>
        <w:jc w:val="center"/>
        <w:rPr>
          <w:rFonts w:ascii="Times New Roman" w:eastAsia="Times New Roman" w:hAnsi="Times New Roman" w:cs="Times New Roman"/>
          <w:vanish/>
          <w:sz w:val="24"/>
          <w:szCs w:val="24"/>
          <w:lang w:eastAsia="zh-CN"/>
        </w:rPr>
      </w:pPr>
    </w:p>
    <w:p w14:paraId="4A8994F6" w14:textId="77777777" w:rsidR="003F1F9F" w:rsidRPr="00401BE4" w:rsidRDefault="003F1F9F" w:rsidP="00564779">
      <w:pPr>
        <w:spacing w:after="0" w:line="240" w:lineRule="auto"/>
        <w:jc w:val="center"/>
        <w:rPr>
          <w:rFonts w:ascii="Times New Roman" w:eastAsia="Times New Roman" w:hAnsi="Times New Roman" w:cs="Times New Roman"/>
          <w:bCs/>
          <w:iCs/>
          <w:sz w:val="24"/>
          <w:szCs w:val="24"/>
          <w:lang w:eastAsia="zh-CN"/>
        </w:rPr>
      </w:pPr>
      <w:r w:rsidRPr="00401BE4">
        <w:rPr>
          <w:rFonts w:ascii="Times New Roman" w:eastAsia="Times New Roman" w:hAnsi="Times New Roman" w:cs="Times New Roman"/>
          <w:bCs/>
          <w:iCs/>
          <w:sz w:val="24"/>
          <w:szCs w:val="24"/>
          <w:lang w:eastAsia="zh-CN"/>
        </w:rPr>
        <w:t>42 dias de idade</w:t>
      </w:r>
    </w:p>
    <w:tbl>
      <w:tblPr>
        <w:tblW w:w="9156" w:type="dxa"/>
        <w:jc w:val="center"/>
        <w:tblCellMar>
          <w:left w:w="70" w:type="dxa"/>
          <w:right w:w="70" w:type="dxa"/>
        </w:tblCellMar>
        <w:tblLook w:val="04A0" w:firstRow="1" w:lastRow="0" w:firstColumn="1" w:lastColumn="0" w:noHBand="0" w:noVBand="1"/>
      </w:tblPr>
      <w:tblGrid>
        <w:gridCol w:w="1034"/>
        <w:gridCol w:w="1083"/>
        <w:gridCol w:w="1083"/>
        <w:gridCol w:w="1083"/>
        <w:gridCol w:w="1083"/>
        <w:gridCol w:w="1088"/>
        <w:gridCol w:w="987"/>
        <w:gridCol w:w="141"/>
        <w:gridCol w:w="773"/>
        <w:gridCol w:w="141"/>
        <w:gridCol w:w="660"/>
      </w:tblGrid>
      <w:tr w:rsidR="00401BE4" w:rsidRPr="00401BE4" w14:paraId="75E7497A" w14:textId="77777777" w:rsidTr="00401BE4">
        <w:trPr>
          <w:trHeight w:val="201"/>
          <w:jc w:val="center"/>
        </w:trPr>
        <w:tc>
          <w:tcPr>
            <w:tcW w:w="1034" w:type="dxa"/>
            <w:vMerge w:val="restart"/>
            <w:tcBorders>
              <w:top w:val="single" w:sz="4" w:space="0" w:color="auto"/>
              <w:left w:val="nil"/>
              <w:bottom w:val="single" w:sz="4" w:space="0" w:color="auto"/>
              <w:right w:val="nil"/>
            </w:tcBorders>
            <w:shd w:val="clear" w:color="auto" w:fill="auto"/>
            <w:noWrap/>
            <w:vAlign w:val="center"/>
            <w:hideMark/>
          </w:tcPr>
          <w:p w14:paraId="78E38988" w14:textId="77777777" w:rsidR="00401BE4" w:rsidRPr="00401BE4" w:rsidRDefault="00401BE4" w:rsidP="00401BE4">
            <w:pPr>
              <w:suppressAutoHyphens w:val="0"/>
              <w:spacing w:after="0" w:line="240" w:lineRule="auto"/>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Variáveis</w:t>
            </w:r>
          </w:p>
        </w:tc>
        <w:tc>
          <w:tcPr>
            <w:tcW w:w="5420" w:type="dxa"/>
            <w:gridSpan w:val="5"/>
            <w:tcBorders>
              <w:top w:val="single" w:sz="4" w:space="0" w:color="auto"/>
              <w:left w:val="nil"/>
              <w:bottom w:val="single" w:sz="4" w:space="0" w:color="auto"/>
              <w:right w:val="nil"/>
            </w:tcBorders>
            <w:shd w:val="clear" w:color="auto" w:fill="auto"/>
            <w:noWrap/>
            <w:vAlign w:val="bottom"/>
            <w:hideMark/>
          </w:tcPr>
          <w:p w14:paraId="4C2020C4"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 xml:space="preserve"> (%)</w:t>
            </w:r>
          </w:p>
        </w:tc>
        <w:tc>
          <w:tcPr>
            <w:tcW w:w="987" w:type="dxa"/>
            <w:vMerge w:val="restart"/>
            <w:tcBorders>
              <w:top w:val="single" w:sz="4" w:space="0" w:color="auto"/>
              <w:left w:val="nil"/>
            </w:tcBorders>
            <w:shd w:val="clear" w:color="auto" w:fill="auto"/>
            <w:noWrap/>
            <w:vAlign w:val="center"/>
            <w:hideMark/>
          </w:tcPr>
          <w:p w14:paraId="0795CA83"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Média</w:t>
            </w:r>
          </w:p>
        </w:tc>
        <w:tc>
          <w:tcPr>
            <w:tcW w:w="914" w:type="dxa"/>
            <w:gridSpan w:val="2"/>
            <w:vMerge w:val="restart"/>
            <w:tcBorders>
              <w:top w:val="single" w:sz="4" w:space="0" w:color="auto"/>
              <w:left w:val="nil"/>
            </w:tcBorders>
            <w:shd w:val="clear" w:color="auto" w:fill="auto"/>
            <w:vAlign w:val="center"/>
          </w:tcPr>
          <w:p w14:paraId="1886A5C3"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P</w:t>
            </w:r>
          </w:p>
        </w:tc>
        <w:tc>
          <w:tcPr>
            <w:tcW w:w="801" w:type="dxa"/>
            <w:gridSpan w:val="2"/>
            <w:vMerge w:val="restart"/>
            <w:tcBorders>
              <w:top w:val="single" w:sz="4" w:space="0" w:color="auto"/>
              <w:left w:val="nil"/>
            </w:tcBorders>
            <w:shd w:val="clear" w:color="auto" w:fill="auto"/>
            <w:vAlign w:val="center"/>
          </w:tcPr>
          <w:p w14:paraId="0091D6BA"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CV (%)</w:t>
            </w:r>
          </w:p>
        </w:tc>
      </w:tr>
      <w:tr w:rsidR="00401BE4" w:rsidRPr="00401BE4" w14:paraId="0EF5402D" w14:textId="77777777" w:rsidTr="00401BE4">
        <w:trPr>
          <w:trHeight w:val="201"/>
          <w:jc w:val="center"/>
        </w:trPr>
        <w:tc>
          <w:tcPr>
            <w:tcW w:w="1034" w:type="dxa"/>
            <w:vMerge/>
            <w:tcBorders>
              <w:top w:val="nil"/>
              <w:left w:val="nil"/>
              <w:bottom w:val="single" w:sz="4" w:space="0" w:color="auto"/>
              <w:right w:val="nil"/>
            </w:tcBorders>
            <w:vAlign w:val="center"/>
            <w:hideMark/>
          </w:tcPr>
          <w:p w14:paraId="44FAB818"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p>
        </w:tc>
        <w:tc>
          <w:tcPr>
            <w:tcW w:w="1083" w:type="dxa"/>
            <w:tcBorders>
              <w:top w:val="single" w:sz="4" w:space="0" w:color="auto"/>
              <w:left w:val="nil"/>
              <w:bottom w:val="single" w:sz="4" w:space="0" w:color="auto"/>
              <w:right w:val="nil"/>
            </w:tcBorders>
            <w:shd w:val="clear" w:color="auto" w:fill="auto"/>
            <w:noWrap/>
            <w:vAlign w:val="center"/>
            <w:hideMark/>
          </w:tcPr>
          <w:p w14:paraId="61754FF3"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CA</w:t>
            </w:r>
          </w:p>
        </w:tc>
        <w:tc>
          <w:tcPr>
            <w:tcW w:w="1083" w:type="dxa"/>
            <w:tcBorders>
              <w:top w:val="single" w:sz="4" w:space="0" w:color="auto"/>
              <w:left w:val="nil"/>
              <w:bottom w:val="single" w:sz="4" w:space="0" w:color="auto"/>
              <w:right w:val="nil"/>
            </w:tcBorders>
            <w:shd w:val="clear" w:color="auto" w:fill="auto"/>
            <w:noWrap/>
            <w:vAlign w:val="center"/>
            <w:hideMark/>
          </w:tcPr>
          <w:p w14:paraId="6C89184F"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SA</w:t>
            </w:r>
          </w:p>
        </w:tc>
        <w:tc>
          <w:tcPr>
            <w:tcW w:w="1083" w:type="dxa"/>
            <w:tcBorders>
              <w:top w:val="single" w:sz="4" w:space="0" w:color="auto"/>
              <w:left w:val="nil"/>
              <w:bottom w:val="single" w:sz="4" w:space="0" w:color="auto"/>
              <w:right w:val="nil"/>
            </w:tcBorders>
            <w:shd w:val="clear" w:color="auto" w:fill="auto"/>
            <w:noWrap/>
            <w:vAlign w:val="center"/>
            <w:hideMark/>
          </w:tcPr>
          <w:p w14:paraId="62767247"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w:t>
            </w:r>
          </w:p>
        </w:tc>
        <w:tc>
          <w:tcPr>
            <w:tcW w:w="1083" w:type="dxa"/>
            <w:tcBorders>
              <w:top w:val="single" w:sz="4" w:space="0" w:color="auto"/>
              <w:left w:val="nil"/>
              <w:bottom w:val="single" w:sz="4" w:space="0" w:color="auto"/>
              <w:right w:val="nil"/>
            </w:tcBorders>
            <w:shd w:val="clear" w:color="auto" w:fill="auto"/>
            <w:noWrap/>
            <w:vAlign w:val="center"/>
            <w:hideMark/>
          </w:tcPr>
          <w:p w14:paraId="750AF710"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4</w:t>
            </w:r>
          </w:p>
        </w:tc>
        <w:tc>
          <w:tcPr>
            <w:tcW w:w="1088" w:type="dxa"/>
            <w:tcBorders>
              <w:top w:val="single" w:sz="4" w:space="0" w:color="auto"/>
              <w:left w:val="nil"/>
              <w:bottom w:val="single" w:sz="4" w:space="0" w:color="auto"/>
              <w:right w:val="nil"/>
            </w:tcBorders>
            <w:shd w:val="clear" w:color="auto" w:fill="auto"/>
            <w:noWrap/>
            <w:vAlign w:val="center"/>
            <w:hideMark/>
          </w:tcPr>
          <w:p w14:paraId="40B528E2"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6</w:t>
            </w:r>
          </w:p>
        </w:tc>
        <w:tc>
          <w:tcPr>
            <w:tcW w:w="987" w:type="dxa"/>
            <w:vMerge/>
            <w:tcBorders>
              <w:left w:val="nil"/>
              <w:bottom w:val="single" w:sz="4" w:space="0" w:color="auto"/>
            </w:tcBorders>
            <w:vAlign w:val="center"/>
            <w:hideMark/>
          </w:tcPr>
          <w:p w14:paraId="00EE3A8D"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p>
        </w:tc>
        <w:tc>
          <w:tcPr>
            <w:tcW w:w="914" w:type="dxa"/>
            <w:gridSpan w:val="2"/>
            <w:vMerge/>
            <w:tcBorders>
              <w:left w:val="nil"/>
              <w:bottom w:val="single" w:sz="4" w:space="0" w:color="auto"/>
            </w:tcBorders>
            <w:vAlign w:val="center"/>
          </w:tcPr>
          <w:p w14:paraId="4E48DB89"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p>
        </w:tc>
        <w:tc>
          <w:tcPr>
            <w:tcW w:w="801" w:type="dxa"/>
            <w:gridSpan w:val="2"/>
            <w:vMerge/>
            <w:tcBorders>
              <w:left w:val="nil"/>
              <w:bottom w:val="single" w:sz="4" w:space="0" w:color="auto"/>
            </w:tcBorders>
            <w:vAlign w:val="center"/>
          </w:tcPr>
          <w:p w14:paraId="5C1AE5F8"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p>
        </w:tc>
      </w:tr>
      <w:tr w:rsidR="00401BE4" w:rsidRPr="00401BE4" w14:paraId="4995A169" w14:textId="77777777" w:rsidTr="00401BE4">
        <w:trPr>
          <w:trHeight w:val="201"/>
          <w:jc w:val="center"/>
        </w:trPr>
        <w:tc>
          <w:tcPr>
            <w:tcW w:w="1034" w:type="dxa"/>
            <w:tcBorders>
              <w:top w:val="single" w:sz="4" w:space="0" w:color="auto"/>
              <w:left w:val="nil"/>
              <w:bottom w:val="nil"/>
              <w:right w:val="nil"/>
            </w:tcBorders>
            <w:shd w:val="clear" w:color="auto" w:fill="auto"/>
            <w:noWrap/>
            <w:vAlign w:val="bottom"/>
          </w:tcPr>
          <w:p w14:paraId="71ABB318" w14:textId="77777777" w:rsidR="00401BE4" w:rsidRPr="00401BE4" w:rsidRDefault="00401BE4" w:rsidP="00401BE4">
            <w:pPr>
              <w:suppressAutoHyphens w:val="0"/>
              <w:spacing w:after="0" w:line="240" w:lineRule="auto"/>
              <w:jc w:val="both"/>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CR</w:t>
            </w:r>
            <w:r w:rsidRPr="00401BE4">
              <w:rPr>
                <w:rFonts w:ascii="Times New Roman" w:hAnsi="Times New Roman" w:cs="Times New Roman"/>
                <w:sz w:val="24"/>
                <w:szCs w:val="24"/>
                <w:vertAlign w:val="superscript"/>
                <w:lang w:eastAsia="en-US"/>
              </w:rPr>
              <w:t xml:space="preserve"> </w:t>
            </w:r>
            <w:r w:rsidRPr="00401BE4">
              <w:rPr>
                <w:rFonts w:ascii="Times New Roman" w:hAnsi="Times New Roman" w:cs="Times New Roman"/>
                <w:sz w:val="24"/>
                <w:szCs w:val="24"/>
                <w:lang w:eastAsia="en-US"/>
              </w:rPr>
              <w:t>(g)</w:t>
            </w:r>
          </w:p>
        </w:tc>
        <w:tc>
          <w:tcPr>
            <w:tcW w:w="1083" w:type="dxa"/>
            <w:tcBorders>
              <w:top w:val="single" w:sz="4" w:space="0" w:color="auto"/>
              <w:left w:val="nil"/>
              <w:bottom w:val="nil"/>
              <w:right w:val="nil"/>
            </w:tcBorders>
            <w:shd w:val="clear" w:color="auto" w:fill="auto"/>
            <w:noWrap/>
            <w:vAlign w:val="center"/>
          </w:tcPr>
          <w:p w14:paraId="63029B20"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4754.68</w:t>
            </w:r>
          </w:p>
        </w:tc>
        <w:tc>
          <w:tcPr>
            <w:tcW w:w="1083" w:type="dxa"/>
            <w:tcBorders>
              <w:top w:val="single" w:sz="4" w:space="0" w:color="auto"/>
              <w:left w:val="nil"/>
              <w:bottom w:val="nil"/>
              <w:right w:val="nil"/>
            </w:tcBorders>
            <w:shd w:val="clear" w:color="auto" w:fill="auto"/>
            <w:noWrap/>
            <w:vAlign w:val="center"/>
          </w:tcPr>
          <w:p w14:paraId="7605FAC1"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5624.49</w:t>
            </w:r>
          </w:p>
        </w:tc>
        <w:tc>
          <w:tcPr>
            <w:tcW w:w="1083" w:type="dxa"/>
            <w:tcBorders>
              <w:top w:val="single" w:sz="4" w:space="0" w:color="auto"/>
              <w:left w:val="nil"/>
              <w:bottom w:val="nil"/>
              <w:right w:val="nil"/>
            </w:tcBorders>
            <w:shd w:val="clear" w:color="auto" w:fill="auto"/>
            <w:noWrap/>
            <w:vAlign w:val="center"/>
          </w:tcPr>
          <w:p w14:paraId="5E71C00A"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5082.50</w:t>
            </w:r>
          </w:p>
        </w:tc>
        <w:tc>
          <w:tcPr>
            <w:tcW w:w="1083" w:type="dxa"/>
            <w:tcBorders>
              <w:top w:val="single" w:sz="4" w:space="0" w:color="auto"/>
              <w:left w:val="nil"/>
              <w:bottom w:val="nil"/>
              <w:right w:val="nil"/>
            </w:tcBorders>
            <w:shd w:val="clear" w:color="auto" w:fill="auto"/>
            <w:noWrap/>
            <w:vAlign w:val="center"/>
          </w:tcPr>
          <w:p w14:paraId="4CE11846"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5636.93</w:t>
            </w:r>
          </w:p>
        </w:tc>
        <w:tc>
          <w:tcPr>
            <w:tcW w:w="1088" w:type="dxa"/>
            <w:tcBorders>
              <w:top w:val="single" w:sz="4" w:space="0" w:color="auto"/>
              <w:left w:val="nil"/>
              <w:bottom w:val="nil"/>
              <w:right w:val="nil"/>
            </w:tcBorders>
            <w:shd w:val="clear" w:color="auto" w:fill="auto"/>
            <w:noWrap/>
            <w:vAlign w:val="center"/>
          </w:tcPr>
          <w:p w14:paraId="726D0AB2"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5439.34</w:t>
            </w:r>
          </w:p>
        </w:tc>
        <w:tc>
          <w:tcPr>
            <w:tcW w:w="1128" w:type="dxa"/>
            <w:gridSpan w:val="2"/>
            <w:tcBorders>
              <w:top w:val="single" w:sz="4" w:space="0" w:color="auto"/>
              <w:left w:val="nil"/>
              <w:bottom w:val="nil"/>
              <w:right w:val="nil"/>
            </w:tcBorders>
            <w:shd w:val="clear" w:color="auto" w:fill="auto"/>
            <w:noWrap/>
            <w:vAlign w:val="center"/>
          </w:tcPr>
          <w:p w14:paraId="5C4043A0"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5307.59</w:t>
            </w:r>
          </w:p>
        </w:tc>
        <w:tc>
          <w:tcPr>
            <w:tcW w:w="914" w:type="dxa"/>
            <w:gridSpan w:val="2"/>
            <w:tcBorders>
              <w:top w:val="single" w:sz="4" w:space="0" w:color="auto"/>
              <w:left w:val="nil"/>
              <w:bottom w:val="nil"/>
              <w:right w:val="nil"/>
            </w:tcBorders>
            <w:shd w:val="clear" w:color="auto" w:fill="auto"/>
            <w:noWrap/>
            <w:vAlign w:val="center"/>
          </w:tcPr>
          <w:p w14:paraId="286F3FCC"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0.2413</w:t>
            </w:r>
          </w:p>
        </w:tc>
        <w:tc>
          <w:tcPr>
            <w:tcW w:w="660" w:type="dxa"/>
            <w:tcBorders>
              <w:top w:val="single" w:sz="4" w:space="0" w:color="auto"/>
              <w:left w:val="nil"/>
              <w:bottom w:val="nil"/>
              <w:right w:val="nil"/>
            </w:tcBorders>
            <w:shd w:val="clear" w:color="auto" w:fill="auto"/>
            <w:noWrap/>
            <w:vAlign w:val="center"/>
          </w:tcPr>
          <w:p w14:paraId="4EEF3373"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11.4</w:t>
            </w:r>
          </w:p>
        </w:tc>
      </w:tr>
      <w:tr w:rsidR="00401BE4" w:rsidRPr="00401BE4" w14:paraId="01FD6ED6" w14:textId="77777777" w:rsidTr="00401BE4">
        <w:trPr>
          <w:trHeight w:val="201"/>
          <w:jc w:val="center"/>
        </w:trPr>
        <w:tc>
          <w:tcPr>
            <w:tcW w:w="1034" w:type="dxa"/>
            <w:tcBorders>
              <w:top w:val="nil"/>
              <w:left w:val="nil"/>
              <w:bottom w:val="nil"/>
              <w:right w:val="nil"/>
            </w:tcBorders>
            <w:shd w:val="clear" w:color="auto" w:fill="auto"/>
            <w:noWrap/>
            <w:vAlign w:val="bottom"/>
          </w:tcPr>
          <w:p w14:paraId="0C5E22CC" w14:textId="77777777" w:rsidR="00401BE4" w:rsidRPr="00401BE4" w:rsidRDefault="00401BE4" w:rsidP="00401BE4">
            <w:pPr>
              <w:suppressAutoHyphens w:val="0"/>
              <w:spacing w:after="0" w:line="240" w:lineRule="auto"/>
              <w:jc w:val="both"/>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GP</w:t>
            </w:r>
            <w:r w:rsidRPr="00401BE4">
              <w:rPr>
                <w:rFonts w:ascii="Times New Roman" w:hAnsi="Times New Roman" w:cs="Times New Roman"/>
                <w:sz w:val="24"/>
                <w:szCs w:val="24"/>
                <w:vertAlign w:val="superscript"/>
                <w:lang w:eastAsia="en-US"/>
              </w:rPr>
              <w:t xml:space="preserve"> </w:t>
            </w:r>
            <w:r w:rsidRPr="00401BE4">
              <w:rPr>
                <w:rFonts w:ascii="Times New Roman" w:hAnsi="Times New Roman" w:cs="Times New Roman"/>
                <w:sz w:val="24"/>
                <w:szCs w:val="24"/>
                <w:lang w:eastAsia="en-US"/>
              </w:rPr>
              <w:t>(g)</w:t>
            </w:r>
          </w:p>
        </w:tc>
        <w:tc>
          <w:tcPr>
            <w:tcW w:w="1083" w:type="dxa"/>
            <w:tcBorders>
              <w:top w:val="nil"/>
              <w:left w:val="nil"/>
              <w:bottom w:val="nil"/>
              <w:right w:val="nil"/>
            </w:tcBorders>
            <w:shd w:val="clear" w:color="auto" w:fill="auto"/>
            <w:noWrap/>
            <w:vAlign w:val="center"/>
          </w:tcPr>
          <w:p w14:paraId="1269A3EF"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2792.00</w:t>
            </w:r>
          </w:p>
        </w:tc>
        <w:tc>
          <w:tcPr>
            <w:tcW w:w="1083" w:type="dxa"/>
            <w:tcBorders>
              <w:top w:val="nil"/>
              <w:left w:val="nil"/>
              <w:bottom w:val="nil"/>
              <w:right w:val="nil"/>
            </w:tcBorders>
            <w:shd w:val="clear" w:color="auto" w:fill="auto"/>
            <w:noWrap/>
            <w:vAlign w:val="center"/>
          </w:tcPr>
          <w:p w14:paraId="79C2C7A9"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2875.75</w:t>
            </w:r>
          </w:p>
        </w:tc>
        <w:tc>
          <w:tcPr>
            <w:tcW w:w="1083" w:type="dxa"/>
            <w:tcBorders>
              <w:top w:val="nil"/>
              <w:left w:val="nil"/>
              <w:bottom w:val="nil"/>
              <w:right w:val="nil"/>
            </w:tcBorders>
            <w:shd w:val="clear" w:color="auto" w:fill="auto"/>
            <w:noWrap/>
            <w:vAlign w:val="center"/>
          </w:tcPr>
          <w:p w14:paraId="4072954E"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2833.25</w:t>
            </w:r>
          </w:p>
        </w:tc>
        <w:tc>
          <w:tcPr>
            <w:tcW w:w="1083" w:type="dxa"/>
            <w:tcBorders>
              <w:top w:val="nil"/>
              <w:left w:val="nil"/>
              <w:bottom w:val="nil"/>
              <w:right w:val="nil"/>
            </w:tcBorders>
            <w:shd w:val="clear" w:color="auto" w:fill="auto"/>
            <w:noWrap/>
            <w:vAlign w:val="center"/>
          </w:tcPr>
          <w:p w14:paraId="06D6B55E"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2907.00</w:t>
            </w:r>
          </w:p>
        </w:tc>
        <w:tc>
          <w:tcPr>
            <w:tcW w:w="1088" w:type="dxa"/>
            <w:tcBorders>
              <w:top w:val="nil"/>
              <w:left w:val="nil"/>
              <w:bottom w:val="nil"/>
              <w:right w:val="nil"/>
            </w:tcBorders>
            <w:shd w:val="clear" w:color="auto" w:fill="auto"/>
            <w:noWrap/>
            <w:vAlign w:val="center"/>
          </w:tcPr>
          <w:p w14:paraId="75F89D6E"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2747.12</w:t>
            </w:r>
          </w:p>
        </w:tc>
        <w:tc>
          <w:tcPr>
            <w:tcW w:w="1128" w:type="dxa"/>
            <w:gridSpan w:val="2"/>
            <w:tcBorders>
              <w:top w:val="nil"/>
              <w:left w:val="nil"/>
              <w:bottom w:val="nil"/>
              <w:right w:val="nil"/>
            </w:tcBorders>
            <w:shd w:val="clear" w:color="auto" w:fill="auto"/>
            <w:noWrap/>
            <w:vAlign w:val="center"/>
          </w:tcPr>
          <w:p w14:paraId="5DBC6D56"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2831.02</w:t>
            </w:r>
          </w:p>
        </w:tc>
        <w:tc>
          <w:tcPr>
            <w:tcW w:w="914" w:type="dxa"/>
            <w:gridSpan w:val="2"/>
            <w:tcBorders>
              <w:top w:val="nil"/>
              <w:left w:val="nil"/>
              <w:bottom w:val="nil"/>
              <w:right w:val="nil"/>
            </w:tcBorders>
            <w:shd w:val="clear" w:color="auto" w:fill="auto"/>
            <w:noWrap/>
            <w:vAlign w:val="center"/>
          </w:tcPr>
          <w:p w14:paraId="20BB5722"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0.5553</w:t>
            </w:r>
          </w:p>
        </w:tc>
        <w:tc>
          <w:tcPr>
            <w:tcW w:w="660" w:type="dxa"/>
            <w:tcBorders>
              <w:top w:val="nil"/>
              <w:left w:val="nil"/>
              <w:bottom w:val="nil"/>
              <w:right w:val="nil"/>
            </w:tcBorders>
            <w:shd w:val="clear" w:color="auto" w:fill="auto"/>
            <w:noWrap/>
            <w:vAlign w:val="center"/>
          </w:tcPr>
          <w:p w14:paraId="4E0A737D"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5.09</w:t>
            </w:r>
          </w:p>
        </w:tc>
      </w:tr>
      <w:tr w:rsidR="00401BE4" w:rsidRPr="00401BE4" w14:paraId="2FA97A01" w14:textId="77777777" w:rsidTr="00401BE4">
        <w:trPr>
          <w:trHeight w:val="201"/>
          <w:jc w:val="center"/>
        </w:trPr>
        <w:tc>
          <w:tcPr>
            <w:tcW w:w="1034" w:type="dxa"/>
            <w:tcBorders>
              <w:top w:val="nil"/>
              <w:left w:val="nil"/>
              <w:right w:val="nil"/>
            </w:tcBorders>
            <w:shd w:val="clear" w:color="auto" w:fill="auto"/>
            <w:noWrap/>
            <w:vAlign w:val="bottom"/>
          </w:tcPr>
          <w:p w14:paraId="7291B4D9" w14:textId="77777777" w:rsidR="00401BE4" w:rsidRPr="00401BE4" w:rsidRDefault="00401BE4" w:rsidP="00401BE4">
            <w:pPr>
              <w:suppressAutoHyphens w:val="0"/>
              <w:spacing w:after="0" w:line="240" w:lineRule="auto"/>
              <w:jc w:val="both"/>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CA</w:t>
            </w:r>
            <w:r w:rsidRPr="00401BE4">
              <w:rPr>
                <w:rFonts w:ascii="Times New Roman" w:hAnsi="Times New Roman" w:cs="Times New Roman"/>
                <w:sz w:val="24"/>
                <w:szCs w:val="24"/>
                <w:vertAlign w:val="superscript"/>
                <w:lang w:eastAsia="en-US"/>
              </w:rPr>
              <w:t xml:space="preserve"> </w:t>
            </w:r>
          </w:p>
        </w:tc>
        <w:tc>
          <w:tcPr>
            <w:tcW w:w="1083" w:type="dxa"/>
            <w:tcBorders>
              <w:top w:val="nil"/>
              <w:left w:val="nil"/>
              <w:right w:val="nil"/>
            </w:tcBorders>
            <w:shd w:val="clear" w:color="auto" w:fill="auto"/>
            <w:noWrap/>
            <w:vAlign w:val="center"/>
          </w:tcPr>
          <w:p w14:paraId="5AD3D002"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1.725</w:t>
            </w:r>
          </w:p>
        </w:tc>
        <w:tc>
          <w:tcPr>
            <w:tcW w:w="1083" w:type="dxa"/>
            <w:tcBorders>
              <w:top w:val="nil"/>
              <w:left w:val="nil"/>
              <w:right w:val="nil"/>
            </w:tcBorders>
            <w:shd w:val="clear" w:color="auto" w:fill="auto"/>
            <w:noWrap/>
            <w:vAlign w:val="center"/>
          </w:tcPr>
          <w:p w14:paraId="0ADFD225"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1.950</w:t>
            </w:r>
          </w:p>
        </w:tc>
        <w:tc>
          <w:tcPr>
            <w:tcW w:w="1083" w:type="dxa"/>
            <w:tcBorders>
              <w:top w:val="nil"/>
              <w:left w:val="nil"/>
              <w:right w:val="nil"/>
            </w:tcBorders>
            <w:shd w:val="clear" w:color="auto" w:fill="auto"/>
            <w:noWrap/>
            <w:vAlign w:val="center"/>
          </w:tcPr>
          <w:p w14:paraId="478D7AC1"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1.775</w:t>
            </w:r>
          </w:p>
        </w:tc>
        <w:tc>
          <w:tcPr>
            <w:tcW w:w="1083" w:type="dxa"/>
            <w:tcBorders>
              <w:top w:val="nil"/>
              <w:left w:val="nil"/>
              <w:right w:val="nil"/>
            </w:tcBorders>
            <w:shd w:val="clear" w:color="auto" w:fill="auto"/>
            <w:noWrap/>
            <w:vAlign w:val="center"/>
          </w:tcPr>
          <w:p w14:paraId="19AB297D"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1.925</w:t>
            </w:r>
          </w:p>
        </w:tc>
        <w:tc>
          <w:tcPr>
            <w:tcW w:w="1088" w:type="dxa"/>
            <w:tcBorders>
              <w:top w:val="nil"/>
              <w:left w:val="nil"/>
              <w:right w:val="nil"/>
            </w:tcBorders>
            <w:shd w:val="clear" w:color="auto" w:fill="auto"/>
            <w:noWrap/>
            <w:vAlign w:val="center"/>
          </w:tcPr>
          <w:p w14:paraId="56635F0D"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1.975</w:t>
            </w:r>
          </w:p>
        </w:tc>
        <w:tc>
          <w:tcPr>
            <w:tcW w:w="1128" w:type="dxa"/>
            <w:gridSpan w:val="2"/>
            <w:tcBorders>
              <w:top w:val="nil"/>
              <w:left w:val="nil"/>
              <w:right w:val="nil"/>
            </w:tcBorders>
            <w:shd w:val="clear" w:color="auto" w:fill="auto"/>
            <w:noWrap/>
            <w:vAlign w:val="center"/>
          </w:tcPr>
          <w:p w14:paraId="3D4249DE"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1.870</w:t>
            </w:r>
          </w:p>
        </w:tc>
        <w:tc>
          <w:tcPr>
            <w:tcW w:w="914" w:type="dxa"/>
            <w:gridSpan w:val="2"/>
            <w:tcBorders>
              <w:top w:val="nil"/>
              <w:left w:val="nil"/>
              <w:right w:val="nil"/>
            </w:tcBorders>
            <w:shd w:val="clear" w:color="auto" w:fill="auto"/>
            <w:noWrap/>
            <w:vAlign w:val="center"/>
          </w:tcPr>
          <w:p w14:paraId="3318A2D0"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0.4480</w:t>
            </w:r>
          </w:p>
        </w:tc>
        <w:tc>
          <w:tcPr>
            <w:tcW w:w="660" w:type="dxa"/>
            <w:tcBorders>
              <w:top w:val="nil"/>
              <w:left w:val="nil"/>
              <w:right w:val="nil"/>
            </w:tcBorders>
            <w:shd w:val="clear" w:color="auto" w:fill="auto"/>
            <w:noWrap/>
            <w:vAlign w:val="center"/>
          </w:tcPr>
          <w:p w14:paraId="532AE53F"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12.0</w:t>
            </w:r>
          </w:p>
        </w:tc>
      </w:tr>
      <w:tr w:rsidR="00401BE4" w:rsidRPr="00401BE4" w14:paraId="2B833903" w14:textId="77777777" w:rsidTr="00401BE4">
        <w:trPr>
          <w:trHeight w:val="201"/>
          <w:jc w:val="center"/>
        </w:trPr>
        <w:tc>
          <w:tcPr>
            <w:tcW w:w="1034" w:type="dxa"/>
            <w:tcBorders>
              <w:top w:val="nil"/>
              <w:left w:val="nil"/>
              <w:bottom w:val="single" w:sz="4" w:space="0" w:color="auto"/>
              <w:right w:val="nil"/>
            </w:tcBorders>
            <w:shd w:val="clear" w:color="auto" w:fill="auto"/>
            <w:noWrap/>
            <w:vAlign w:val="bottom"/>
          </w:tcPr>
          <w:p w14:paraId="13BA4338" w14:textId="77777777" w:rsidR="00401BE4" w:rsidRPr="00401BE4" w:rsidRDefault="00401BE4" w:rsidP="00401BE4">
            <w:pPr>
              <w:suppressAutoHyphens w:val="0"/>
              <w:spacing w:after="0" w:line="240" w:lineRule="auto"/>
              <w:jc w:val="both"/>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P42d</w:t>
            </w:r>
            <w:r w:rsidRPr="00401BE4">
              <w:rPr>
                <w:rFonts w:ascii="Times New Roman" w:hAnsi="Times New Roman" w:cs="Times New Roman"/>
                <w:sz w:val="24"/>
                <w:szCs w:val="24"/>
                <w:lang w:eastAsia="en-US"/>
              </w:rPr>
              <w:t xml:space="preserve"> (g)</w:t>
            </w:r>
          </w:p>
        </w:tc>
        <w:tc>
          <w:tcPr>
            <w:tcW w:w="1083" w:type="dxa"/>
            <w:tcBorders>
              <w:top w:val="nil"/>
              <w:left w:val="nil"/>
              <w:bottom w:val="single" w:sz="4" w:space="0" w:color="auto"/>
              <w:right w:val="nil"/>
            </w:tcBorders>
            <w:shd w:val="clear" w:color="auto" w:fill="auto"/>
            <w:noWrap/>
            <w:vAlign w:val="center"/>
          </w:tcPr>
          <w:p w14:paraId="6BB1806D"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2963.25</w:t>
            </w:r>
          </w:p>
        </w:tc>
        <w:tc>
          <w:tcPr>
            <w:tcW w:w="1083" w:type="dxa"/>
            <w:tcBorders>
              <w:top w:val="nil"/>
              <w:left w:val="nil"/>
              <w:bottom w:val="single" w:sz="4" w:space="0" w:color="auto"/>
              <w:right w:val="nil"/>
            </w:tcBorders>
            <w:shd w:val="clear" w:color="auto" w:fill="auto"/>
            <w:noWrap/>
            <w:vAlign w:val="center"/>
          </w:tcPr>
          <w:p w14:paraId="1398C193"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3047.50</w:t>
            </w:r>
          </w:p>
        </w:tc>
        <w:tc>
          <w:tcPr>
            <w:tcW w:w="1083" w:type="dxa"/>
            <w:tcBorders>
              <w:top w:val="nil"/>
              <w:left w:val="nil"/>
              <w:bottom w:val="single" w:sz="4" w:space="0" w:color="auto"/>
              <w:right w:val="nil"/>
            </w:tcBorders>
            <w:shd w:val="clear" w:color="auto" w:fill="auto"/>
            <w:noWrap/>
            <w:vAlign w:val="center"/>
          </w:tcPr>
          <w:p w14:paraId="6646CE23"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3005.00</w:t>
            </w:r>
          </w:p>
        </w:tc>
        <w:tc>
          <w:tcPr>
            <w:tcW w:w="1083" w:type="dxa"/>
            <w:tcBorders>
              <w:top w:val="nil"/>
              <w:left w:val="nil"/>
              <w:bottom w:val="single" w:sz="4" w:space="0" w:color="auto"/>
              <w:right w:val="nil"/>
            </w:tcBorders>
            <w:shd w:val="clear" w:color="auto" w:fill="auto"/>
            <w:noWrap/>
            <w:vAlign w:val="center"/>
          </w:tcPr>
          <w:p w14:paraId="455EF539"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3078.75</w:t>
            </w:r>
          </w:p>
        </w:tc>
        <w:tc>
          <w:tcPr>
            <w:tcW w:w="1088" w:type="dxa"/>
            <w:tcBorders>
              <w:top w:val="nil"/>
              <w:left w:val="nil"/>
              <w:bottom w:val="single" w:sz="4" w:space="0" w:color="auto"/>
              <w:right w:val="nil"/>
            </w:tcBorders>
            <w:shd w:val="clear" w:color="auto" w:fill="auto"/>
            <w:noWrap/>
            <w:vAlign w:val="center"/>
          </w:tcPr>
          <w:p w14:paraId="66F263BF"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2919.00</w:t>
            </w:r>
          </w:p>
        </w:tc>
        <w:tc>
          <w:tcPr>
            <w:tcW w:w="1128" w:type="dxa"/>
            <w:gridSpan w:val="2"/>
            <w:tcBorders>
              <w:top w:val="nil"/>
              <w:left w:val="nil"/>
              <w:bottom w:val="single" w:sz="4" w:space="0" w:color="auto"/>
              <w:right w:val="nil"/>
            </w:tcBorders>
            <w:shd w:val="clear" w:color="auto" w:fill="auto"/>
            <w:noWrap/>
            <w:vAlign w:val="center"/>
          </w:tcPr>
          <w:p w14:paraId="7BE980A2"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3002.70</w:t>
            </w:r>
          </w:p>
        </w:tc>
        <w:tc>
          <w:tcPr>
            <w:tcW w:w="914" w:type="dxa"/>
            <w:gridSpan w:val="2"/>
            <w:tcBorders>
              <w:top w:val="nil"/>
              <w:left w:val="nil"/>
              <w:bottom w:val="single" w:sz="4" w:space="0" w:color="auto"/>
              <w:right w:val="nil"/>
            </w:tcBorders>
            <w:shd w:val="clear" w:color="auto" w:fill="auto"/>
            <w:noWrap/>
            <w:vAlign w:val="center"/>
          </w:tcPr>
          <w:p w14:paraId="47F8B66B"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0.5567</w:t>
            </w:r>
          </w:p>
        </w:tc>
        <w:tc>
          <w:tcPr>
            <w:tcW w:w="660" w:type="dxa"/>
            <w:tcBorders>
              <w:top w:val="nil"/>
              <w:left w:val="nil"/>
              <w:bottom w:val="single" w:sz="4" w:space="0" w:color="auto"/>
              <w:right w:val="nil"/>
            </w:tcBorders>
            <w:shd w:val="clear" w:color="auto" w:fill="auto"/>
            <w:noWrap/>
            <w:vAlign w:val="center"/>
          </w:tcPr>
          <w:p w14:paraId="2B7B128B"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4.81</w:t>
            </w:r>
          </w:p>
        </w:tc>
      </w:tr>
    </w:tbl>
    <w:p w14:paraId="351998E1" w14:textId="39B8B9AF" w:rsidR="00051AF3" w:rsidRPr="00401BE4" w:rsidRDefault="00051AF3" w:rsidP="00051AF3">
      <w:pPr>
        <w:spacing w:after="0" w:line="240" w:lineRule="auto"/>
        <w:jc w:val="both"/>
        <w:rPr>
          <w:rFonts w:ascii="Times New Roman" w:hAnsi="Times New Roman" w:cs="Times New Roman"/>
          <w:bCs/>
          <w:iCs/>
          <w:sz w:val="20"/>
          <w:szCs w:val="20"/>
          <w:lang w:val="x-none"/>
        </w:rPr>
      </w:pPr>
      <w:r w:rsidRPr="00401BE4">
        <w:rPr>
          <w:rFonts w:ascii="Times New Roman" w:hAnsi="Times New Roman" w:cs="Times New Roman"/>
          <w:bCs/>
          <w:iCs/>
          <w:sz w:val="20"/>
          <w:szCs w:val="20"/>
        </w:rPr>
        <w:t>P</w:t>
      </w:r>
      <w:r w:rsidRPr="00401BE4">
        <w:rPr>
          <w:rFonts w:ascii="Times New Roman" w:hAnsi="Times New Roman" w:cs="Times New Roman"/>
          <w:bCs/>
          <w:iCs/>
          <w:sz w:val="20"/>
          <w:szCs w:val="20"/>
          <w:lang w:val="x-none"/>
        </w:rPr>
        <w:t xml:space="preserve"> = Significativo a 5 % de probabilidade de erro.</w:t>
      </w:r>
      <w:r w:rsidRPr="00401BE4">
        <w:rPr>
          <w:rFonts w:ascii="Times New Roman" w:hAnsi="Times New Roman" w:cs="Times New Roman"/>
          <w:bCs/>
          <w:iCs/>
          <w:sz w:val="20"/>
          <w:szCs w:val="20"/>
        </w:rPr>
        <w:t xml:space="preserve"> </w:t>
      </w:r>
      <w:r w:rsidRPr="00401BE4">
        <w:rPr>
          <w:rFonts w:ascii="Times New Roman" w:hAnsi="Times New Roman" w:cs="Times New Roman"/>
          <w:bCs/>
          <w:iCs/>
          <w:sz w:val="20"/>
          <w:szCs w:val="20"/>
          <w:lang w:val="x-none"/>
        </w:rPr>
        <w:t xml:space="preserve">Médias com letras distintas na mesma linha diferem significativamente a 5 % de probabilidade de erro pelo teste de </w:t>
      </w:r>
      <w:r w:rsidRPr="00401BE4">
        <w:rPr>
          <w:rFonts w:ascii="Times New Roman" w:hAnsi="Times New Roman" w:cs="Times New Roman"/>
          <w:bCs/>
          <w:iCs/>
          <w:sz w:val="20"/>
          <w:szCs w:val="20"/>
        </w:rPr>
        <w:t>SNK</w:t>
      </w:r>
      <w:r w:rsidRPr="00401BE4">
        <w:rPr>
          <w:rFonts w:ascii="Times New Roman" w:hAnsi="Times New Roman" w:cs="Times New Roman"/>
          <w:bCs/>
          <w:iCs/>
          <w:sz w:val="20"/>
          <w:szCs w:val="20"/>
          <w:lang w:val="x-none"/>
        </w:rPr>
        <w:t>.</w:t>
      </w:r>
    </w:p>
    <w:p w14:paraId="2204C7C3" w14:textId="77777777" w:rsidR="0040630A" w:rsidRPr="00401BE4" w:rsidRDefault="0040630A" w:rsidP="00F91A96">
      <w:pPr>
        <w:spacing w:after="0" w:line="240" w:lineRule="auto"/>
        <w:ind w:left="1701" w:hanging="1341"/>
        <w:jc w:val="both"/>
        <w:rPr>
          <w:rFonts w:ascii="Times New Roman" w:hAnsi="Times New Roman" w:cs="Times New Roman"/>
          <w:bCs/>
          <w:sz w:val="24"/>
          <w:szCs w:val="24"/>
        </w:rPr>
      </w:pPr>
    </w:p>
    <w:p w14:paraId="03BD9FA8" w14:textId="6016CC94" w:rsidR="003C6D2F" w:rsidRPr="00401BE4" w:rsidRDefault="003C6D2F" w:rsidP="00F91A96">
      <w:pPr>
        <w:spacing w:after="0" w:line="360" w:lineRule="auto"/>
        <w:ind w:firstLine="708"/>
        <w:jc w:val="both"/>
        <w:rPr>
          <w:rFonts w:ascii="Times New Roman" w:hAnsi="Times New Roman" w:cs="Times New Roman"/>
          <w:bCs/>
          <w:iCs/>
          <w:sz w:val="24"/>
          <w:szCs w:val="24"/>
        </w:rPr>
      </w:pPr>
      <w:r w:rsidRPr="00401BE4">
        <w:rPr>
          <w:rFonts w:ascii="Times New Roman" w:hAnsi="Times New Roman" w:cs="Times New Roman"/>
          <w:bCs/>
          <w:iCs/>
          <w:sz w:val="24"/>
          <w:szCs w:val="24"/>
        </w:rPr>
        <w:t xml:space="preserve">Resultados divergentes foram encontrados por Rodrigues et al. (2018) sendo avaliados no experimento diferentes níveis de inclusão de pólen apícola (0, 15.000, 30.000 mg/kg) com isso, foram observadas diferenças significativas entre os tratamentos avaliados, para o ganho de peso tanto aos 21 como também aos 42 dias de idade, para o consumo de ração e conversão alimentar aos 42 dias de idade. Entretanto não foram observadas diferenças estatísticas para o </w:t>
      </w:r>
      <w:r w:rsidRPr="00401BE4">
        <w:rPr>
          <w:rFonts w:ascii="Times New Roman" w:hAnsi="Times New Roman" w:cs="Times New Roman"/>
          <w:bCs/>
          <w:iCs/>
          <w:sz w:val="24"/>
          <w:szCs w:val="24"/>
        </w:rPr>
        <w:lastRenderedPageBreak/>
        <w:t xml:space="preserve">consumo de ração e conversão alimentar aos 21 dias, sendo que o consumo de ração aos 21 dias de idade teve uma média de 1217,12 gramas, já para a conversão alimentar teve uma média de 1,816. </w:t>
      </w:r>
    </w:p>
    <w:p w14:paraId="13A2A898" w14:textId="77777777" w:rsidR="003C6D2F" w:rsidRPr="00401BE4" w:rsidRDefault="003C6D2F" w:rsidP="00F91A96">
      <w:pPr>
        <w:spacing w:line="360" w:lineRule="auto"/>
        <w:ind w:firstLine="708"/>
        <w:jc w:val="both"/>
        <w:rPr>
          <w:rFonts w:ascii="Times New Roman" w:hAnsi="Times New Roman" w:cs="Times New Roman"/>
          <w:bCs/>
          <w:sz w:val="24"/>
          <w:szCs w:val="24"/>
        </w:rPr>
      </w:pPr>
      <w:r w:rsidRPr="00401BE4">
        <w:rPr>
          <w:rFonts w:ascii="Times New Roman" w:hAnsi="Times New Roman" w:cs="Times New Roman"/>
          <w:bCs/>
          <w:sz w:val="24"/>
          <w:szCs w:val="24"/>
        </w:rPr>
        <w:t xml:space="preserve">Observou-se que os níveis de pólen apícola nas dietas, não influenciaram (p&gt;0,05) o </w:t>
      </w:r>
      <w:proofErr w:type="spellStart"/>
      <w:r w:rsidRPr="00401BE4">
        <w:rPr>
          <w:rFonts w:ascii="Times New Roman" w:hAnsi="Times New Roman" w:cs="Times New Roman"/>
          <w:bCs/>
          <w:sz w:val="24"/>
          <w:szCs w:val="24"/>
        </w:rPr>
        <w:t>Ph</w:t>
      </w:r>
      <w:proofErr w:type="spellEnd"/>
      <w:r w:rsidRPr="00401BE4">
        <w:rPr>
          <w:rFonts w:ascii="Times New Roman" w:hAnsi="Times New Roman" w:cs="Times New Roman"/>
          <w:bCs/>
          <w:sz w:val="24"/>
          <w:szCs w:val="24"/>
        </w:rPr>
        <w:t>, a perda de peso por cocção (PPC) e a força de cisalhamento (FC).</w:t>
      </w:r>
    </w:p>
    <w:tbl>
      <w:tblPr>
        <w:tblpPr w:leftFromText="141" w:rightFromText="141" w:vertAnchor="text" w:horzAnchor="margin" w:tblpY="1260"/>
        <w:tblW w:w="9167" w:type="dxa"/>
        <w:tblCellMar>
          <w:left w:w="70" w:type="dxa"/>
          <w:right w:w="70" w:type="dxa"/>
        </w:tblCellMar>
        <w:tblLook w:val="04A0" w:firstRow="1" w:lastRow="0" w:firstColumn="1" w:lastColumn="0" w:noHBand="0" w:noVBand="1"/>
      </w:tblPr>
      <w:tblGrid>
        <w:gridCol w:w="1409"/>
        <w:gridCol w:w="997"/>
        <w:gridCol w:w="997"/>
        <w:gridCol w:w="997"/>
        <w:gridCol w:w="997"/>
        <w:gridCol w:w="1002"/>
        <w:gridCol w:w="922"/>
        <w:gridCol w:w="75"/>
        <w:gridCol w:w="847"/>
        <w:gridCol w:w="64"/>
        <w:gridCol w:w="860"/>
      </w:tblGrid>
      <w:tr w:rsidR="00401BE4" w:rsidRPr="00401BE4" w14:paraId="53B3664B" w14:textId="77777777" w:rsidTr="00401BE4">
        <w:trPr>
          <w:trHeight w:val="255"/>
        </w:trPr>
        <w:tc>
          <w:tcPr>
            <w:tcW w:w="1409" w:type="dxa"/>
            <w:vMerge w:val="restart"/>
            <w:tcBorders>
              <w:top w:val="single" w:sz="4" w:space="0" w:color="auto"/>
              <w:left w:val="nil"/>
              <w:bottom w:val="single" w:sz="4" w:space="0" w:color="auto"/>
              <w:right w:val="nil"/>
            </w:tcBorders>
            <w:shd w:val="clear" w:color="auto" w:fill="auto"/>
            <w:noWrap/>
            <w:vAlign w:val="center"/>
            <w:hideMark/>
          </w:tcPr>
          <w:p w14:paraId="241D0C0A" w14:textId="77777777" w:rsidR="00401BE4" w:rsidRPr="00401BE4" w:rsidRDefault="00401BE4" w:rsidP="00401BE4">
            <w:pPr>
              <w:suppressAutoHyphens w:val="0"/>
              <w:spacing w:after="0" w:line="240" w:lineRule="auto"/>
              <w:rPr>
                <w:rFonts w:ascii="Times New Roman" w:eastAsia="Times New Roman" w:hAnsi="Times New Roman" w:cs="Times New Roman"/>
                <w:sz w:val="24"/>
                <w:szCs w:val="24"/>
              </w:rPr>
            </w:pPr>
            <w:bookmarkStart w:id="0" w:name="_Toc102135586"/>
            <w:bookmarkStart w:id="1" w:name="_Toc102135614"/>
            <w:r w:rsidRPr="00401BE4">
              <w:rPr>
                <w:rFonts w:ascii="Times New Roman" w:eastAsia="Times New Roman" w:hAnsi="Times New Roman" w:cs="Times New Roman"/>
                <w:sz w:val="24"/>
                <w:szCs w:val="24"/>
              </w:rPr>
              <w:t>Variáveis</w:t>
            </w:r>
          </w:p>
        </w:tc>
        <w:tc>
          <w:tcPr>
            <w:tcW w:w="4990" w:type="dxa"/>
            <w:gridSpan w:val="5"/>
            <w:tcBorders>
              <w:top w:val="single" w:sz="4" w:space="0" w:color="auto"/>
              <w:left w:val="nil"/>
              <w:bottom w:val="single" w:sz="4" w:space="0" w:color="auto"/>
              <w:right w:val="nil"/>
            </w:tcBorders>
            <w:shd w:val="clear" w:color="auto" w:fill="auto"/>
            <w:noWrap/>
            <w:vAlign w:val="bottom"/>
            <w:hideMark/>
          </w:tcPr>
          <w:p w14:paraId="0963B194"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 xml:space="preserve"> (%)</w:t>
            </w:r>
          </w:p>
        </w:tc>
        <w:tc>
          <w:tcPr>
            <w:tcW w:w="922" w:type="dxa"/>
            <w:vMerge w:val="restart"/>
            <w:tcBorders>
              <w:top w:val="single" w:sz="4" w:space="0" w:color="auto"/>
              <w:left w:val="nil"/>
            </w:tcBorders>
            <w:shd w:val="clear" w:color="auto" w:fill="auto"/>
            <w:noWrap/>
            <w:vAlign w:val="center"/>
            <w:hideMark/>
          </w:tcPr>
          <w:p w14:paraId="50A03B5A"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Média</w:t>
            </w:r>
          </w:p>
        </w:tc>
        <w:tc>
          <w:tcPr>
            <w:tcW w:w="922" w:type="dxa"/>
            <w:gridSpan w:val="2"/>
            <w:vMerge w:val="restart"/>
            <w:tcBorders>
              <w:top w:val="single" w:sz="4" w:space="0" w:color="auto"/>
              <w:left w:val="nil"/>
            </w:tcBorders>
            <w:shd w:val="clear" w:color="auto" w:fill="auto"/>
            <w:vAlign w:val="center"/>
          </w:tcPr>
          <w:p w14:paraId="2E11DB91"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P</w:t>
            </w:r>
          </w:p>
        </w:tc>
        <w:tc>
          <w:tcPr>
            <w:tcW w:w="924" w:type="dxa"/>
            <w:gridSpan w:val="2"/>
            <w:vMerge w:val="restart"/>
            <w:tcBorders>
              <w:top w:val="single" w:sz="4" w:space="0" w:color="auto"/>
              <w:left w:val="nil"/>
            </w:tcBorders>
            <w:shd w:val="clear" w:color="auto" w:fill="auto"/>
            <w:vAlign w:val="center"/>
          </w:tcPr>
          <w:p w14:paraId="7E21046B" w14:textId="77777777" w:rsidR="00401BE4" w:rsidRPr="00401BE4" w:rsidRDefault="00401BE4" w:rsidP="00401BE4">
            <w:pPr>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CV (%)</w:t>
            </w:r>
          </w:p>
        </w:tc>
      </w:tr>
      <w:tr w:rsidR="00401BE4" w:rsidRPr="00401BE4" w14:paraId="6E6B2520" w14:textId="77777777" w:rsidTr="00401BE4">
        <w:trPr>
          <w:trHeight w:val="255"/>
        </w:trPr>
        <w:tc>
          <w:tcPr>
            <w:tcW w:w="1409" w:type="dxa"/>
            <w:vMerge/>
            <w:tcBorders>
              <w:top w:val="nil"/>
              <w:left w:val="nil"/>
              <w:bottom w:val="single" w:sz="4" w:space="0" w:color="auto"/>
              <w:right w:val="nil"/>
            </w:tcBorders>
            <w:vAlign w:val="center"/>
            <w:hideMark/>
          </w:tcPr>
          <w:p w14:paraId="24683AF7"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p>
        </w:tc>
        <w:tc>
          <w:tcPr>
            <w:tcW w:w="997" w:type="dxa"/>
            <w:tcBorders>
              <w:top w:val="single" w:sz="4" w:space="0" w:color="auto"/>
              <w:left w:val="nil"/>
              <w:bottom w:val="single" w:sz="4" w:space="0" w:color="auto"/>
              <w:right w:val="nil"/>
            </w:tcBorders>
            <w:shd w:val="clear" w:color="auto" w:fill="auto"/>
            <w:noWrap/>
            <w:vAlign w:val="center"/>
            <w:hideMark/>
          </w:tcPr>
          <w:p w14:paraId="4DAAE8E6"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CA</w:t>
            </w:r>
          </w:p>
        </w:tc>
        <w:tc>
          <w:tcPr>
            <w:tcW w:w="997" w:type="dxa"/>
            <w:tcBorders>
              <w:top w:val="single" w:sz="4" w:space="0" w:color="auto"/>
              <w:left w:val="nil"/>
              <w:bottom w:val="single" w:sz="4" w:space="0" w:color="auto"/>
              <w:right w:val="nil"/>
            </w:tcBorders>
            <w:shd w:val="clear" w:color="auto" w:fill="auto"/>
            <w:noWrap/>
            <w:vAlign w:val="center"/>
            <w:hideMark/>
          </w:tcPr>
          <w:p w14:paraId="30B5B139"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SA</w:t>
            </w:r>
          </w:p>
        </w:tc>
        <w:tc>
          <w:tcPr>
            <w:tcW w:w="997" w:type="dxa"/>
            <w:tcBorders>
              <w:top w:val="single" w:sz="4" w:space="0" w:color="auto"/>
              <w:left w:val="nil"/>
              <w:bottom w:val="single" w:sz="4" w:space="0" w:color="auto"/>
              <w:right w:val="nil"/>
            </w:tcBorders>
            <w:shd w:val="clear" w:color="auto" w:fill="auto"/>
            <w:noWrap/>
            <w:vAlign w:val="center"/>
            <w:hideMark/>
          </w:tcPr>
          <w:p w14:paraId="455CA03D"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w:t>
            </w:r>
          </w:p>
        </w:tc>
        <w:tc>
          <w:tcPr>
            <w:tcW w:w="997" w:type="dxa"/>
            <w:tcBorders>
              <w:top w:val="single" w:sz="4" w:space="0" w:color="auto"/>
              <w:left w:val="nil"/>
              <w:bottom w:val="single" w:sz="4" w:space="0" w:color="auto"/>
              <w:right w:val="nil"/>
            </w:tcBorders>
            <w:shd w:val="clear" w:color="auto" w:fill="auto"/>
            <w:noWrap/>
            <w:vAlign w:val="center"/>
            <w:hideMark/>
          </w:tcPr>
          <w:p w14:paraId="0D7C1769"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4</w:t>
            </w:r>
          </w:p>
        </w:tc>
        <w:tc>
          <w:tcPr>
            <w:tcW w:w="1002" w:type="dxa"/>
            <w:tcBorders>
              <w:top w:val="single" w:sz="4" w:space="0" w:color="auto"/>
              <w:left w:val="nil"/>
              <w:bottom w:val="single" w:sz="4" w:space="0" w:color="auto"/>
              <w:right w:val="nil"/>
            </w:tcBorders>
            <w:shd w:val="clear" w:color="auto" w:fill="auto"/>
            <w:noWrap/>
            <w:vAlign w:val="center"/>
            <w:hideMark/>
          </w:tcPr>
          <w:p w14:paraId="6C9AC30D"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6</w:t>
            </w:r>
          </w:p>
        </w:tc>
        <w:tc>
          <w:tcPr>
            <w:tcW w:w="922" w:type="dxa"/>
            <w:vMerge/>
            <w:tcBorders>
              <w:left w:val="nil"/>
              <w:bottom w:val="single" w:sz="4" w:space="0" w:color="auto"/>
            </w:tcBorders>
            <w:vAlign w:val="center"/>
            <w:hideMark/>
          </w:tcPr>
          <w:p w14:paraId="0839B480"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p>
        </w:tc>
        <w:tc>
          <w:tcPr>
            <w:tcW w:w="922" w:type="dxa"/>
            <w:gridSpan w:val="2"/>
            <w:vMerge/>
            <w:tcBorders>
              <w:left w:val="nil"/>
              <w:bottom w:val="single" w:sz="4" w:space="0" w:color="auto"/>
            </w:tcBorders>
            <w:vAlign w:val="center"/>
          </w:tcPr>
          <w:p w14:paraId="28CE3FD5"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p>
        </w:tc>
        <w:tc>
          <w:tcPr>
            <w:tcW w:w="924" w:type="dxa"/>
            <w:gridSpan w:val="2"/>
            <w:vMerge/>
            <w:tcBorders>
              <w:left w:val="nil"/>
              <w:bottom w:val="single" w:sz="4" w:space="0" w:color="auto"/>
            </w:tcBorders>
            <w:vAlign w:val="center"/>
          </w:tcPr>
          <w:p w14:paraId="0B73A41A"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p>
        </w:tc>
      </w:tr>
      <w:tr w:rsidR="00401BE4" w:rsidRPr="00401BE4" w14:paraId="44CA21CE" w14:textId="77777777" w:rsidTr="00401BE4">
        <w:trPr>
          <w:trHeight w:val="255"/>
        </w:trPr>
        <w:tc>
          <w:tcPr>
            <w:tcW w:w="1409" w:type="dxa"/>
            <w:tcBorders>
              <w:top w:val="single" w:sz="4" w:space="0" w:color="auto"/>
              <w:left w:val="nil"/>
              <w:bottom w:val="nil"/>
              <w:right w:val="nil"/>
            </w:tcBorders>
            <w:shd w:val="clear" w:color="auto" w:fill="auto"/>
            <w:noWrap/>
            <w:vAlign w:val="center"/>
          </w:tcPr>
          <w:p w14:paraId="1F7C38DC" w14:textId="77777777" w:rsidR="00401BE4" w:rsidRPr="00401BE4" w:rsidRDefault="00401BE4" w:rsidP="00401BE4">
            <w:pPr>
              <w:suppressAutoHyphens w:val="0"/>
              <w:spacing w:after="0" w:line="240" w:lineRule="auto"/>
              <w:jc w:val="both"/>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pH</w:t>
            </w:r>
          </w:p>
        </w:tc>
        <w:tc>
          <w:tcPr>
            <w:tcW w:w="997" w:type="dxa"/>
            <w:tcBorders>
              <w:top w:val="single" w:sz="4" w:space="0" w:color="auto"/>
              <w:left w:val="nil"/>
              <w:bottom w:val="nil"/>
              <w:right w:val="nil"/>
            </w:tcBorders>
            <w:shd w:val="clear" w:color="auto" w:fill="auto"/>
            <w:noWrap/>
            <w:vAlign w:val="center"/>
          </w:tcPr>
          <w:p w14:paraId="7B9E09B0"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6.28000</w:t>
            </w:r>
          </w:p>
        </w:tc>
        <w:tc>
          <w:tcPr>
            <w:tcW w:w="997" w:type="dxa"/>
            <w:tcBorders>
              <w:top w:val="single" w:sz="4" w:space="0" w:color="auto"/>
              <w:left w:val="nil"/>
              <w:bottom w:val="nil"/>
              <w:right w:val="nil"/>
            </w:tcBorders>
            <w:shd w:val="clear" w:color="auto" w:fill="auto"/>
            <w:noWrap/>
            <w:vAlign w:val="center"/>
          </w:tcPr>
          <w:p w14:paraId="78E6A6DC"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6.06625</w:t>
            </w:r>
          </w:p>
        </w:tc>
        <w:tc>
          <w:tcPr>
            <w:tcW w:w="997" w:type="dxa"/>
            <w:tcBorders>
              <w:top w:val="single" w:sz="4" w:space="0" w:color="auto"/>
              <w:left w:val="nil"/>
              <w:bottom w:val="nil"/>
              <w:right w:val="nil"/>
            </w:tcBorders>
            <w:shd w:val="clear" w:color="auto" w:fill="auto"/>
            <w:noWrap/>
            <w:vAlign w:val="center"/>
          </w:tcPr>
          <w:p w14:paraId="439C44ED"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6.08250</w:t>
            </w:r>
          </w:p>
        </w:tc>
        <w:tc>
          <w:tcPr>
            <w:tcW w:w="997" w:type="dxa"/>
            <w:tcBorders>
              <w:top w:val="single" w:sz="4" w:space="0" w:color="auto"/>
              <w:left w:val="nil"/>
              <w:bottom w:val="nil"/>
              <w:right w:val="nil"/>
            </w:tcBorders>
            <w:shd w:val="clear" w:color="auto" w:fill="auto"/>
            <w:noWrap/>
            <w:vAlign w:val="center"/>
          </w:tcPr>
          <w:p w14:paraId="5D0D0D71"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6.31875</w:t>
            </w:r>
          </w:p>
        </w:tc>
        <w:tc>
          <w:tcPr>
            <w:tcW w:w="1002" w:type="dxa"/>
            <w:tcBorders>
              <w:top w:val="single" w:sz="4" w:space="0" w:color="auto"/>
              <w:left w:val="nil"/>
              <w:bottom w:val="nil"/>
              <w:right w:val="nil"/>
            </w:tcBorders>
            <w:shd w:val="clear" w:color="auto" w:fill="auto"/>
            <w:noWrap/>
            <w:vAlign w:val="center"/>
          </w:tcPr>
          <w:p w14:paraId="58C97D9E"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6.27750</w:t>
            </w:r>
          </w:p>
        </w:tc>
        <w:tc>
          <w:tcPr>
            <w:tcW w:w="997" w:type="dxa"/>
            <w:gridSpan w:val="2"/>
            <w:tcBorders>
              <w:top w:val="single" w:sz="4" w:space="0" w:color="auto"/>
              <w:left w:val="nil"/>
              <w:bottom w:val="nil"/>
              <w:right w:val="nil"/>
            </w:tcBorders>
            <w:shd w:val="clear" w:color="auto" w:fill="auto"/>
            <w:noWrap/>
            <w:vAlign w:val="center"/>
          </w:tcPr>
          <w:p w14:paraId="44E500DF"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6.20500</w:t>
            </w:r>
          </w:p>
        </w:tc>
        <w:tc>
          <w:tcPr>
            <w:tcW w:w="911" w:type="dxa"/>
            <w:gridSpan w:val="2"/>
            <w:tcBorders>
              <w:top w:val="single" w:sz="4" w:space="0" w:color="auto"/>
              <w:left w:val="nil"/>
              <w:bottom w:val="nil"/>
              <w:right w:val="nil"/>
            </w:tcBorders>
            <w:shd w:val="clear" w:color="auto" w:fill="auto"/>
            <w:noWrap/>
            <w:vAlign w:val="center"/>
          </w:tcPr>
          <w:p w14:paraId="205F4920"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0.1611</w:t>
            </w:r>
          </w:p>
        </w:tc>
        <w:tc>
          <w:tcPr>
            <w:tcW w:w="860" w:type="dxa"/>
            <w:tcBorders>
              <w:top w:val="single" w:sz="4" w:space="0" w:color="auto"/>
              <w:left w:val="nil"/>
              <w:bottom w:val="nil"/>
              <w:right w:val="nil"/>
            </w:tcBorders>
            <w:shd w:val="clear" w:color="auto" w:fill="auto"/>
            <w:noWrap/>
            <w:vAlign w:val="center"/>
          </w:tcPr>
          <w:p w14:paraId="02850980"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2.76</w:t>
            </w:r>
          </w:p>
        </w:tc>
      </w:tr>
      <w:tr w:rsidR="00401BE4" w:rsidRPr="00401BE4" w14:paraId="77900BC1" w14:textId="77777777" w:rsidTr="00401BE4">
        <w:trPr>
          <w:trHeight w:val="255"/>
        </w:trPr>
        <w:tc>
          <w:tcPr>
            <w:tcW w:w="1409" w:type="dxa"/>
            <w:tcBorders>
              <w:top w:val="nil"/>
              <w:left w:val="nil"/>
              <w:right w:val="nil"/>
            </w:tcBorders>
            <w:shd w:val="clear" w:color="auto" w:fill="auto"/>
            <w:noWrap/>
            <w:vAlign w:val="center"/>
          </w:tcPr>
          <w:p w14:paraId="197FBF6C" w14:textId="77777777" w:rsidR="00401BE4" w:rsidRPr="00401BE4" w:rsidRDefault="00401BE4" w:rsidP="00401BE4">
            <w:pPr>
              <w:suppressAutoHyphens w:val="0"/>
              <w:spacing w:after="0" w:line="240" w:lineRule="auto"/>
              <w:jc w:val="both"/>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PPC</w:t>
            </w:r>
          </w:p>
        </w:tc>
        <w:tc>
          <w:tcPr>
            <w:tcW w:w="997" w:type="dxa"/>
            <w:tcBorders>
              <w:top w:val="nil"/>
              <w:left w:val="nil"/>
              <w:right w:val="nil"/>
            </w:tcBorders>
            <w:shd w:val="clear" w:color="auto" w:fill="auto"/>
            <w:noWrap/>
            <w:vAlign w:val="center"/>
          </w:tcPr>
          <w:p w14:paraId="54DF45B6"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21.710</w:t>
            </w:r>
          </w:p>
        </w:tc>
        <w:tc>
          <w:tcPr>
            <w:tcW w:w="997" w:type="dxa"/>
            <w:tcBorders>
              <w:top w:val="nil"/>
              <w:left w:val="nil"/>
              <w:right w:val="nil"/>
            </w:tcBorders>
            <w:shd w:val="clear" w:color="auto" w:fill="auto"/>
            <w:noWrap/>
            <w:vAlign w:val="center"/>
          </w:tcPr>
          <w:p w14:paraId="148228CB"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24.585</w:t>
            </w:r>
          </w:p>
        </w:tc>
        <w:tc>
          <w:tcPr>
            <w:tcW w:w="997" w:type="dxa"/>
            <w:tcBorders>
              <w:top w:val="nil"/>
              <w:left w:val="nil"/>
              <w:right w:val="nil"/>
            </w:tcBorders>
            <w:shd w:val="clear" w:color="auto" w:fill="auto"/>
            <w:noWrap/>
            <w:vAlign w:val="center"/>
          </w:tcPr>
          <w:p w14:paraId="6063A6C5"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22.440</w:t>
            </w:r>
          </w:p>
        </w:tc>
        <w:tc>
          <w:tcPr>
            <w:tcW w:w="997" w:type="dxa"/>
            <w:tcBorders>
              <w:top w:val="nil"/>
              <w:left w:val="nil"/>
              <w:right w:val="nil"/>
            </w:tcBorders>
            <w:shd w:val="clear" w:color="auto" w:fill="auto"/>
            <w:noWrap/>
            <w:vAlign w:val="center"/>
          </w:tcPr>
          <w:p w14:paraId="6A01C827"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22.955</w:t>
            </w:r>
          </w:p>
        </w:tc>
        <w:tc>
          <w:tcPr>
            <w:tcW w:w="1002" w:type="dxa"/>
            <w:tcBorders>
              <w:top w:val="nil"/>
              <w:left w:val="nil"/>
              <w:right w:val="nil"/>
            </w:tcBorders>
            <w:shd w:val="clear" w:color="auto" w:fill="auto"/>
            <w:noWrap/>
            <w:vAlign w:val="center"/>
          </w:tcPr>
          <w:p w14:paraId="61687248"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24.260</w:t>
            </w:r>
          </w:p>
        </w:tc>
        <w:tc>
          <w:tcPr>
            <w:tcW w:w="997" w:type="dxa"/>
            <w:gridSpan w:val="2"/>
            <w:tcBorders>
              <w:top w:val="nil"/>
              <w:left w:val="nil"/>
              <w:right w:val="nil"/>
            </w:tcBorders>
            <w:shd w:val="clear" w:color="auto" w:fill="auto"/>
            <w:noWrap/>
            <w:vAlign w:val="center"/>
          </w:tcPr>
          <w:p w14:paraId="7EF5267E"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23.1900</w:t>
            </w:r>
          </w:p>
        </w:tc>
        <w:tc>
          <w:tcPr>
            <w:tcW w:w="911" w:type="dxa"/>
            <w:gridSpan w:val="2"/>
            <w:tcBorders>
              <w:top w:val="nil"/>
              <w:left w:val="nil"/>
              <w:right w:val="nil"/>
            </w:tcBorders>
            <w:shd w:val="clear" w:color="auto" w:fill="auto"/>
            <w:noWrap/>
            <w:vAlign w:val="center"/>
          </w:tcPr>
          <w:p w14:paraId="1DD2B705"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0.9529</w:t>
            </w:r>
          </w:p>
        </w:tc>
        <w:tc>
          <w:tcPr>
            <w:tcW w:w="860" w:type="dxa"/>
            <w:tcBorders>
              <w:top w:val="nil"/>
              <w:left w:val="nil"/>
              <w:right w:val="nil"/>
            </w:tcBorders>
            <w:shd w:val="clear" w:color="auto" w:fill="auto"/>
            <w:noWrap/>
            <w:vAlign w:val="center"/>
          </w:tcPr>
          <w:p w14:paraId="37C40F69"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25.91</w:t>
            </w:r>
          </w:p>
        </w:tc>
      </w:tr>
      <w:tr w:rsidR="00401BE4" w:rsidRPr="00401BE4" w14:paraId="26B69E25" w14:textId="77777777" w:rsidTr="00401BE4">
        <w:trPr>
          <w:trHeight w:val="255"/>
        </w:trPr>
        <w:tc>
          <w:tcPr>
            <w:tcW w:w="1409" w:type="dxa"/>
            <w:tcBorders>
              <w:top w:val="nil"/>
              <w:left w:val="nil"/>
              <w:bottom w:val="single" w:sz="4" w:space="0" w:color="auto"/>
              <w:right w:val="nil"/>
            </w:tcBorders>
            <w:shd w:val="clear" w:color="auto" w:fill="auto"/>
            <w:noWrap/>
            <w:vAlign w:val="center"/>
          </w:tcPr>
          <w:p w14:paraId="6C1FD86E" w14:textId="77777777" w:rsidR="00401BE4" w:rsidRPr="00401BE4" w:rsidRDefault="00401BE4" w:rsidP="00401BE4">
            <w:pPr>
              <w:suppressAutoHyphens w:val="0"/>
              <w:spacing w:after="0" w:line="240" w:lineRule="auto"/>
              <w:jc w:val="both"/>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FC</w:t>
            </w:r>
          </w:p>
        </w:tc>
        <w:tc>
          <w:tcPr>
            <w:tcW w:w="997" w:type="dxa"/>
            <w:tcBorders>
              <w:top w:val="nil"/>
              <w:left w:val="nil"/>
              <w:bottom w:val="single" w:sz="4" w:space="0" w:color="auto"/>
              <w:right w:val="nil"/>
            </w:tcBorders>
            <w:shd w:val="clear" w:color="auto" w:fill="auto"/>
            <w:noWrap/>
            <w:vAlign w:val="center"/>
          </w:tcPr>
          <w:p w14:paraId="1CBEF4C4"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1.82575</w:t>
            </w:r>
          </w:p>
        </w:tc>
        <w:tc>
          <w:tcPr>
            <w:tcW w:w="997" w:type="dxa"/>
            <w:tcBorders>
              <w:top w:val="nil"/>
              <w:left w:val="nil"/>
              <w:bottom w:val="single" w:sz="4" w:space="0" w:color="auto"/>
              <w:right w:val="nil"/>
            </w:tcBorders>
            <w:shd w:val="clear" w:color="auto" w:fill="auto"/>
            <w:noWrap/>
            <w:vAlign w:val="center"/>
          </w:tcPr>
          <w:p w14:paraId="64C0BFF8"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1.40100</w:t>
            </w:r>
          </w:p>
        </w:tc>
        <w:tc>
          <w:tcPr>
            <w:tcW w:w="997" w:type="dxa"/>
            <w:tcBorders>
              <w:top w:val="nil"/>
              <w:left w:val="nil"/>
              <w:bottom w:val="single" w:sz="4" w:space="0" w:color="auto"/>
              <w:right w:val="nil"/>
            </w:tcBorders>
            <w:shd w:val="clear" w:color="auto" w:fill="auto"/>
            <w:noWrap/>
            <w:vAlign w:val="center"/>
          </w:tcPr>
          <w:p w14:paraId="519172D8"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1.69600</w:t>
            </w:r>
          </w:p>
        </w:tc>
        <w:tc>
          <w:tcPr>
            <w:tcW w:w="997" w:type="dxa"/>
            <w:tcBorders>
              <w:top w:val="nil"/>
              <w:left w:val="nil"/>
              <w:bottom w:val="single" w:sz="4" w:space="0" w:color="auto"/>
              <w:right w:val="nil"/>
            </w:tcBorders>
            <w:shd w:val="clear" w:color="auto" w:fill="auto"/>
            <w:noWrap/>
            <w:vAlign w:val="center"/>
          </w:tcPr>
          <w:p w14:paraId="53EFBBEF"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1.59850</w:t>
            </w:r>
          </w:p>
        </w:tc>
        <w:tc>
          <w:tcPr>
            <w:tcW w:w="1002" w:type="dxa"/>
            <w:tcBorders>
              <w:top w:val="nil"/>
              <w:left w:val="nil"/>
              <w:bottom w:val="single" w:sz="4" w:space="0" w:color="auto"/>
              <w:right w:val="nil"/>
            </w:tcBorders>
            <w:shd w:val="clear" w:color="auto" w:fill="auto"/>
            <w:noWrap/>
            <w:vAlign w:val="center"/>
          </w:tcPr>
          <w:p w14:paraId="2F099625"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1.80200</w:t>
            </w:r>
          </w:p>
        </w:tc>
        <w:tc>
          <w:tcPr>
            <w:tcW w:w="997" w:type="dxa"/>
            <w:gridSpan w:val="2"/>
            <w:tcBorders>
              <w:top w:val="nil"/>
              <w:left w:val="nil"/>
              <w:bottom w:val="single" w:sz="4" w:space="0" w:color="auto"/>
              <w:right w:val="nil"/>
            </w:tcBorders>
            <w:shd w:val="clear" w:color="auto" w:fill="auto"/>
            <w:noWrap/>
            <w:vAlign w:val="center"/>
          </w:tcPr>
          <w:p w14:paraId="1DD1C683"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1.66465</w:t>
            </w:r>
          </w:p>
        </w:tc>
        <w:tc>
          <w:tcPr>
            <w:tcW w:w="911" w:type="dxa"/>
            <w:gridSpan w:val="2"/>
            <w:tcBorders>
              <w:top w:val="nil"/>
              <w:left w:val="nil"/>
              <w:bottom w:val="single" w:sz="4" w:space="0" w:color="auto"/>
              <w:right w:val="nil"/>
            </w:tcBorders>
            <w:shd w:val="clear" w:color="auto" w:fill="auto"/>
            <w:noWrap/>
            <w:vAlign w:val="center"/>
          </w:tcPr>
          <w:p w14:paraId="13B9447E"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0.7991</w:t>
            </w:r>
          </w:p>
        </w:tc>
        <w:tc>
          <w:tcPr>
            <w:tcW w:w="860" w:type="dxa"/>
            <w:tcBorders>
              <w:top w:val="nil"/>
              <w:left w:val="nil"/>
              <w:bottom w:val="single" w:sz="4" w:space="0" w:color="auto"/>
              <w:right w:val="nil"/>
            </w:tcBorders>
            <w:shd w:val="clear" w:color="auto" w:fill="auto"/>
            <w:noWrap/>
            <w:vAlign w:val="center"/>
          </w:tcPr>
          <w:p w14:paraId="45855264" w14:textId="77777777" w:rsidR="00401BE4" w:rsidRPr="00401BE4" w:rsidRDefault="00401BE4" w:rsidP="00401BE4">
            <w:pPr>
              <w:suppressAutoHyphens w:val="0"/>
              <w:spacing w:after="0" w:line="240" w:lineRule="auto"/>
              <w:jc w:val="center"/>
              <w:rPr>
                <w:rFonts w:ascii="Times New Roman" w:eastAsia="Times New Roman" w:hAnsi="Times New Roman" w:cs="Times New Roman"/>
                <w:sz w:val="24"/>
                <w:szCs w:val="24"/>
              </w:rPr>
            </w:pPr>
            <w:r w:rsidRPr="00401BE4">
              <w:rPr>
                <w:rFonts w:ascii="Times New Roman" w:eastAsia="Times New Roman" w:hAnsi="Times New Roman" w:cs="Times New Roman"/>
                <w:sz w:val="24"/>
                <w:szCs w:val="24"/>
              </w:rPr>
              <w:t>32.51</w:t>
            </w:r>
          </w:p>
        </w:tc>
      </w:tr>
    </w:tbl>
    <w:p w14:paraId="5CC5A277" w14:textId="56170F97" w:rsidR="008850C2" w:rsidRPr="00401BE4" w:rsidRDefault="00F91A96" w:rsidP="00F91A96">
      <w:pPr>
        <w:keepNext/>
        <w:suppressAutoHyphens w:val="0"/>
        <w:spacing w:line="360" w:lineRule="auto"/>
        <w:ind w:left="1135" w:hanging="1135"/>
        <w:jc w:val="both"/>
        <w:rPr>
          <w:rFonts w:ascii="Times New Roman" w:hAnsi="Times New Roman" w:cs="Times New Roman"/>
          <w:sz w:val="24"/>
          <w:szCs w:val="24"/>
          <w:lang w:eastAsia="en-US"/>
        </w:rPr>
      </w:pPr>
      <w:r w:rsidRPr="00401BE4">
        <w:rPr>
          <w:rFonts w:ascii="Times New Roman" w:hAnsi="Times New Roman" w:cs="Times New Roman"/>
          <w:sz w:val="24"/>
          <w:szCs w:val="24"/>
          <w:lang w:eastAsia="en-US"/>
        </w:rPr>
        <w:t>Tabela 2</w:t>
      </w:r>
      <w:r w:rsidR="008850C2" w:rsidRPr="00401BE4">
        <w:rPr>
          <w:rFonts w:ascii="Times New Roman" w:hAnsi="Times New Roman" w:cs="Times New Roman"/>
          <w:sz w:val="24"/>
          <w:szCs w:val="24"/>
          <w:lang w:eastAsia="en-US"/>
        </w:rPr>
        <w:t xml:space="preserve"> - Valores médios de pH, perda de peso por cozimento (PPCO) e força de cisalhamento (FC) da carne do peito de frangos de corte abatidos aos 42 dias de idade</w:t>
      </w:r>
      <w:bookmarkEnd w:id="0"/>
      <w:bookmarkEnd w:id="1"/>
    </w:p>
    <w:p w14:paraId="590724DF" w14:textId="23C8348A" w:rsidR="008850C2" w:rsidRPr="00401BE4" w:rsidRDefault="005F1EA2" w:rsidP="005F1EA2">
      <w:pPr>
        <w:spacing w:after="0" w:line="240" w:lineRule="auto"/>
        <w:jc w:val="both"/>
        <w:rPr>
          <w:rFonts w:ascii="Times New Roman" w:hAnsi="Times New Roman" w:cs="Times New Roman"/>
          <w:bCs/>
          <w:iCs/>
          <w:sz w:val="20"/>
          <w:szCs w:val="20"/>
          <w:lang w:val="x-none"/>
        </w:rPr>
      </w:pPr>
      <w:r w:rsidRPr="00401BE4">
        <w:rPr>
          <w:rFonts w:ascii="Times New Roman" w:hAnsi="Times New Roman" w:cs="Times New Roman"/>
          <w:bCs/>
          <w:iCs/>
          <w:sz w:val="20"/>
          <w:szCs w:val="20"/>
        </w:rPr>
        <w:t>P</w:t>
      </w:r>
      <w:r w:rsidRPr="00401BE4">
        <w:rPr>
          <w:rFonts w:ascii="Times New Roman" w:hAnsi="Times New Roman" w:cs="Times New Roman"/>
          <w:bCs/>
          <w:iCs/>
          <w:sz w:val="20"/>
          <w:szCs w:val="20"/>
          <w:lang w:val="x-none"/>
        </w:rPr>
        <w:t xml:space="preserve"> = Significativo a 5 % de probabilidade de erro.</w:t>
      </w:r>
      <w:r w:rsidRPr="00401BE4">
        <w:rPr>
          <w:rFonts w:ascii="Times New Roman" w:hAnsi="Times New Roman" w:cs="Times New Roman"/>
          <w:bCs/>
          <w:iCs/>
          <w:sz w:val="20"/>
          <w:szCs w:val="20"/>
        </w:rPr>
        <w:t xml:space="preserve"> </w:t>
      </w:r>
      <w:r w:rsidRPr="00401BE4">
        <w:rPr>
          <w:rFonts w:ascii="Times New Roman" w:hAnsi="Times New Roman" w:cs="Times New Roman"/>
          <w:bCs/>
          <w:iCs/>
          <w:sz w:val="20"/>
          <w:szCs w:val="20"/>
          <w:lang w:val="x-none"/>
        </w:rPr>
        <w:t xml:space="preserve">Médias com letras distintas na mesma linha diferem significativamente a 5 % de probabilidade de erro pelo teste de </w:t>
      </w:r>
      <w:r w:rsidRPr="00401BE4">
        <w:rPr>
          <w:rFonts w:ascii="Times New Roman" w:hAnsi="Times New Roman" w:cs="Times New Roman"/>
          <w:bCs/>
          <w:iCs/>
          <w:sz w:val="20"/>
          <w:szCs w:val="20"/>
        </w:rPr>
        <w:t>SNK</w:t>
      </w:r>
      <w:r w:rsidRPr="00401BE4">
        <w:rPr>
          <w:rFonts w:ascii="Times New Roman" w:hAnsi="Times New Roman" w:cs="Times New Roman"/>
          <w:bCs/>
          <w:iCs/>
          <w:sz w:val="20"/>
          <w:szCs w:val="20"/>
          <w:lang w:val="x-none"/>
        </w:rPr>
        <w:t>.</w:t>
      </w:r>
    </w:p>
    <w:p w14:paraId="529457E5" w14:textId="77777777" w:rsidR="005F1EA2" w:rsidRPr="00401BE4" w:rsidRDefault="005F1EA2" w:rsidP="005F1EA2">
      <w:pPr>
        <w:spacing w:after="0" w:line="240" w:lineRule="auto"/>
        <w:jc w:val="both"/>
        <w:rPr>
          <w:rFonts w:ascii="Times New Roman" w:hAnsi="Times New Roman" w:cs="Times New Roman"/>
          <w:bCs/>
          <w:iCs/>
          <w:sz w:val="20"/>
          <w:szCs w:val="20"/>
          <w:lang w:val="x-none"/>
        </w:rPr>
      </w:pPr>
    </w:p>
    <w:p w14:paraId="19DEABFB" w14:textId="1E3596AB" w:rsidR="00930701" w:rsidRPr="00401BE4" w:rsidRDefault="008850C2" w:rsidP="005F1EA2">
      <w:pPr>
        <w:spacing w:line="360" w:lineRule="auto"/>
        <w:ind w:firstLine="708"/>
        <w:jc w:val="both"/>
        <w:rPr>
          <w:rFonts w:ascii="Times New Roman" w:hAnsi="Times New Roman" w:cs="Times New Roman"/>
          <w:bCs/>
          <w:sz w:val="24"/>
          <w:szCs w:val="24"/>
        </w:rPr>
      </w:pPr>
      <w:r w:rsidRPr="00401BE4">
        <w:rPr>
          <w:rFonts w:ascii="Times New Roman" w:hAnsi="Times New Roman" w:cs="Times New Roman"/>
          <w:sz w:val="24"/>
          <w:szCs w:val="24"/>
        </w:rPr>
        <w:t xml:space="preserve">De acordo com </w:t>
      </w:r>
      <w:proofErr w:type="spellStart"/>
      <w:r w:rsidRPr="00401BE4">
        <w:rPr>
          <w:rFonts w:ascii="Times New Roman" w:hAnsi="Times New Roman" w:cs="Times New Roman"/>
          <w:sz w:val="24"/>
          <w:szCs w:val="24"/>
        </w:rPr>
        <w:t>Haščík</w:t>
      </w:r>
      <w:proofErr w:type="spellEnd"/>
      <w:r w:rsidRPr="00401BE4">
        <w:rPr>
          <w:rFonts w:ascii="Times New Roman" w:hAnsi="Times New Roman" w:cs="Times New Roman"/>
          <w:sz w:val="24"/>
          <w:szCs w:val="24"/>
        </w:rPr>
        <w:t xml:space="preserve"> et al. (2011) o extrato de pólen tem efeitos benéficos na vida útil e na estabilidade oxidativa da carne do peito de frango de corte, principalmente no tempo de armazenamento por congelamento.  </w:t>
      </w:r>
      <w:proofErr w:type="spellStart"/>
      <w:r w:rsidRPr="00401BE4">
        <w:rPr>
          <w:rFonts w:ascii="Times New Roman" w:hAnsi="Times New Roman" w:cs="Times New Roman"/>
          <w:sz w:val="24"/>
          <w:szCs w:val="24"/>
        </w:rPr>
        <w:t>Adhikari</w:t>
      </w:r>
      <w:proofErr w:type="spellEnd"/>
      <w:r w:rsidRPr="00401BE4">
        <w:rPr>
          <w:rFonts w:ascii="Times New Roman" w:hAnsi="Times New Roman" w:cs="Times New Roman"/>
          <w:sz w:val="24"/>
          <w:szCs w:val="24"/>
        </w:rPr>
        <w:t> </w:t>
      </w:r>
      <w:r w:rsidRPr="00401BE4">
        <w:rPr>
          <w:rFonts w:ascii="Times New Roman" w:hAnsi="Times New Roman" w:cs="Times New Roman"/>
          <w:iCs/>
          <w:sz w:val="24"/>
          <w:szCs w:val="24"/>
        </w:rPr>
        <w:t>et al.</w:t>
      </w:r>
      <w:r w:rsidRPr="00401BE4">
        <w:rPr>
          <w:rFonts w:ascii="Times New Roman" w:hAnsi="Times New Roman" w:cs="Times New Roman"/>
          <w:sz w:val="24"/>
          <w:szCs w:val="24"/>
        </w:rPr>
        <w:t xml:space="preserve"> (2017) em experimento avaliando o pH da carne da coxa medido os valores em dois tempos, uma em 2 horas após o abate e a outras 24 horas após o abate. Sendo os tratamentos de diferentes níveis de pólen com um probiótico (Controle; </w:t>
      </w:r>
      <w:r w:rsidRPr="00401BE4">
        <w:rPr>
          <w:rFonts w:ascii="Times New Roman" w:hAnsi="Times New Roman" w:cs="Times New Roman"/>
          <w:b/>
          <w:sz w:val="24"/>
          <w:szCs w:val="24"/>
        </w:rPr>
        <w:t>T1</w:t>
      </w:r>
      <w:r w:rsidRPr="00401BE4">
        <w:rPr>
          <w:rFonts w:ascii="Times New Roman" w:hAnsi="Times New Roman" w:cs="Times New Roman"/>
          <w:sz w:val="24"/>
          <w:szCs w:val="24"/>
        </w:rPr>
        <w:t xml:space="preserve"> 500 mg de pólen e 2000 mg de probióticos; </w:t>
      </w:r>
      <w:r w:rsidRPr="00401BE4">
        <w:rPr>
          <w:rFonts w:ascii="Times New Roman" w:hAnsi="Times New Roman" w:cs="Times New Roman"/>
          <w:b/>
          <w:sz w:val="24"/>
          <w:szCs w:val="24"/>
        </w:rPr>
        <w:t>T2</w:t>
      </w:r>
      <w:r w:rsidRPr="00401BE4">
        <w:rPr>
          <w:rFonts w:ascii="Times New Roman" w:hAnsi="Times New Roman" w:cs="Times New Roman"/>
          <w:sz w:val="24"/>
          <w:szCs w:val="24"/>
        </w:rPr>
        <w:t xml:space="preserve"> 1000 mg de pólen e 3000 mg de probióticos; </w:t>
      </w:r>
      <w:r w:rsidRPr="00401BE4">
        <w:rPr>
          <w:rFonts w:ascii="Times New Roman" w:hAnsi="Times New Roman" w:cs="Times New Roman"/>
          <w:b/>
          <w:sz w:val="24"/>
          <w:szCs w:val="24"/>
        </w:rPr>
        <w:t>T3</w:t>
      </w:r>
      <w:r w:rsidRPr="00401BE4">
        <w:rPr>
          <w:rFonts w:ascii="Times New Roman" w:hAnsi="Times New Roman" w:cs="Times New Roman"/>
          <w:sz w:val="24"/>
          <w:szCs w:val="24"/>
        </w:rPr>
        <w:t xml:space="preserve"> 1500 mg de pólen e 4000 mg de probióticos; </w:t>
      </w:r>
      <w:r w:rsidRPr="00401BE4">
        <w:rPr>
          <w:rFonts w:ascii="Times New Roman" w:hAnsi="Times New Roman" w:cs="Times New Roman"/>
          <w:b/>
          <w:sz w:val="24"/>
          <w:szCs w:val="24"/>
        </w:rPr>
        <w:t>T4</w:t>
      </w:r>
      <w:r w:rsidRPr="00401BE4">
        <w:rPr>
          <w:rFonts w:ascii="Times New Roman" w:hAnsi="Times New Roman" w:cs="Times New Roman"/>
          <w:sz w:val="24"/>
          <w:szCs w:val="24"/>
        </w:rPr>
        <w:t xml:space="preserve"> 2000 mg de pólen e 5000 mg de probióticos; </w:t>
      </w:r>
      <w:r w:rsidRPr="00401BE4">
        <w:rPr>
          <w:rFonts w:ascii="Times New Roman" w:hAnsi="Times New Roman" w:cs="Times New Roman"/>
          <w:b/>
          <w:sz w:val="24"/>
          <w:szCs w:val="24"/>
        </w:rPr>
        <w:t>T5</w:t>
      </w:r>
      <w:r w:rsidRPr="00401BE4">
        <w:rPr>
          <w:rFonts w:ascii="Times New Roman" w:hAnsi="Times New Roman" w:cs="Times New Roman"/>
          <w:sz w:val="24"/>
          <w:szCs w:val="24"/>
        </w:rPr>
        <w:t xml:space="preserve"> 2500 mg de pólen e 6000 mg de probióticos). Constataram uma maior estabilidade do pH da carne da coxa de frangos de corte alimentados com pólen juntamente com a própolis quando comparou ao tratamento controle em relação tempo de armazenamento de 24 horas, tendo por tanto uma possível melhora na qualidade da carne durante o armazenamento.</w:t>
      </w:r>
    </w:p>
    <w:p w14:paraId="0E787C8D" w14:textId="77777777" w:rsidR="00930701" w:rsidRPr="00401BE4" w:rsidRDefault="00486485">
      <w:pPr>
        <w:numPr>
          <w:ilvl w:val="0"/>
          <w:numId w:val="2"/>
        </w:numPr>
        <w:spacing w:after="0" w:line="360" w:lineRule="auto"/>
        <w:jc w:val="both"/>
        <w:rPr>
          <w:rFonts w:ascii="Times New Roman" w:eastAsia="Arial" w:hAnsi="Times New Roman" w:cs="Times New Roman"/>
          <w:b/>
          <w:sz w:val="24"/>
          <w:szCs w:val="24"/>
        </w:rPr>
      </w:pPr>
      <w:r w:rsidRPr="00401BE4">
        <w:rPr>
          <w:rFonts w:ascii="Times New Roman" w:eastAsia="Arial" w:hAnsi="Times New Roman" w:cs="Times New Roman"/>
          <w:b/>
          <w:sz w:val="24"/>
          <w:szCs w:val="24"/>
        </w:rPr>
        <w:t>CONCLUSÃO/CONSIDERAÇÕES FINAIS</w:t>
      </w:r>
    </w:p>
    <w:p w14:paraId="276E645F" w14:textId="1F511D79" w:rsidR="00930701" w:rsidRPr="00401BE4" w:rsidRDefault="00461E57" w:rsidP="00051AF3">
      <w:pPr>
        <w:spacing w:line="360" w:lineRule="auto"/>
        <w:ind w:left="360" w:firstLine="360"/>
        <w:jc w:val="both"/>
        <w:rPr>
          <w:rFonts w:ascii="Times New Roman" w:hAnsi="Times New Roman" w:cs="Times New Roman"/>
        </w:rPr>
      </w:pPr>
      <w:r w:rsidRPr="00401BE4">
        <w:rPr>
          <w:rFonts w:ascii="Times New Roman" w:hAnsi="Times New Roman" w:cs="Times New Roman"/>
          <w:sz w:val="24"/>
          <w:szCs w:val="24"/>
        </w:rPr>
        <w:t xml:space="preserve">Conclui-se que, o pólen apícola apresentar em sua composição química uma gama de nutrientes tornando –se um potencial para alimentação animal, ainda há poucos estudos </w:t>
      </w:r>
      <w:r w:rsidRPr="00401BE4">
        <w:rPr>
          <w:rFonts w:ascii="Times New Roman" w:hAnsi="Times New Roman" w:cs="Times New Roman"/>
          <w:sz w:val="24"/>
          <w:szCs w:val="24"/>
        </w:rPr>
        <w:lastRenderedPageBreak/>
        <w:t>esclarecendo de como este aditivo atua no organismo animal, sendo assim novos estudos devem ser realizados para uma melhor compreensão do pólen apícola, tanto em relação a sua atuação como também nas quantidades fornecidas para os frangos de corte</w:t>
      </w:r>
      <w:r w:rsidRPr="00401BE4">
        <w:rPr>
          <w:rFonts w:ascii="Times New Roman" w:hAnsi="Times New Roman" w:cs="Times New Roman"/>
        </w:rPr>
        <w:t xml:space="preserve">.  </w:t>
      </w:r>
    </w:p>
    <w:p w14:paraId="510D5A77" w14:textId="77777777" w:rsidR="00930701" w:rsidRPr="00401BE4" w:rsidRDefault="00486485">
      <w:pPr>
        <w:numPr>
          <w:ilvl w:val="0"/>
          <w:numId w:val="2"/>
        </w:numPr>
        <w:spacing w:after="0" w:line="360" w:lineRule="auto"/>
        <w:jc w:val="both"/>
        <w:rPr>
          <w:rFonts w:ascii="Times New Roman" w:eastAsia="Arial" w:hAnsi="Times New Roman" w:cs="Times New Roman"/>
          <w:b/>
          <w:sz w:val="24"/>
          <w:szCs w:val="24"/>
        </w:rPr>
      </w:pPr>
      <w:r w:rsidRPr="00401BE4">
        <w:rPr>
          <w:rFonts w:ascii="Times New Roman" w:eastAsia="Arial" w:hAnsi="Times New Roman" w:cs="Times New Roman"/>
          <w:b/>
          <w:sz w:val="24"/>
          <w:szCs w:val="24"/>
        </w:rPr>
        <w:t>REFERÊNCIAS</w:t>
      </w:r>
    </w:p>
    <w:p w14:paraId="3F08C8E2" w14:textId="42E98D00" w:rsidR="00170B5E" w:rsidRPr="00247CC4" w:rsidRDefault="009569F7" w:rsidP="005F1EA2">
      <w:pPr>
        <w:spacing w:after="0" w:line="240" w:lineRule="auto"/>
        <w:ind w:left="360" w:firstLine="360"/>
        <w:jc w:val="both"/>
        <w:rPr>
          <w:rFonts w:ascii="Times New Roman" w:hAnsi="Times New Roman" w:cs="Times New Roman"/>
          <w:sz w:val="20"/>
          <w:szCs w:val="20"/>
        </w:rPr>
      </w:pPr>
      <w:r w:rsidRPr="00401BE4">
        <w:rPr>
          <w:rFonts w:ascii="Times New Roman" w:hAnsi="Times New Roman" w:cs="Times New Roman"/>
          <w:sz w:val="24"/>
          <w:szCs w:val="24"/>
        </w:rPr>
        <w:t xml:space="preserve">ABOOD, S. S., &amp; EZZAT, H. N. </w:t>
      </w:r>
      <w:proofErr w:type="spellStart"/>
      <w:r w:rsidRPr="00401BE4">
        <w:rPr>
          <w:rFonts w:ascii="Times New Roman" w:hAnsi="Times New Roman" w:cs="Times New Roman"/>
          <w:sz w:val="24"/>
          <w:szCs w:val="24"/>
        </w:rPr>
        <w:t>Effect</w:t>
      </w:r>
      <w:proofErr w:type="spellEnd"/>
      <w:r w:rsidRPr="00401BE4">
        <w:rPr>
          <w:rFonts w:ascii="Times New Roman" w:hAnsi="Times New Roman" w:cs="Times New Roman"/>
          <w:sz w:val="24"/>
          <w:szCs w:val="24"/>
        </w:rPr>
        <w:t xml:space="preserve"> </w:t>
      </w:r>
      <w:proofErr w:type="spellStart"/>
      <w:r w:rsidRPr="00401BE4">
        <w:rPr>
          <w:rFonts w:ascii="Times New Roman" w:hAnsi="Times New Roman" w:cs="Times New Roman"/>
          <w:sz w:val="24"/>
          <w:szCs w:val="24"/>
        </w:rPr>
        <w:t>of</w:t>
      </w:r>
      <w:proofErr w:type="spellEnd"/>
      <w:r w:rsidRPr="00401BE4">
        <w:rPr>
          <w:rFonts w:ascii="Times New Roman" w:hAnsi="Times New Roman" w:cs="Times New Roman"/>
          <w:sz w:val="24"/>
          <w:szCs w:val="24"/>
        </w:rPr>
        <w:t xml:space="preserve"> </w:t>
      </w:r>
      <w:proofErr w:type="spellStart"/>
      <w:r w:rsidRPr="00401BE4">
        <w:rPr>
          <w:rFonts w:ascii="Times New Roman" w:hAnsi="Times New Roman" w:cs="Times New Roman"/>
          <w:sz w:val="24"/>
          <w:szCs w:val="24"/>
        </w:rPr>
        <w:t>adding</w:t>
      </w:r>
      <w:proofErr w:type="spellEnd"/>
      <w:r w:rsidRPr="00401BE4">
        <w:rPr>
          <w:rFonts w:ascii="Times New Roman" w:hAnsi="Times New Roman" w:cs="Times New Roman"/>
          <w:sz w:val="24"/>
          <w:szCs w:val="24"/>
        </w:rPr>
        <w:t xml:space="preserve"> </w:t>
      </w:r>
      <w:proofErr w:type="spellStart"/>
      <w:r w:rsidRPr="00401BE4">
        <w:rPr>
          <w:rFonts w:ascii="Times New Roman" w:hAnsi="Times New Roman" w:cs="Times New Roman"/>
          <w:sz w:val="24"/>
          <w:szCs w:val="24"/>
        </w:rPr>
        <w:t>different</w:t>
      </w:r>
      <w:proofErr w:type="spellEnd"/>
      <w:r w:rsidRPr="00401BE4">
        <w:rPr>
          <w:rFonts w:ascii="Times New Roman" w:hAnsi="Times New Roman" w:cs="Times New Roman"/>
          <w:sz w:val="24"/>
          <w:szCs w:val="24"/>
        </w:rPr>
        <w:t xml:space="preserve"> </w:t>
      </w:r>
      <w:proofErr w:type="spellStart"/>
      <w:r w:rsidRPr="00401BE4">
        <w:rPr>
          <w:rFonts w:ascii="Times New Roman" w:hAnsi="Times New Roman" w:cs="Times New Roman"/>
          <w:sz w:val="24"/>
          <w:szCs w:val="24"/>
        </w:rPr>
        <w:t>levels</w:t>
      </w:r>
      <w:proofErr w:type="spellEnd"/>
      <w:r w:rsidRPr="00401BE4">
        <w:rPr>
          <w:rFonts w:ascii="Times New Roman" w:hAnsi="Times New Roman" w:cs="Times New Roman"/>
          <w:sz w:val="24"/>
          <w:szCs w:val="24"/>
        </w:rPr>
        <w:t xml:space="preserve"> </w:t>
      </w:r>
      <w:proofErr w:type="spellStart"/>
      <w:r w:rsidRPr="00401BE4">
        <w:rPr>
          <w:rFonts w:ascii="Times New Roman" w:hAnsi="Times New Roman" w:cs="Times New Roman"/>
          <w:sz w:val="24"/>
          <w:szCs w:val="24"/>
        </w:rPr>
        <w:t>from</w:t>
      </w:r>
      <w:proofErr w:type="spellEnd"/>
      <w:r w:rsidRPr="00401BE4">
        <w:rPr>
          <w:rFonts w:ascii="Times New Roman" w:hAnsi="Times New Roman" w:cs="Times New Roman"/>
          <w:sz w:val="24"/>
          <w:szCs w:val="24"/>
        </w:rPr>
        <w:t xml:space="preserve"> </w:t>
      </w:r>
      <w:proofErr w:type="spellStart"/>
      <w:r w:rsidRPr="00401BE4">
        <w:rPr>
          <w:rFonts w:ascii="Times New Roman" w:hAnsi="Times New Roman" w:cs="Times New Roman"/>
          <w:sz w:val="24"/>
          <w:szCs w:val="24"/>
        </w:rPr>
        <w:t>bee</w:t>
      </w:r>
      <w:proofErr w:type="spellEnd"/>
      <w:r w:rsidRPr="00401BE4">
        <w:rPr>
          <w:rFonts w:ascii="Times New Roman" w:hAnsi="Times New Roman" w:cs="Times New Roman"/>
          <w:sz w:val="24"/>
          <w:szCs w:val="24"/>
        </w:rPr>
        <w:t xml:space="preserve"> </w:t>
      </w:r>
      <w:proofErr w:type="spellStart"/>
      <w:r w:rsidRPr="00401BE4">
        <w:rPr>
          <w:rFonts w:ascii="Times New Roman" w:hAnsi="Times New Roman" w:cs="Times New Roman"/>
          <w:sz w:val="24"/>
          <w:szCs w:val="24"/>
        </w:rPr>
        <w:t>pollen</w:t>
      </w:r>
      <w:proofErr w:type="spellEnd"/>
      <w:r w:rsidRPr="00401BE4">
        <w:rPr>
          <w:rFonts w:ascii="Times New Roman" w:hAnsi="Times New Roman" w:cs="Times New Roman"/>
          <w:sz w:val="24"/>
          <w:szCs w:val="24"/>
        </w:rPr>
        <w:t xml:space="preserve"> in diet </w:t>
      </w:r>
      <w:proofErr w:type="spellStart"/>
      <w:r w:rsidRPr="00247CC4">
        <w:rPr>
          <w:rFonts w:ascii="Times New Roman" w:hAnsi="Times New Roman" w:cs="Times New Roman"/>
          <w:sz w:val="20"/>
          <w:szCs w:val="20"/>
        </w:rPr>
        <w:t>on</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productive</w:t>
      </w:r>
      <w:proofErr w:type="spellEnd"/>
      <w:r w:rsidRPr="00247CC4">
        <w:rPr>
          <w:rFonts w:ascii="Times New Roman" w:hAnsi="Times New Roman" w:cs="Times New Roman"/>
          <w:sz w:val="20"/>
          <w:szCs w:val="20"/>
        </w:rPr>
        <w:t xml:space="preserve"> performance </w:t>
      </w:r>
      <w:proofErr w:type="spellStart"/>
      <w:r w:rsidRPr="00247CC4">
        <w:rPr>
          <w:rFonts w:ascii="Times New Roman" w:hAnsi="Times New Roman" w:cs="Times New Roman"/>
          <w:sz w:val="20"/>
          <w:szCs w:val="20"/>
        </w:rPr>
        <w:t>of</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broiler</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chickens</w:t>
      </w:r>
      <w:proofErr w:type="spellEnd"/>
      <w:r w:rsidRPr="00247CC4">
        <w:rPr>
          <w:rFonts w:ascii="Times New Roman" w:hAnsi="Times New Roman" w:cs="Times New Roman"/>
          <w:sz w:val="20"/>
          <w:szCs w:val="20"/>
        </w:rPr>
        <w:t>, 2018</w:t>
      </w:r>
      <w:r w:rsidR="005F1EA2" w:rsidRPr="00247CC4">
        <w:rPr>
          <w:rFonts w:ascii="Times New Roman" w:hAnsi="Times New Roman" w:cs="Times New Roman"/>
          <w:sz w:val="20"/>
          <w:szCs w:val="20"/>
        </w:rPr>
        <w:t>.</w:t>
      </w:r>
    </w:p>
    <w:p w14:paraId="1625CB00" w14:textId="77777777" w:rsidR="005F1EA2" w:rsidRPr="00247CC4" w:rsidRDefault="005F1EA2" w:rsidP="005F1EA2">
      <w:pPr>
        <w:spacing w:after="0" w:line="360" w:lineRule="auto"/>
        <w:ind w:left="360" w:firstLine="720"/>
        <w:jc w:val="both"/>
        <w:rPr>
          <w:rFonts w:ascii="Times New Roman" w:hAnsi="Times New Roman" w:cs="Times New Roman"/>
          <w:sz w:val="20"/>
          <w:szCs w:val="20"/>
        </w:rPr>
      </w:pPr>
    </w:p>
    <w:p w14:paraId="7CD28786" w14:textId="77777777" w:rsidR="005F1EA2" w:rsidRPr="00247CC4" w:rsidRDefault="009569F7" w:rsidP="005F1EA2">
      <w:pPr>
        <w:spacing w:after="0" w:line="240" w:lineRule="auto"/>
        <w:ind w:left="360" w:firstLine="360"/>
        <w:jc w:val="both"/>
        <w:rPr>
          <w:rFonts w:ascii="Times New Roman" w:hAnsi="Times New Roman" w:cs="Times New Roman"/>
          <w:sz w:val="20"/>
          <w:szCs w:val="20"/>
        </w:rPr>
      </w:pPr>
      <w:r w:rsidRPr="00247CC4">
        <w:rPr>
          <w:rFonts w:ascii="Times New Roman" w:hAnsi="Times New Roman" w:cs="Times New Roman"/>
          <w:sz w:val="20"/>
          <w:szCs w:val="20"/>
        </w:rPr>
        <w:t xml:space="preserve">ADHIKARI, </w:t>
      </w:r>
      <w:proofErr w:type="spellStart"/>
      <w:r w:rsidRPr="00247CC4">
        <w:rPr>
          <w:rFonts w:ascii="Times New Roman" w:hAnsi="Times New Roman" w:cs="Times New Roman"/>
          <w:sz w:val="20"/>
          <w:szCs w:val="20"/>
        </w:rPr>
        <w:t>Arjun</w:t>
      </w:r>
      <w:proofErr w:type="spellEnd"/>
      <w:r w:rsidRPr="00247CC4">
        <w:rPr>
          <w:rFonts w:ascii="Times New Roman" w:hAnsi="Times New Roman" w:cs="Times New Roman"/>
          <w:sz w:val="20"/>
          <w:szCs w:val="20"/>
        </w:rPr>
        <w:t xml:space="preserve">; ADHIKARI, </w:t>
      </w:r>
      <w:proofErr w:type="spellStart"/>
      <w:r w:rsidRPr="00247CC4">
        <w:rPr>
          <w:rFonts w:ascii="Times New Roman" w:hAnsi="Times New Roman" w:cs="Times New Roman"/>
          <w:sz w:val="20"/>
          <w:szCs w:val="20"/>
        </w:rPr>
        <w:t>Bishnu</w:t>
      </w:r>
      <w:proofErr w:type="spellEnd"/>
      <w:r w:rsidRPr="00247CC4">
        <w:rPr>
          <w:rFonts w:ascii="Times New Roman" w:hAnsi="Times New Roman" w:cs="Times New Roman"/>
          <w:sz w:val="20"/>
          <w:szCs w:val="20"/>
        </w:rPr>
        <w:t xml:space="preserve">; DHUNGANA, </w:t>
      </w:r>
      <w:proofErr w:type="spellStart"/>
      <w:r w:rsidRPr="00247CC4">
        <w:rPr>
          <w:rFonts w:ascii="Times New Roman" w:hAnsi="Times New Roman" w:cs="Times New Roman"/>
          <w:sz w:val="20"/>
          <w:szCs w:val="20"/>
        </w:rPr>
        <w:t>Sanjeev</w:t>
      </w:r>
      <w:proofErr w:type="spellEnd"/>
      <w:r w:rsidRPr="00247CC4">
        <w:rPr>
          <w:rFonts w:ascii="Times New Roman" w:hAnsi="Times New Roman" w:cs="Times New Roman"/>
          <w:sz w:val="20"/>
          <w:szCs w:val="20"/>
        </w:rPr>
        <w:t xml:space="preserve"> Kumar; LEE, </w:t>
      </w:r>
      <w:proofErr w:type="spellStart"/>
      <w:r w:rsidRPr="00247CC4">
        <w:rPr>
          <w:rFonts w:ascii="Times New Roman" w:hAnsi="Times New Roman" w:cs="Times New Roman"/>
          <w:sz w:val="20"/>
          <w:szCs w:val="20"/>
        </w:rPr>
        <w:t>Ko</w:t>
      </w:r>
      <w:proofErr w:type="spellEnd"/>
      <w:r w:rsidRPr="00247CC4">
        <w:rPr>
          <w:rFonts w:ascii="Times New Roman" w:hAnsi="Times New Roman" w:cs="Times New Roman"/>
          <w:sz w:val="20"/>
          <w:szCs w:val="20"/>
        </w:rPr>
        <w:t xml:space="preserve">-Eun; GC, </w:t>
      </w:r>
      <w:proofErr w:type="spellStart"/>
      <w:r w:rsidRPr="00247CC4">
        <w:rPr>
          <w:rFonts w:ascii="Times New Roman" w:hAnsi="Times New Roman" w:cs="Times New Roman"/>
          <w:sz w:val="20"/>
          <w:szCs w:val="20"/>
        </w:rPr>
        <w:t>Arun</w:t>
      </w:r>
      <w:proofErr w:type="spellEnd"/>
      <w:r w:rsidRPr="00247CC4">
        <w:rPr>
          <w:rFonts w:ascii="Times New Roman" w:hAnsi="Times New Roman" w:cs="Times New Roman"/>
          <w:sz w:val="20"/>
          <w:szCs w:val="20"/>
        </w:rPr>
        <w:t xml:space="preserve">; KANG, </w:t>
      </w:r>
      <w:proofErr w:type="spellStart"/>
      <w:r w:rsidRPr="00247CC4">
        <w:rPr>
          <w:rFonts w:ascii="Times New Roman" w:hAnsi="Times New Roman" w:cs="Times New Roman"/>
          <w:sz w:val="20"/>
          <w:szCs w:val="20"/>
        </w:rPr>
        <w:t>Sang-Mo</w:t>
      </w:r>
      <w:proofErr w:type="spellEnd"/>
      <w:r w:rsidRPr="00247CC4">
        <w:rPr>
          <w:rFonts w:ascii="Times New Roman" w:hAnsi="Times New Roman" w:cs="Times New Roman"/>
          <w:sz w:val="20"/>
          <w:szCs w:val="20"/>
        </w:rPr>
        <w:t xml:space="preserve">; ACHARYA, </w:t>
      </w:r>
      <w:proofErr w:type="spellStart"/>
      <w:r w:rsidRPr="00247CC4">
        <w:rPr>
          <w:rFonts w:ascii="Times New Roman" w:hAnsi="Times New Roman" w:cs="Times New Roman"/>
          <w:sz w:val="20"/>
          <w:szCs w:val="20"/>
        </w:rPr>
        <w:t>Mahesh</w:t>
      </w:r>
      <w:proofErr w:type="spellEnd"/>
      <w:r w:rsidRPr="00247CC4">
        <w:rPr>
          <w:rFonts w:ascii="Times New Roman" w:hAnsi="Times New Roman" w:cs="Times New Roman"/>
          <w:sz w:val="20"/>
          <w:szCs w:val="20"/>
        </w:rPr>
        <w:t xml:space="preserve">; POUDEL, </w:t>
      </w:r>
      <w:proofErr w:type="spellStart"/>
      <w:r w:rsidRPr="00247CC4">
        <w:rPr>
          <w:rFonts w:ascii="Times New Roman" w:hAnsi="Times New Roman" w:cs="Times New Roman"/>
          <w:sz w:val="20"/>
          <w:szCs w:val="20"/>
        </w:rPr>
        <w:t>Sanjaya</w:t>
      </w:r>
      <w:proofErr w:type="spellEnd"/>
      <w:r w:rsidRPr="00247CC4">
        <w:rPr>
          <w:rFonts w:ascii="Times New Roman" w:hAnsi="Times New Roman" w:cs="Times New Roman"/>
          <w:sz w:val="20"/>
          <w:szCs w:val="20"/>
        </w:rPr>
        <w:t xml:space="preserve">; LEE, </w:t>
      </w:r>
      <w:proofErr w:type="spellStart"/>
      <w:r w:rsidRPr="00247CC4">
        <w:rPr>
          <w:rFonts w:ascii="Times New Roman" w:hAnsi="Times New Roman" w:cs="Times New Roman"/>
          <w:sz w:val="20"/>
          <w:szCs w:val="20"/>
        </w:rPr>
        <w:t>In-Jung</w:t>
      </w:r>
      <w:proofErr w:type="spellEnd"/>
      <w:r w:rsidRPr="00247CC4">
        <w:rPr>
          <w:rFonts w:ascii="Times New Roman" w:hAnsi="Times New Roman" w:cs="Times New Roman"/>
          <w:sz w:val="20"/>
          <w:szCs w:val="20"/>
        </w:rPr>
        <w:t>. EFFECT OF BEE POLLEN AND PROBIOTICS ON GROWTH PERFORMANCE, ORGANS, AND THIGH MEAT pH OF BROILER COBB 500. </w:t>
      </w:r>
      <w:proofErr w:type="spellStart"/>
      <w:r w:rsidRPr="00247CC4">
        <w:rPr>
          <w:rFonts w:ascii="Times New Roman" w:hAnsi="Times New Roman" w:cs="Times New Roman"/>
          <w:b/>
          <w:bCs/>
          <w:sz w:val="20"/>
          <w:szCs w:val="20"/>
        </w:rPr>
        <w:t>Journal</w:t>
      </w:r>
      <w:proofErr w:type="spellEnd"/>
      <w:r w:rsidRPr="00247CC4">
        <w:rPr>
          <w:rFonts w:ascii="Times New Roman" w:hAnsi="Times New Roman" w:cs="Times New Roman"/>
          <w:b/>
          <w:bCs/>
          <w:sz w:val="20"/>
          <w:szCs w:val="20"/>
        </w:rPr>
        <w:t xml:space="preserve"> </w:t>
      </w:r>
      <w:proofErr w:type="spellStart"/>
      <w:r w:rsidRPr="00247CC4">
        <w:rPr>
          <w:rFonts w:ascii="Times New Roman" w:hAnsi="Times New Roman" w:cs="Times New Roman"/>
          <w:b/>
          <w:bCs/>
          <w:sz w:val="20"/>
          <w:szCs w:val="20"/>
        </w:rPr>
        <w:t>Of</w:t>
      </w:r>
      <w:proofErr w:type="spellEnd"/>
      <w:r w:rsidRPr="00247CC4">
        <w:rPr>
          <w:rFonts w:ascii="Times New Roman" w:hAnsi="Times New Roman" w:cs="Times New Roman"/>
          <w:b/>
          <w:bCs/>
          <w:sz w:val="20"/>
          <w:szCs w:val="20"/>
        </w:rPr>
        <w:t xml:space="preserve"> </w:t>
      </w:r>
      <w:proofErr w:type="spellStart"/>
      <w:r w:rsidRPr="00247CC4">
        <w:rPr>
          <w:rFonts w:ascii="Times New Roman" w:hAnsi="Times New Roman" w:cs="Times New Roman"/>
          <w:b/>
          <w:bCs/>
          <w:sz w:val="20"/>
          <w:szCs w:val="20"/>
        </w:rPr>
        <w:t>Microbiology</w:t>
      </w:r>
      <w:proofErr w:type="spellEnd"/>
      <w:r w:rsidRPr="00247CC4">
        <w:rPr>
          <w:rFonts w:ascii="Times New Roman" w:hAnsi="Times New Roman" w:cs="Times New Roman"/>
          <w:b/>
          <w:bCs/>
          <w:sz w:val="20"/>
          <w:szCs w:val="20"/>
        </w:rPr>
        <w:t xml:space="preserve">, </w:t>
      </w:r>
      <w:proofErr w:type="spellStart"/>
      <w:r w:rsidRPr="00247CC4">
        <w:rPr>
          <w:rFonts w:ascii="Times New Roman" w:hAnsi="Times New Roman" w:cs="Times New Roman"/>
          <w:b/>
          <w:bCs/>
          <w:sz w:val="20"/>
          <w:szCs w:val="20"/>
        </w:rPr>
        <w:t>Biotechnology</w:t>
      </w:r>
      <w:proofErr w:type="spellEnd"/>
      <w:r w:rsidRPr="00247CC4">
        <w:rPr>
          <w:rFonts w:ascii="Times New Roman" w:hAnsi="Times New Roman" w:cs="Times New Roman"/>
          <w:b/>
          <w:bCs/>
          <w:sz w:val="20"/>
          <w:szCs w:val="20"/>
        </w:rPr>
        <w:t xml:space="preserve"> </w:t>
      </w:r>
      <w:proofErr w:type="spellStart"/>
      <w:r w:rsidRPr="00247CC4">
        <w:rPr>
          <w:rFonts w:ascii="Times New Roman" w:hAnsi="Times New Roman" w:cs="Times New Roman"/>
          <w:b/>
          <w:bCs/>
          <w:sz w:val="20"/>
          <w:szCs w:val="20"/>
        </w:rPr>
        <w:t>And</w:t>
      </w:r>
      <w:proofErr w:type="spellEnd"/>
      <w:r w:rsidRPr="00247CC4">
        <w:rPr>
          <w:rFonts w:ascii="Times New Roman" w:hAnsi="Times New Roman" w:cs="Times New Roman"/>
          <w:b/>
          <w:bCs/>
          <w:sz w:val="20"/>
          <w:szCs w:val="20"/>
        </w:rPr>
        <w:t xml:space="preserve"> Food </w:t>
      </w:r>
      <w:proofErr w:type="spellStart"/>
      <w:r w:rsidRPr="00247CC4">
        <w:rPr>
          <w:rFonts w:ascii="Times New Roman" w:hAnsi="Times New Roman" w:cs="Times New Roman"/>
          <w:b/>
          <w:bCs/>
          <w:sz w:val="20"/>
          <w:szCs w:val="20"/>
        </w:rPr>
        <w:t>Sciences</w:t>
      </w:r>
      <w:proofErr w:type="spellEnd"/>
      <w:r w:rsidRPr="00247CC4">
        <w:rPr>
          <w:rFonts w:ascii="Times New Roman" w:hAnsi="Times New Roman" w:cs="Times New Roman"/>
          <w:sz w:val="20"/>
          <w:szCs w:val="20"/>
        </w:rPr>
        <w:t>, [S.L.], v. 7, n. 1, p. 79-82, 1 ago. 2017. </w:t>
      </w:r>
    </w:p>
    <w:p w14:paraId="20D4ED71" w14:textId="77777777" w:rsidR="005F1EA2" w:rsidRPr="00247CC4" w:rsidRDefault="005F1EA2" w:rsidP="005F1EA2">
      <w:pPr>
        <w:spacing w:after="0" w:line="360" w:lineRule="auto"/>
        <w:ind w:left="360" w:firstLine="360"/>
        <w:jc w:val="both"/>
        <w:rPr>
          <w:rFonts w:ascii="Times New Roman" w:hAnsi="Times New Roman" w:cs="Times New Roman"/>
          <w:sz w:val="20"/>
          <w:szCs w:val="20"/>
        </w:rPr>
      </w:pPr>
    </w:p>
    <w:p w14:paraId="2A2E4CFF" w14:textId="33A62115" w:rsidR="009569F7" w:rsidRPr="00247CC4" w:rsidRDefault="009569F7" w:rsidP="005F1EA2">
      <w:pPr>
        <w:spacing w:after="0" w:line="240" w:lineRule="auto"/>
        <w:ind w:left="360" w:firstLine="360"/>
        <w:jc w:val="both"/>
        <w:rPr>
          <w:rFonts w:ascii="Times New Roman" w:hAnsi="Times New Roman" w:cs="Times New Roman"/>
          <w:sz w:val="20"/>
          <w:szCs w:val="20"/>
        </w:rPr>
      </w:pPr>
      <w:r w:rsidRPr="00247CC4">
        <w:rPr>
          <w:rFonts w:ascii="Times New Roman" w:hAnsi="Times New Roman" w:cs="Times New Roman"/>
          <w:sz w:val="20"/>
          <w:szCs w:val="20"/>
        </w:rPr>
        <w:t xml:space="preserve">CASTANON, J.I.R. </w:t>
      </w:r>
      <w:proofErr w:type="spellStart"/>
      <w:r w:rsidRPr="00247CC4">
        <w:rPr>
          <w:rFonts w:ascii="Times New Roman" w:hAnsi="Times New Roman" w:cs="Times New Roman"/>
          <w:sz w:val="20"/>
          <w:szCs w:val="20"/>
        </w:rPr>
        <w:t>History</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of</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the</w:t>
      </w:r>
      <w:proofErr w:type="spellEnd"/>
      <w:r w:rsidRPr="00247CC4">
        <w:rPr>
          <w:rFonts w:ascii="Times New Roman" w:hAnsi="Times New Roman" w:cs="Times New Roman"/>
          <w:sz w:val="20"/>
          <w:szCs w:val="20"/>
        </w:rPr>
        <w:t xml:space="preserve"> use </w:t>
      </w:r>
      <w:proofErr w:type="spellStart"/>
      <w:r w:rsidRPr="00247CC4">
        <w:rPr>
          <w:rFonts w:ascii="Times New Roman" w:hAnsi="Times New Roman" w:cs="Times New Roman"/>
          <w:sz w:val="20"/>
          <w:szCs w:val="20"/>
        </w:rPr>
        <w:t>of</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antibiotic</w:t>
      </w:r>
      <w:proofErr w:type="spellEnd"/>
      <w:r w:rsidRPr="00247CC4">
        <w:rPr>
          <w:rFonts w:ascii="Times New Roman" w:hAnsi="Times New Roman" w:cs="Times New Roman"/>
          <w:sz w:val="20"/>
          <w:szCs w:val="20"/>
        </w:rPr>
        <w:t xml:space="preserve"> as </w:t>
      </w:r>
      <w:proofErr w:type="spellStart"/>
      <w:r w:rsidRPr="00247CC4">
        <w:rPr>
          <w:rFonts w:ascii="Times New Roman" w:hAnsi="Times New Roman" w:cs="Times New Roman"/>
          <w:sz w:val="20"/>
          <w:szCs w:val="20"/>
        </w:rPr>
        <w:t>growth</w:t>
      </w:r>
      <w:proofErr w:type="spellEnd"/>
      <w:r w:rsidRPr="00247CC4">
        <w:rPr>
          <w:rFonts w:ascii="Times New Roman" w:hAnsi="Times New Roman" w:cs="Times New Roman"/>
          <w:sz w:val="20"/>
          <w:szCs w:val="20"/>
        </w:rPr>
        <w:t xml:space="preserve"> promoters in </w:t>
      </w:r>
      <w:proofErr w:type="spellStart"/>
      <w:r w:rsidRPr="00247CC4">
        <w:rPr>
          <w:rFonts w:ascii="Times New Roman" w:hAnsi="Times New Roman" w:cs="Times New Roman"/>
          <w:sz w:val="20"/>
          <w:szCs w:val="20"/>
        </w:rPr>
        <w:t>European</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poultry</w:t>
      </w:r>
      <w:proofErr w:type="spellEnd"/>
      <w:r w:rsidRPr="00247CC4">
        <w:rPr>
          <w:rFonts w:ascii="Times New Roman" w:hAnsi="Times New Roman" w:cs="Times New Roman"/>
          <w:sz w:val="20"/>
          <w:szCs w:val="20"/>
        </w:rPr>
        <w:t xml:space="preserve"> feeds. </w:t>
      </w:r>
      <w:proofErr w:type="spellStart"/>
      <w:r w:rsidRPr="00247CC4">
        <w:rPr>
          <w:rFonts w:ascii="Times New Roman" w:hAnsi="Times New Roman" w:cs="Times New Roman"/>
          <w:b/>
          <w:sz w:val="20"/>
          <w:szCs w:val="20"/>
        </w:rPr>
        <w:t>Poultry</w:t>
      </w:r>
      <w:proofErr w:type="spellEnd"/>
      <w:r w:rsidRPr="00247CC4">
        <w:rPr>
          <w:rFonts w:ascii="Times New Roman" w:hAnsi="Times New Roman" w:cs="Times New Roman"/>
          <w:b/>
          <w:sz w:val="20"/>
          <w:szCs w:val="20"/>
        </w:rPr>
        <w:t xml:space="preserve"> Science</w:t>
      </w:r>
      <w:r w:rsidRPr="00247CC4">
        <w:rPr>
          <w:rFonts w:ascii="Times New Roman" w:hAnsi="Times New Roman" w:cs="Times New Roman"/>
          <w:sz w:val="20"/>
          <w:szCs w:val="20"/>
        </w:rPr>
        <w:t>, v.86, p.2466-2471, 2007.</w:t>
      </w:r>
    </w:p>
    <w:p w14:paraId="417159C3" w14:textId="77777777" w:rsidR="005F1EA2" w:rsidRPr="00247CC4" w:rsidRDefault="005F1EA2" w:rsidP="005F1EA2">
      <w:pPr>
        <w:spacing w:after="0" w:line="360" w:lineRule="auto"/>
        <w:ind w:left="3"/>
        <w:jc w:val="both"/>
        <w:rPr>
          <w:rFonts w:ascii="Times New Roman" w:hAnsi="Times New Roman" w:cs="Times New Roman"/>
          <w:sz w:val="20"/>
          <w:szCs w:val="20"/>
        </w:rPr>
      </w:pPr>
    </w:p>
    <w:p w14:paraId="11A41472" w14:textId="47069EA8" w:rsidR="009569F7" w:rsidRPr="00247CC4" w:rsidRDefault="009569F7" w:rsidP="005F1EA2">
      <w:pPr>
        <w:spacing w:after="0" w:line="240" w:lineRule="auto"/>
        <w:ind w:left="360" w:firstLine="360"/>
        <w:jc w:val="both"/>
        <w:rPr>
          <w:rFonts w:ascii="Times New Roman" w:hAnsi="Times New Roman" w:cs="Times New Roman"/>
          <w:sz w:val="20"/>
          <w:szCs w:val="20"/>
        </w:rPr>
      </w:pPr>
      <w:r w:rsidRPr="00247CC4">
        <w:rPr>
          <w:rFonts w:ascii="Times New Roman" w:hAnsi="Times New Roman" w:cs="Times New Roman"/>
          <w:sz w:val="20"/>
          <w:szCs w:val="20"/>
        </w:rPr>
        <w:t xml:space="preserve">DIAS, D. M. B.; OLIVEIRA, M. C.; SILVA, D. M.; BONIFÁCIO, N. P.; CLARO, D. C.; MARCHESIN, W. A. Bee </w:t>
      </w:r>
      <w:proofErr w:type="spellStart"/>
      <w:r w:rsidRPr="00247CC4">
        <w:rPr>
          <w:rFonts w:ascii="Times New Roman" w:hAnsi="Times New Roman" w:cs="Times New Roman"/>
          <w:sz w:val="20"/>
          <w:szCs w:val="20"/>
        </w:rPr>
        <w:t>pollen</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supplementation</w:t>
      </w:r>
      <w:proofErr w:type="spellEnd"/>
      <w:r w:rsidRPr="00247CC4">
        <w:rPr>
          <w:rFonts w:ascii="Times New Roman" w:hAnsi="Times New Roman" w:cs="Times New Roman"/>
          <w:sz w:val="20"/>
          <w:szCs w:val="20"/>
        </w:rPr>
        <w:t xml:space="preserve"> in diets for </w:t>
      </w:r>
      <w:proofErr w:type="spellStart"/>
      <w:r w:rsidRPr="00247CC4">
        <w:rPr>
          <w:rFonts w:ascii="Times New Roman" w:hAnsi="Times New Roman" w:cs="Times New Roman"/>
          <w:sz w:val="20"/>
          <w:szCs w:val="20"/>
        </w:rPr>
        <w:t>rabbit</w:t>
      </w:r>
      <w:proofErr w:type="spellEnd"/>
      <w:r w:rsidRPr="00247CC4">
        <w:rPr>
          <w:rFonts w:ascii="Times New Roman" w:hAnsi="Times New Roman" w:cs="Times New Roman"/>
          <w:sz w:val="20"/>
          <w:szCs w:val="20"/>
        </w:rPr>
        <w:t xml:space="preserve"> does </w:t>
      </w:r>
      <w:proofErr w:type="spellStart"/>
      <w:r w:rsidRPr="00247CC4">
        <w:rPr>
          <w:rFonts w:ascii="Times New Roman" w:hAnsi="Times New Roman" w:cs="Times New Roman"/>
          <w:sz w:val="20"/>
          <w:szCs w:val="20"/>
        </w:rPr>
        <w:t>and</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growing</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rabbits</w:t>
      </w:r>
      <w:proofErr w:type="spellEnd"/>
      <w:r w:rsidRPr="00247CC4">
        <w:rPr>
          <w:rFonts w:ascii="Times New Roman" w:hAnsi="Times New Roman" w:cs="Times New Roman"/>
          <w:sz w:val="20"/>
          <w:szCs w:val="20"/>
        </w:rPr>
        <w:t xml:space="preserve">. </w:t>
      </w:r>
      <w:r w:rsidRPr="00247CC4">
        <w:rPr>
          <w:rFonts w:ascii="Times New Roman" w:hAnsi="Times New Roman" w:cs="Times New Roman"/>
          <w:b/>
          <w:sz w:val="20"/>
          <w:szCs w:val="20"/>
        </w:rPr>
        <w:t xml:space="preserve">Acta </w:t>
      </w:r>
      <w:proofErr w:type="spellStart"/>
      <w:r w:rsidRPr="00247CC4">
        <w:rPr>
          <w:rFonts w:ascii="Times New Roman" w:hAnsi="Times New Roman" w:cs="Times New Roman"/>
          <w:b/>
          <w:sz w:val="20"/>
          <w:szCs w:val="20"/>
        </w:rPr>
        <w:t>Scientiarum</w:t>
      </w:r>
      <w:proofErr w:type="spellEnd"/>
      <w:r w:rsidRPr="00247CC4">
        <w:rPr>
          <w:rFonts w:ascii="Times New Roman" w:hAnsi="Times New Roman" w:cs="Times New Roman"/>
          <w:b/>
          <w:sz w:val="20"/>
          <w:szCs w:val="20"/>
        </w:rPr>
        <w:t xml:space="preserve"> Animal </w:t>
      </w:r>
      <w:proofErr w:type="spellStart"/>
      <w:r w:rsidRPr="00247CC4">
        <w:rPr>
          <w:rFonts w:ascii="Times New Roman" w:hAnsi="Times New Roman" w:cs="Times New Roman"/>
          <w:b/>
          <w:sz w:val="20"/>
          <w:szCs w:val="20"/>
        </w:rPr>
        <w:t>Sciences</w:t>
      </w:r>
      <w:proofErr w:type="spellEnd"/>
      <w:r w:rsidRPr="00247CC4">
        <w:rPr>
          <w:rFonts w:ascii="Times New Roman" w:hAnsi="Times New Roman" w:cs="Times New Roman"/>
          <w:sz w:val="20"/>
          <w:szCs w:val="20"/>
        </w:rPr>
        <w:t xml:space="preserve">, Maringá, v. 35, n. 4, p. 425-430, 2013. DOI: </w:t>
      </w:r>
      <w:hyperlink r:id="rId14" w:history="1">
        <w:r w:rsidRPr="00247CC4">
          <w:rPr>
            <w:rStyle w:val="Hyperlink"/>
            <w:rFonts w:ascii="Times New Roman" w:hAnsi="Times New Roman" w:cs="Times New Roman"/>
            <w:color w:val="auto"/>
            <w:sz w:val="20"/>
            <w:szCs w:val="20"/>
            <w:u w:val="none"/>
          </w:rPr>
          <w:t>http://dx.doi.org/10.4025/actascianimsci.v35i4.18950</w:t>
        </w:r>
      </w:hyperlink>
      <w:r w:rsidRPr="00247CC4">
        <w:rPr>
          <w:rFonts w:ascii="Times New Roman" w:hAnsi="Times New Roman" w:cs="Times New Roman"/>
          <w:sz w:val="20"/>
          <w:szCs w:val="20"/>
        </w:rPr>
        <w:t>.</w:t>
      </w:r>
    </w:p>
    <w:p w14:paraId="4BBF3F08" w14:textId="77777777" w:rsidR="005F1EA2" w:rsidRPr="00247CC4" w:rsidRDefault="005F1EA2" w:rsidP="005F1EA2">
      <w:pPr>
        <w:spacing w:after="0" w:line="360" w:lineRule="auto"/>
        <w:ind w:left="360" w:firstLine="720"/>
        <w:jc w:val="both"/>
        <w:rPr>
          <w:rFonts w:ascii="Times New Roman" w:hAnsi="Times New Roman" w:cs="Times New Roman"/>
          <w:sz w:val="20"/>
          <w:szCs w:val="20"/>
        </w:rPr>
      </w:pPr>
    </w:p>
    <w:p w14:paraId="53100AB1" w14:textId="77777777" w:rsidR="005F1EA2" w:rsidRPr="00247CC4" w:rsidRDefault="009569F7" w:rsidP="005F1EA2">
      <w:pPr>
        <w:spacing w:after="0" w:line="240" w:lineRule="auto"/>
        <w:ind w:left="357" w:firstLine="363"/>
        <w:jc w:val="both"/>
        <w:rPr>
          <w:rFonts w:ascii="Times New Roman" w:hAnsi="Times New Roman" w:cs="Times New Roman"/>
          <w:bCs/>
          <w:sz w:val="20"/>
          <w:szCs w:val="20"/>
        </w:rPr>
      </w:pPr>
      <w:r w:rsidRPr="00247CC4">
        <w:rPr>
          <w:rFonts w:ascii="Times New Roman" w:hAnsi="Times New Roman" w:cs="Times New Roman"/>
          <w:bCs/>
          <w:sz w:val="20"/>
          <w:szCs w:val="20"/>
          <w:lang w:val="en-US"/>
        </w:rPr>
        <w:t xml:space="preserve">FRONING, G. W.; UIJTTENBOOGARTE, T. G. Effect of post mortem electrical stimulation on color, texture, pH and cooking loses of hold and cold deboned chicken broiler breast meat. </w:t>
      </w:r>
      <w:proofErr w:type="spellStart"/>
      <w:r w:rsidRPr="00247CC4">
        <w:rPr>
          <w:rFonts w:ascii="Times New Roman" w:hAnsi="Times New Roman" w:cs="Times New Roman"/>
          <w:b/>
          <w:bCs/>
          <w:sz w:val="20"/>
          <w:szCs w:val="20"/>
        </w:rPr>
        <w:t>Poultry</w:t>
      </w:r>
      <w:proofErr w:type="spellEnd"/>
      <w:r w:rsidRPr="00247CC4">
        <w:rPr>
          <w:rFonts w:ascii="Times New Roman" w:hAnsi="Times New Roman" w:cs="Times New Roman"/>
          <w:b/>
          <w:bCs/>
          <w:sz w:val="20"/>
          <w:szCs w:val="20"/>
        </w:rPr>
        <w:t xml:space="preserve"> Science</w:t>
      </w:r>
      <w:r w:rsidRPr="00247CC4">
        <w:rPr>
          <w:rFonts w:ascii="Times New Roman" w:hAnsi="Times New Roman" w:cs="Times New Roman"/>
          <w:bCs/>
          <w:sz w:val="20"/>
          <w:szCs w:val="20"/>
        </w:rPr>
        <w:t>, v. 67, n. 11, p. 1536-1544, 1988.</w:t>
      </w:r>
    </w:p>
    <w:p w14:paraId="58DB8B3F" w14:textId="77777777" w:rsidR="005F1EA2" w:rsidRPr="00247CC4" w:rsidRDefault="005F1EA2" w:rsidP="005F1EA2">
      <w:pPr>
        <w:spacing w:after="0" w:line="360" w:lineRule="auto"/>
        <w:ind w:left="357" w:firstLine="363"/>
        <w:jc w:val="both"/>
        <w:rPr>
          <w:rFonts w:ascii="Times New Roman" w:hAnsi="Times New Roman" w:cs="Times New Roman"/>
          <w:bCs/>
          <w:sz w:val="20"/>
          <w:szCs w:val="20"/>
        </w:rPr>
      </w:pPr>
    </w:p>
    <w:p w14:paraId="55B85CD4" w14:textId="297717DF" w:rsidR="009569F7" w:rsidRPr="00247CC4" w:rsidRDefault="009569F7" w:rsidP="005F1EA2">
      <w:pPr>
        <w:spacing w:after="0" w:line="240" w:lineRule="auto"/>
        <w:ind w:left="357" w:firstLine="363"/>
        <w:jc w:val="both"/>
        <w:rPr>
          <w:rFonts w:ascii="Times New Roman" w:hAnsi="Times New Roman" w:cs="Times New Roman"/>
          <w:bCs/>
          <w:sz w:val="20"/>
          <w:szCs w:val="20"/>
        </w:rPr>
      </w:pPr>
      <w:r w:rsidRPr="00247CC4">
        <w:rPr>
          <w:rFonts w:ascii="Times New Roman" w:hAnsi="Times New Roman" w:cs="Times New Roman"/>
          <w:bCs/>
          <w:sz w:val="20"/>
          <w:szCs w:val="20"/>
        </w:rPr>
        <w:t xml:space="preserve">HASCIK, P., ELIMAM, IOE., BOBKO, M. </w:t>
      </w:r>
      <w:r w:rsidR="005F1EA2" w:rsidRPr="00247CC4">
        <w:rPr>
          <w:rFonts w:ascii="Times New Roman" w:hAnsi="Times New Roman" w:cs="Times New Roman"/>
          <w:bCs/>
          <w:sz w:val="20"/>
          <w:szCs w:val="20"/>
        </w:rPr>
        <w:t>., KACANIOVA, M., POCHOP, J. .,</w:t>
      </w:r>
      <w:r w:rsidRPr="00247CC4">
        <w:rPr>
          <w:rFonts w:ascii="Times New Roman" w:hAnsi="Times New Roman" w:cs="Times New Roman"/>
          <w:bCs/>
          <w:sz w:val="20"/>
          <w:szCs w:val="20"/>
        </w:rPr>
        <w:t>GARLIK, J., KROCKO, M., CUBON, J., VAVRISINOVA, K., ARPASOVA, H., CAPCAROVA, M., &amp; BENCZOVA, E. Estabilidade oxidativa da carne de frango após a aplicação de extrato de pólen em sua dieta. </w:t>
      </w:r>
      <w:proofErr w:type="spellStart"/>
      <w:r w:rsidRPr="00247CC4">
        <w:rPr>
          <w:rFonts w:ascii="Times New Roman" w:hAnsi="Times New Roman" w:cs="Times New Roman"/>
          <w:b/>
          <w:bCs/>
          <w:iCs/>
          <w:sz w:val="20"/>
          <w:szCs w:val="20"/>
        </w:rPr>
        <w:t>Journal</w:t>
      </w:r>
      <w:proofErr w:type="spellEnd"/>
      <w:r w:rsidRPr="00247CC4">
        <w:rPr>
          <w:rFonts w:ascii="Times New Roman" w:hAnsi="Times New Roman" w:cs="Times New Roman"/>
          <w:b/>
          <w:bCs/>
          <w:iCs/>
          <w:sz w:val="20"/>
          <w:szCs w:val="20"/>
        </w:rPr>
        <w:t xml:space="preserve"> </w:t>
      </w:r>
      <w:proofErr w:type="spellStart"/>
      <w:r w:rsidRPr="00247CC4">
        <w:rPr>
          <w:rFonts w:ascii="Times New Roman" w:hAnsi="Times New Roman" w:cs="Times New Roman"/>
          <w:b/>
          <w:bCs/>
          <w:iCs/>
          <w:sz w:val="20"/>
          <w:szCs w:val="20"/>
        </w:rPr>
        <w:t>of</w:t>
      </w:r>
      <w:proofErr w:type="spellEnd"/>
      <w:r w:rsidRPr="00247CC4">
        <w:rPr>
          <w:rFonts w:ascii="Times New Roman" w:hAnsi="Times New Roman" w:cs="Times New Roman"/>
          <w:b/>
          <w:bCs/>
          <w:iCs/>
          <w:sz w:val="20"/>
          <w:szCs w:val="20"/>
        </w:rPr>
        <w:t xml:space="preserve"> </w:t>
      </w:r>
      <w:proofErr w:type="spellStart"/>
      <w:r w:rsidRPr="00247CC4">
        <w:rPr>
          <w:rFonts w:ascii="Times New Roman" w:hAnsi="Times New Roman" w:cs="Times New Roman"/>
          <w:b/>
          <w:bCs/>
          <w:iCs/>
          <w:sz w:val="20"/>
          <w:szCs w:val="20"/>
        </w:rPr>
        <w:t>Microbiology</w:t>
      </w:r>
      <w:proofErr w:type="spellEnd"/>
      <w:r w:rsidRPr="00247CC4">
        <w:rPr>
          <w:rFonts w:ascii="Times New Roman" w:hAnsi="Times New Roman" w:cs="Times New Roman"/>
          <w:b/>
          <w:bCs/>
          <w:iCs/>
          <w:sz w:val="20"/>
          <w:szCs w:val="20"/>
        </w:rPr>
        <w:t>,</w:t>
      </w:r>
      <w:r w:rsidRPr="00247CC4">
        <w:rPr>
          <w:rFonts w:ascii="Times New Roman" w:hAnsi="Times New Roman" w:cs="Times New Roman"/>
          <w:bCs/>
          <w:iCs/>
          <w:sz w:val="20"/>
          <w:szCs w:val="20"/>
        </w:rPr>
        <w:t xml:space="preserve"> </w:t>
      </w:r>
      <w:proofErr w:type="spellStart"/>
      <w:r w:rsidRPr="00247CC4">
        <w:rPr>
          <w:rFonts w:ascii="Times New Roman" w:hAnsi="Times New Roman" w:cs="Times New Roman"/>
          <w:bCs/>
          <w:iCs/>
          <w:sz w:val="20"/>
          <w:szCs w:val="20"/>
        </w:rPr>
        <w:t>Biotechnology</w:t>
      </w:r>
      <w:proofErr w:type="spellEnd"/>
      <w:r w:rsidRPr="00247CC4">
        <w:rPr>
          <w:rFonts w:ascii="Times New Roman" w:hAnsi="Times New Roman" w:cs="Times New Roman"/>
          <w:bCs/>
          <w:iCs/>
          <w:sz w:val="20"/>
          <w:szCs w:val="20"/>
        </w:rPr>
        <w:t xml:space="preserve"> </w:t>
      </w:r>
      <w:proofErr w:type="spellStart"/>
      <w:r w:rsidRPr="00247CC4">
        <w:rPr>
          <w:rFonts w:ascii="Times New Roman" w:hAnsi="Times New Roman" w:cs="Times New Roman"/>
          <w:bCs/>
          <w:iCs/>
          <w:sz w:val="20"/>
          <w:szCs w:val="20"/>
        </w:rPr>
        <w:t>and</w:t>
      </w:r>
      <w:proofErr w:type="spellEnd"/>
      <w:r w:rsidRPr="00247CC4">
        <w:rPr>
          <w:rFonts w:ascii="Times New Roman" w:hAnsi="Times New Roman" w:cs="Times New Roman"/>
          <w:bCs/>
          <w:iCs/>
          <w:sz w:val="20"/>
          <w:szCs w:val="20"/>
        </w:rPr>
        <w:t xml:space="preserve"> Food </w:t>
      </w:r>
      <w:proofErr w:type="spellStart"/>
      <w:r w:rsidRPr="00247CC4">
        <w:rPr>
          <w:rFonts w:ascii="Times New Roman" w:hAnsi="Times New Roman" w:cs="Times New Roman"/>
          <w:bCs/>
          <w:iCs/>
          <w:sz w:val="20"/>
          <w:szCs w:val="20"/>
        </w:rPr>
        <w:t>Sciences</w:t>
      </w:r>
      <w:proofErr w:type="spellEnd"/>
      <w:r w:rsidRPr="00247CC4">
        <w:rPr>
          <w:rFonts w:ascii="Times New Roman" w:hAnsi="Times New Roman" w:cs="Times New Roman"/>
          <w:bCs/>
          <w:sz w:val="20"/>
          <w:szCs w:val="20"/>
        </w:rPr>
        <w:t> , </w:t>
      </w:r>
      <w:r w:rsidRPr="00247CC4">
        <w:rPr>
          <w:rFonts w:ascii="Times New Roman" w:hAnsi="Times New Roman" w:cs="Times New Roman"/>
          <w:bCs/>
          <w:iCs/>
          <w:sz w:val="20"/>
          <w:szCs w:val="20"/>
        </w:rPr>
        <w:t>1</w:t>
      </w:r>
      <w:r w:rsidRPr="00247CC4">
        <w:rPr>
          <w:rFonts w:ascii="Times New Roman" w:hAnsi="Times New Roman" w:cs="Times New Roman"/>
          <w:bCs/>
          <w:sz w:val="20"/>
          <w:szCs w:val="20"/>
        </w:rPr>
        <w:t> (1), 70–82, 2011.</w:t>
      </w:r>
    </w:p>
    <w:p w14:paraId="07D131A6" w14:textId="77777777" w:rsidR="005F1EA2" w:rsidRPr="00247CC4" w:rsidRDefault="005F1EA2" w:rsidP="005F1EA2">
      <w:pPr>
        <w:spacing w:after="0" w:line="360" w:lineRule="auto"/>
        <w:ind w:left="357" w:firstLine="720"/>
        <w:jc w:val="both"/>
        <w:rPr>
          <w:rFonts w:ascii="Times New Roman" w:hAnsi="Times New Roman" w:cs="Times New Roman"/>
          <w:bCs/>
          <w:sz w:val="20"/>
          <w:szCs w:val="20"/>
        </w:rPr>
      </w:pPr>
    </w:p>
    <w:p w14:paraId="2630147E" w14:textId="2655B1B4" w:rsidR="009569F7" w:rsidRPr="00247CC4" w:rsidRDefault="009569F7" w:rsidP="005F1EA2">
      <w:pPr>
        <w:spacing w:after="0" w:line="240" w:lineRule="auto"/>
        <w:ind w:left="357" w:firstLine="363"/>
        <w:jc w:val="both"/>
        <w:rPr>
          <w:rFonts w:ascii="Times New Roman" w:hAnsi="Times New Roman" w:cs="Times New Roman"/>
          <w:sz w:val="20"/>
          <w:szCs w:val="20"/>
        </w:rPr>
      </w:pPr>
      <w:r w:rsidRPr="00247CC4">
        <w:rPr>
          <w:rFonts w:ascii="Times New Roman" w:hAnsi="Times New Roman" w:cs="Times New Roman"/>
          <w:sz w:val="20"/>
          <w:szCs w:val="20"/>
        </w:rPr>
        <w:t xml:space="preserve">HAŠČÍK, P., ELIMAM, I. O. E., GARLÍK, J., BOBKO, M., KAČÁNIOVÁ, M., &amp; ČUBOŇ, J. </w:t>
      </w:r>
      <w:proofErr w:type="spellStart"/>
      <w:r w:rsidRPr="00247CC4">
        <w:rPr>
          <w:rFonts w:ascii="Times New Roman" w:hAnsi="Times New Roman" w:cs="Times New Roman"/>
          <w:sz w:val="20"/>
          <w:szCs w:val="20"/>
        </w:rPr>
        <w:t>Broiler´s</w:t>
      </w:r>
      <w:proofErr w:type="spellEnd"/>
      <w:r w:rsidRPr="00247CC4">
        <w:rPr>
          <w:rFonts w:ascii="Times New Roman" w:hAnsi="Times New Roman" w:cs="Times New Roman"/>
          <w:sz w:val="20"/>
          <w:szCs w:val="20"/>
        </w:rPr>
        <w:t xml:space="preserve"> Ross 308 </w:t>
      </w:r>
      <w:proofErr w:type="spellStart"/>
      <w:r w:rsidRPr="00247CC4">
        <w:rPr>
          <w:rFonts w:ascii="Times New Roman" w:hAnsi="Times New Roman" w:cs="Times New Roman"/>
          <w:sz w:val="20"/>
          <w:szCs w:val="20"/>
        </w:rPr>
        <w:t>meat</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chemical</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composition</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after</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addition</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of</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bee</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pollen</w:t>
      </w:r>
      <w:proofErr w:type="spellEnd"/>
      <w:r w:rsidRPr="00247CC4">
        <w:rPr>
          <w:rFonts w:ascii="Times New Roman" w:hAnsi="Times New Roman" w:cs="Times New Roman"/>
          <w:sz w:val="20"/>
          <w:szCs w:val="20"/>
        </w:rPr>
        <w:t xml:space="preserve"> as a </w:t>
      </w:r>
      <w:proofErr w:type="spellStart"/>
      <w:r w:rsidRPr="00247CC4">
        <w:rPr>
          <w:rFonts w:ascii="Times New Roman" w:hAnsi="Times New Roman" w:cs="Times New Roman"/>
          <w:sz w:val="20"/>
          <w:szCs w:val="20"/>
        </w:rPr>
        <w:t>supplement</w:t>
      </w:r>
      <w:proofErr w:type="spellEnd"/>
      <w:r w:rsidRPr="00247CC4">
        <w:rPr>
          <w:rFonts w:ascii="Times New Roman" w:hAnsi="Times New Roman" w:cs="Times New Roman"/>
          <w:sz w:val="20"/>
          <w:szCs w:val="20"/>
        </w:rPr>
        <w:t xml:space="preserve"> in </w:t>
      </w:r>
      <w:proofErr w:type="spellStart"/>
      <w:r w:rsidRPr="00247CC4">
        <w:rPr>
          <w:rFonts w:ascii="Times New Roman" w:hAnsi="Times New Roman" w:cs="Times New Roman"/>
          <w:sz w:val="20"/>
          <w:szCs w:val="20"/>
        </w:rPr>
        <w:t>their</w:t>
      </w:r>
      <w:proofErr w:type="spellEnd"/>
      <w:r w:rsidRPr="00247CC4">
        <w:rPr>
          <w:rFonts w:ascii="Times New Roman" w:hAnsi="Times New Roman" w:cs="Times New Roman"/>
          <w:sz w:val="20"/>
          <w:szCs w:val="20"/>
        </w:rPr>
        <w:t xml:space="preserve"> feed </w:t>
      </w:r>
      <w:proofErr w:type="spellStart"/>
      <w:r w:rsidRPr="00247CC4">
        <w:rPr>
          <w:rFonts w:ascii="Times New Roman" w:hAnsi="Times New Roman" w:cs="Times New Roman"/>
          <w:sz w:val="20"/>
          <w:szCs w:val="20"/>
        </w:rPr>
        <w:t>mixtures</w:t>
      </w:r>
      <w:proofErr w:type="spellEnd"/>
      <w:r w:rsidRPr="00247CC4">
        <w:rPr>
          <w:rFonts w:ascii="Times New Roman" w:hAnsi="Times New Roman" w:cs="Times New Roman"/>
          <w:sz w:val="20"/>
          <w:szCs w:val="20"/>
        </w:rPr>
        <w:t>. </w:t>
      </w:r>
      <w:proofErr w:type="spellStart"/>
      <w:r w:rsidRPr="00247CC4">
        <w:rPr>
          <w:rFonts w:ascii="Times New Roman" w:hAnsi="Times New Roman" w:cs="Times New Roman"/>
          <w:b/>
          <w:iCs/>
          <w:sz w:val="20"/>
          <w:szCs w:val="20"/>
        </w:rPr>
        <w:t>Journal</w:t>
      </w:r>
      <w:proofErr w:type="spellEnd"/>
      <w:r w:rsidRPr="00247CC4">
        <w:rPr>
          <w:rFonts w:ascii="Times New Roman" w:hAnsi="Times New Roman" w:cs="Times New Roman"/>
          <w:b/>
          <w:iCs/>
          <w:sz w:val="20"/>
          <w:szCs w:val="20"/>
        </w:rPr>
        <w:t xml:space="preserve"> </w:t>
      </w:r>
      <w:proofErr w:type="spellStart"/>
      <w:r w:rsidRPr="00247CC4">
        <w:rPr>
          <w:rFonts w:ascii="Times New Roman" w:hAnsi="Times New Roman" w:cs="Times New Roman"/>
          <w:b/>
          <w:iCs/>
          <w:sz w:val="20"/>
          <w:szCs w:val="20"/>
        </w:rPr>
        <w:t>of</w:t>
      </w:r>
      <w:proofErr w:type="spellEnd"/>
      <w:r w:rsidRPr="00247CC4">
        <w:rPr>
          <w:rFonts w:ascii="Times New Roman" w:hAnsi="Times New Roman" w:cs="Times New Roman"/>
          <w:b/>
          <w:iCs/>
          <w:sz w:val="20"/>
          <w:szCs w:val="20"/>
        </w:rPr>
        <w:t xml:space="preserve"> </w:t>
      </w:r>
      <w:proofErr w:type="spellStart"/>
      <w:r w:rsidRPr="00247CC4">
        <w:rPr>
          <w:rFonts w:ascii="Times New Roman" w:hAnsi="Times New Roman" w:cs="Times New Roman"/>
          <w:b/>
          <w:iCs/>
          <w:sz w:val="20"/>
          <w:szCs w:val="20"/>
        </w:rPr>
        <w:t>microbiology</w:t>
      </w:r>
      <w:proofErr w:type="spellEnd"/>
      <w:r w:rsidRPr="00247CC4">
        <w:rPr>
          <w:rFonts w:ascii="Times New Roman" w:hAnsi="Times New Roman" w:cs="Times New Roman"/>
          <w:b/>
          <w:iCs/>
          <w:sz w:val="20"/>
          <w:szCs w:val="20"/>
        </w:rPr>
        <w:t xml:space="preserve">, </w:t>
      </w:r>
      <w:proofErr w:type="spellStart"/>
      <w:r w:rsidRPr="00247CC4">
        <w:rPr>
          <w:rFonts w:ascii="Times New Roman" w:hAnsi="Times New Roman" w:cs="Times New Roman"/>
          <w:b/>
          <w:iCs/>
          <w:sz w:val="20"/>
          <w:szCs w:val="20"/>
        </w:rPr>
        <w:t>biotechnology</w:t>
      </w:r>
      <w:proofErr w:type="spellEnd"/>
      <w:r w:rsidRPr="00247CC4">
        <w:rPr>
          <w:rFonts w:ascii="Times New Roman" w:hAnsi="Times New Roman" w:cs="Times New Roman"/>
          <w:b/>
          <w:iCs/>
          <w:sz w:val="20"/>
          <w:szCs w:val="20"/>
        </w:rPr>
        <w:t xml:space="preserve"> </w:t>
      </w:r>
      <w:proofErr w:type="spellStart"/>
      <w:r w:rsidRPr="00247CC4">
        <w:rPr>
          <w:rFonts w:ascii="Times New Roman" w:hAnsi="Times New Roman" w:cs="Times New Roman"/>
          <w:b/>
          <w:iCs/>
          <w:sz w:val="20"/>
          <w:szCs w:val="20"/>
        </w:rPr>
        <w:t>and</w:t>
      </w:r>
      <w:proofErr w:type="spellEnd"/>
      <w:r w:rsidRPr="00247CC4">
        <w:rPr>
          <w:rFonts w:ascii="Times New Roman" w:hAnsi="Times New Roman" w:cs="Times New Roman"/>
          <w:b/>
          <w:iCs/>
          <w:sz w:val="20"/>
          <w:szCs w:val="20"/>
        </w:rPr>
        <w:t xml:space="preserve"> food </w:t>
      </w:r>
      <w:proofErr w:type="spellStart"/>
      <w:r w:rsidRPr="00247CC4">
        <w:rPr>
          <w:rFonts w:ascii="Times New Roman" w:hAnsi="Times New Roman" w:cs="Times New Roman"/>
          <w:b/>
          <w:iCs/>
          <w:sz w:val="20"/>
          <w:szCs w:val="20"/>
        </w:rPr>
        <w:t>sciences</w:t>
      </w:r>
      <w:proofErr w:type="spellEnd"/>
      <w:r w:rsidRPr="00247CC4">
        <w:rPr>
          <w:rFonts w:ascii="Times New Roman" w:hAnsi="Times New Roman" w:cs="Times New Roman"/>
          <w:sz w:val="20"/>
          <w:szCs w:val="20"/>
        </w:rPr>
        <w:t xml:space="preserve">, 11-13, 2014. </w:t>
      </w:r>
    </w:p>
    <w:p w14:paraId="5EB6FA77" w14:textId="77777777" w:rsidR="005F1EA2" w:rsidRPr="00247CC4" w:rsidRDefault="005F1EA2" w:rsidP="005F1EA2">
      <w:pPr>
        <w:spacing w:after="0" w:line="240" w:lineRule="auto"/>
        <w:ind w:left="357" w:firstLine="363"/>
        <w:jc w:val="both"/>
        <w:rPr>
          <w:rFonts w:ascii="Times New Roman" w:hAnsi="Times New Roman" w:cs="Times New Roman"/>
          <w:sz w:val="20"/>
          <w:szCs w:val="20"/>
        </w:rPr>
      </w:pPr>
    </w:p>
    <w:p w14:paraId="100291F4" w14:textId="408F010F" w:rsidR="009569F7" w:rsidRPr="00247CC4" w:rsidRDefault="009569F7" w:rsidP="005F1EA2">
      <w:pPr>
        <w:spacing w:after="0" w:line="240" w:lineRule="auto"/>
        <w:ind w:left="357" w:firstLine="363"/>
        <w:jc w:val="both"/>
        <w:rPr>
          <w:rFonts w:ascii="Times New Roman" w:hAnsi="Times New Roman" w:cs="Times New Roman"/>
          <w:sz w:val="20"/>
          <w:szCs w:val="20"/>
        </w:rPr>
      </w:pPr>
      <w:r w:rsidRPr="00247CC4">
        <w:rPr>
          <w:rFonts w:ascii="Times New Roman" w:hAnsi="Times New Roman" w:cs="Times New Roman"/>
          <w:sz w:val="20"/>
          <w:szCs w:val="20"/>
        </w:rPr>
        <w:t xml:space="preserve">HAŠČÍK, P., ELIMAM, I. O. E., &amp; GARLÍK, J. The </w:t>
      </w:r>
      <w:proofErr w:type="spellStart"/>
      <w:r w:rsidRPr="00247CC4">
        <w:rPr>
          <w:rFonts w:ascii="Times New Roman" w:hAnsi="Times New Roman" w:cs="Times New Roman"/>
          <w:sz w:val="20"/>
          <w:szCs w:val="20"/>
        </w:rPr>
        <w:t>effect</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of</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addition</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bee</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pollen</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to</w:t>
      </w:r>
      <w:proofErr w:type="spellEnd"/>
      <w:r w:rsidRPr="00247CC4">
        <w:rPr>
          <w:rFonts w:ascii="Times New Roman" w:hAnsi="Times New Roman" w:cs="Times New Roman"/>
          <w:sz w:val="20"/>
          <w:szCs w:val="20"/>
        </w:rPr>
        <w:t xml:space="preserve"> feed </w:t>
      </w:r>
      <w:proofErr w:type="spellStart"/>
      <w:r w:rsidRPr="00247CC4">
        <w:rPr>
          <w:rFonts w:ascii="Times New Roman" w:hAnsi="Times New Roman" w:cs="Times New Roman"/>
          <w:sz w:val="20"/>
          <w:szCs w:val="20"/>
        </w:rPr>
        <w:t>mixtures</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on</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internal</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fat</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of</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broiler</w:t>
      </w:r>
      <w:proofErr w:type="spellEnd"/>
      <w:r w:rsidRPr="00247CC4">
        <w:rPr>
          <w:rFonts w:ascii="Times New Roman" w:hAnsi="Times New Roman" w:cs="Times New Roman"/>
          <w:sz w:val="20"/>
          <w:szCs w:val="20"/>
        </w:rPr>
        <w:t xml:space="preserve"> Ross 308. </w:t>
      </w:r>
      <w:proofErr w:type="spellStart"/>
      <w:r w:rsidRPr="00247CC4">
        <w:rPr>
          <w:rFonts w:ascii="Times New Roman" w:hAnsi="Times New Roman" w:cs="Times New Roman"/>
          <w:b/>
          <w:iCs/>
          <w:sz w:val="20"/>
          <w:szCs w:val="20"/>
        </w:rPr>
        <w:t>Journal</w:t>
      </w:r>
      <w:proofErr w:type="spellEnd"/>
      <w:r w:rsidRPr="00247CC4">
        <w:rPr>
          <w:rFonts w:ascii="Times New Roman" w:hAnsi="Times New Roman" w:cs="Times New Roman"/>
          <w:b/>
          <w:iCs/>
          <w:sz w:val="20"/>
          <w:szCs w:val="20"/>
        </w:rPr>
        <w:t xml:space="preserve"> </w:t>
      </w:r>
      <w:proofErr w:type="spellStart"/>
      <w:r w:rsidRPr="00247CC4">
        <w:rPr>
          <w:rFonts w:ascii="Times New Roman" w:hAnsi="Times New Roman" w:cs="Times New Roman"/>
          <w:b/>
          <w:iCs/>
          <w:sz w:val="20"/>
          <w:szCs w:val="20"/>
        </w:rPr>
        <w:t>of</w:t>
      </w:r>
      <w:proofErr w:type="spellEnd"/>
      <w:r w:rsidRPr="00247CC4">
        <w:rPr>
          <w:rFonts w:ascii="Times New Roman" w:hAnsi="Times New Roman" w:cs="Times New Roman"/>
          <w:b/>
          <w:iCs/>
          <w:sz w:val="20"/>
          <w:szCs w:val="20"/>
        </w:rPr>
        <w:t xml:space="preserve"> </w:t>
      </w:r>
      <w:proofErr w:type="spellStart"/>
      <w:r w:rsidRPr="00247CC4">
        <w:rPr>
          <w:rFonts w:ascii="Times New Roman" w:hAnsi="Times New Roman" w:cs="Times New Roman"/>
          <w:b/>
          <w:iCs/>
          <w:sz w:val="20"/>
          <w:szCs w:val="20"/>
        </w:rPr>
        <w:t>Microbiology</w:t>
      </w:r>
      <w:proofErr w:type="spellEnd"/>
      <w:r w:rsidRPr="00247CC4">
        <w:rPr>
          <w:rFonts w:ascii="Times New Roman" w:hAnsi="Times New Roman" w:cs="Times New Roman"/>
          <w:b/>
          <w:iCs/>
          <w:sz w:val="20"/>
          <w:szCs w:val="20"/>
        </w:rPr>
        <w:t xml:space="preserve">, </w:t>
      </w:r>
      <w:proofErr w:type="spellStart"/>
      <w:r w:rsidRPr="00247CC4">
        <w:rPr>
          <w:rFonts w:ascii="Times New Roman" w:hAnsi="Times New Roman" w:cs="Times New Roman"/>
          <w:b/>
          <w:iCs/>
          <w:sz w:val="20"/>
          <w:szCs w:val="20"/>
        </w:rPr>
        <w:t>Biotechnology</w:t>
      </w:r>
      <w:proofErr w:type="spellEnd"/>
      <w:r w:rsidRPr="00247CC4">
        <w:rPr>
          <w:rFonts w:ascii="Times New Roman" w:hAnsi="Times New Roman" w:cs="Times New Roman"/>
          <w:b/>
          <w:iCs/>
          <w:sz w:val="20"/>
          <w:szCs w:val="20"/>
        </w:rPr>
        <w:t xml:space="preserve"> </w:t>
      </w:r>
      <w:proofErr w:type="spellStart"/>
      <w:r w:rsidRPr="00247CC4">
        <w:rPr>
          <w:rFonts w:ascii="Times New Roman" w:hAnsi="Times New Roman" w:cs="Times New Roman"/>
          <w:b/>
          <w:iCs/>
          <w:sz w:val="20"/>
          <w:szCs w:val="20"/>
        </w:rPr>
        <w:t>and</w:t>
      </w:r>
      <w:proofErr w:type="spellEnd"/>
      <w:r w:rsidRPr="00247CC4">
        <w:rPr>
          <w:rFonts w:ascii="Times New Roman" w:hAnsi="Times New Roman" w:cs="Times New Roman"/>
          <w:b/>
          <w:iCs/>
          <w:sz w:val="20"/>
          <w:szCs w:val="20"/>
        </w:rPr>
        <w:t xml:space="preserve"> Food </w:t>
      </w:r>
      <w:proofErr w:type="spellStart"/>
      <w:r w:rsidRPr="00247CC4">
        <w:rPr>
          <w:rFonts w:ascii="Times New Roman" w:hAnsi="Times New Roman" w:cs="Times New Roman"/>
          <w:b/>
          <w:iCs/>
          <w:sz w:val="20"/>
          <w:szCs w:val="20"/>
        </w:rPr>
        <w:t>Sciences</w:t>
      </w:r>
      <w:proofErr w:type="spellEnd"/>
      <w:r w:rsidRPr="00247CC4">
        <w:rPr>
          <w:rFonts w:ascii="Times New Roman" w:hAnsi="Times New Roman" w:cs="Times New Roman"/>
          <w:sz w:val="20"/>
          <w:szCs w:val="20"/>
        </w:rPr>
        <w:t xml:space="preserve">, 246-252, 2012. </w:t>
      </w:r>
    </w:p>
    <w:p w14:paraId="2CB37D2D" w14:textId="77777777" w:rsidR="005F1EA2" w:rsidRPr="00247CC4" w:rsidRDefault="005F1EA2" w:rsidP="005F1EA2">
      <w:pPr>
        <w:spacing w:after="0" w:line="360" w:lineRule="auto"/>
        <w:ind w:left="357" w:firstLine="363"/>
        <w:jc w:val="both"/>
        <w:rPr>
          <w:rFonts w:ascii="Times New Roman" w:hAnsi="Times New Roman" w:cs="Times New Roman"/>
          <w:sz w:val="20"/>
          <w:szCs w:val="20"/>
        </w:rPr>
      </w:pPr>
    </w:p>
    <w:p w14:paraId="74CBFECA" w14:textId="49287EE8" w:rsidR="009569F7" w:rsidRPr="00247CC4" w:rsidRDefault="009569F7" w:rsidP="005F1EA2">
      <w:pPr>
        <w:spacing w:after="0" w:line="240" w:lineRule="auto"/>
        <w:ind w:left="357" w:firstLine="363"/>
        <w:jc w:val="both"/>
        <w:rPr>
          <w:rStyle w:val="Hyperlink"/>
          <w:rFonts w:ascii="Times New Roman" w:hAnsi="Times New Roman" w:cs="Times New Roman"/>
          <w:color w:val="auto"/>
          <w:sz w:val="20"/>
          <w:szCs w:val="20"/>
          <w:u w:val="none"/>
        </w:rPr>
      </w:pPr>
      <w:r w:rsidRPr="00247CC4">
        <w:rPr>
          <w:rFonts w:ascii="Times New Roman" w:hAnsi="Times New Roman" w:cs="Times New Roman"/>
          <w:sz w:val="20"/>
          <w:szCs w:val="20"/>
        </w:rPr>
        <w:t xml:space="preserve">MINISTÉRIO DA AGRICULTURA, PECUÁRIA E ABASTECIMENTO - MAPA. </w:t>
      </w:r>
      <w:r w:rsidRPr="00247CC4">
        <w:rPr>
          <w:rFonts w:ascii="Times New Roman" w:hAnsi="Times New Roman" w:cs="Times New Roman"/>
          <w:b/>
          <w:sz w:val="20"/>
          <w:szCs w:val="20"/>
        </w:rPr>
        <w:t>Instrução Normativa 1/2020</w:t>
      </w:r>
      <w:r w:rsidRPr="00247CC4">
        <w:rPr>
          <w:rFonts w:ascii="Times New Roman" w:hAnsi="Times New Roman" w:cs="Times New Roman"/>
          <w:sz w:val="20"/>
          <w:szCs w:val="20"/>
        </w:rPr>
        <w:t xml:space="preserve">. Disponível em: </w:t>
      </w:r>
      <w:hyperlink r:id="rId15" w:history="1">
        <w:r w:rsidRPr="00247CC4">
          <w:rPr>
            <w:rStyle w:val="Hyperlink"/>
            <w:rFonts w:ascii="Times New Roman" w:hAnsi="Times New Roman" w:cs="Times New Roman"/>
            <w:color w:val="auto"/>
            <w:sz w:val="20"/>
            <w:szCs w:val="20"/>
            <w:u w:val="none"/>
          </w:rPr>
          <w:t>https://www.gov.br/agricultura/pt-br/assuntos/insumos-agropecuarios/insumos-pecuarios/alimentacao-animal/arquivos-alimentacao-animal/legislacao/INM000000012020.pdf</w:t>
        </w:r>
      </w:hyperlink>
    </w:p>
    <w:p w14:paraId="68EFCFD4" w14:textId="77777777" w:rsidR="005F1EA2" w:rsidRPr="00247CC4" w:rsidRDefault="005F1EA2" w:rsidP="005F1EA2">
      <w:pPr>
        <w:spacing w:after="0" w:line="360" w:lineRule="auto"/>
        <w:ind w:left="357" w:firstLine="363"/>
        <w:jc w:val="both"/>
        <w:rPr>
          <w:rFonts w:ascii="Times New Roman" w:hAnsi="Times New Roman" w:cs="Times New Roman"/>
          <w:sz w:val="20"/>
          <w:szCs w:val="20"/>
        </w:rPr>
      </w:pPr>
    </w:p>
    <w:p w14:paraId="3376F185" w14:textId="493AFBCB" w:rsidR="009569F7" w:rsidRPr="00247CC4" w:rsidRDefault="009569F7" w:rsidP="005F1EA2">
      <w:pPr>
        <w:spacing w:after="0" w:line="240" w:lineRule="auto"/>
        <w:ind w:left="357" w:firstLine="363"/>
        <w:jc w:val="both"/>
        <w:rPr>
          <w:rFonts w:ascii="Times New Roman" w:hAnsi="Times New Roman" w:cs="Times New Roman"/>
          <w:sz w:val="20"/>
          <w:szCs w:val="20"/>
        </w:rPr>
      </w:pPr>
      <w:r w:rsidRPr="00247CC4">
        <w:rPr>
          <w:rFonts w:ascii="Times New Roman" w:hAnsi="Times New Roman" w:cs="Times New Roman"/>
          <w:sz w:val="20"/>
          <w:szCs w:val="20"/>
        </w:rPr>
        <w:lastRenderedPageBreak/>
        <w:t xml:space="preserve">MINISTÉRIO DA AGRICULTURA, PECUÁRIA E ABASTECIMENTO - MAPA. </w:t>
      </w:r>
      <w:r w:rsidRPr="00247CC4">
        <w:rPr>
          <w:rFonts w:ascii="Times New Roman" w:hAnsi="Times New Roman" w:cs="Times New Roman"/>
          <w:b/>
          <w:sz w:val="20"/>
          <w:szCs w:val="20"/>
        </w:rPr>
        <w:t>Instrução Normativa 3/2001</w:t>
      </w:r>
      <w:r w:rsidRPr="00247CC4">
        <w:rPr>
          <w:rFonts w:ascii="Times New Roman" w:hAnsi="Times New Roman" w:cs="Times New Roman"/>
          <w:sz w:val="20"/>
          <w:szCs w:val="20"/>
        </w:rPr>
        <w:t xml:space="preserve">. Disponível em: </w:t>
      </w:r>
      <w:hyperlink r:id="rId16" w:history="1">
        <w:r w:rsidR="005F1EA2" w:rsidRPr="00247CC4">
          <w:rPr>
            <w:rStyle w:val="Hyperlink"/>
            <w:rFonts w:ascii="Times New Roman" w:hAnsi="Times New Roman" w:cs="Times New Roman"/>
            <w:color w:val="auto"/>
            <w:sz w:val="20"/>
            <w:szCs w:val="20"/>
            <w:u w:val="none"/>
          </w:rPr>
          <w:t>http://iberpharm.com.br/www/arquivos/IN03-19-01-2001.pdf</w:t>
        </w:r>
      </w:hyperlink>
    </w:p>
    <w:p w14:paraId="0764524F" w14:textId="77777777" w:rsidR="005F1EA2" w:rsidRPr="00247CC4" w:rsidRDefault="005F1EA2" w:rsidP="005F1EA2">
      <w:pPr>
        <w:spacing w:after="0" w:line="360" w:lineRule="auto"/>
        <w:ind w:left="357" w:firstLine="363"/>
        <w:jc w:val="both"/>
        <w:rPr>
          <w:rFonts w:ascii="Times New Roman" w:hAnsi="Times New Roman" w:cs="Times New Roman"/>
          <w:sz w:val="20"/>
          <w:szCs w:val="20"/>
        </w:rPr>
      </w:pPr>
    </w:p>
    <w:p w14:paraId="5ACAD366" w14:textId="62C5A066" w:rsidR="009569F7" w:rsidRPr="00247CC4" w:rsidRDefault="009569F7" w:rsidP="005F1EA2">
      <w:pPr>
        <w:spacing w:after="0" w:line="240" w:lineRule="auto"/>
        <w:ind w:left="357" w:firstLine="363"/>
        <w:jc w:val="both"/>
        <w:rPr>
          <w:rFonts w:ascii="Times New Roman" w:hAnsi="Times New Roman" w:cs="Times New Roman"/>
          <w:sz w:val="20"/>
          <w:szCs w:val="20"/>
        </w:rPr>
      </w:pPr>
      <w:r w:rsidRPr="00247CC4">
        <w:rPr>
          <w:rFonts w:ascii="Times New Roman" w:hAnsi="Times New Roman" w:cs="Times New Roman"/>
          <w:sz w:val="20"/>
          <w:szCs w:val="20"/>
        </w:rPr>
        <w:t>NASCIMENTO, José Ribeiro do. </w:t>
      </w:r>
      <w:r w:rsidRPr="00247CC4">
        <w:rPr>
          <w:rFonts w:ascii="Times New Roman" w:hAnsi="Times New Roman" w:cs="Times New Roman"/>
          <w:bCs/>
          <w:sz w:val="20"/>
          <w:szCs w:val="20"/>
        </w:rPr>
        <w:t xml:space="preserve">Pólen de abelhas do gênero </w:t>
      </w:r>
      <w:proofErr w:type="spellStart"/>
      <w:r w:rsidRPr="00247CC4">
        <w:rPr>
          <w:rFonts w:ascii="Times New Roman" w:hAnsi="Times New Roman" w:cs="Times New Roman"/>
          <w:bCs/>
          <w:sz w:val="20"/>
          <w:szCs w:val="20"/>
        </w:rPr>
        <w:t>scaptotrigona</w:t>
      </w:r>
      <w:proofErr w:type="spellEnd"/>
      <w:r w:rsidRPr="00247CC4">
        <w:rPr>
          <w:rFonts w:ascii="Times New Roman" w:hAnsi="Times New Roman" w:cs="Times New Roman"/>
          <w:bCs/>
          <w:sz w:val="20"/>
          <w:szCs w:val="20"/>
        </w:rPr>
        <w:t xml:space="preserve"> </w:t>
      </w:r>
      <w:proofErr w:type="spellStart"/>
      <w:r w:rsidRPr="00247CC4">
        <w:rPr>
          <w:rFonts w:ascii="Times New Roman" w:hAnsi="Times New Roman" w:cs="Times New Roman"/>
          <w:bCs/>
          <w:sz w:val="20"/>
          <w:szCs w:val="20"/>
        </w:rPr>
        <w:t>sp</w:t>
      </w:r>
      <w:proofErr w:type="spellEnd"/>
      <w:r w:rsidRPr="00247CC4">
        <w:rPr>
          <w:rFonts w:ascii="Times New Roman" w:hAnsi="Times New Roman" w:cs="Times New Roman"/>
          <w:bCs/>
          <w:sz w:val="20"/>
          <w:szCs w:val="20"/>
        </w:rPr>
        <w:t xml:space="preserve"> em substituição ao antimicrobiano em dietas com diferentes níveis nutricionais para frangos de corte</w:t>
      </w:r>
      <w:r w:rsidRPr="00247CC4">
        <w:rPr>
          <w:rFonts w:ascii="Times New Roman" w:hAnsi="Times New Roman" w:cs="Times New Roman"/>
          <w:sz w:val="20"/>
          <w:szCs w:val="20"/>
        </w:rPr>
        <w:t xml:space="preserve">. 2015. 62 f. Dissertação (Mestrado) - Curso de Zootecnia, </w:t>
      </w:r>
      <w:r w:rsidRPr="00247CC4">
        <w:rPr>
          <w:rFonts w:ascii="Times New Roman" w:hAnsi="Times New Roman" w:cs="Times New Roman"/>
          <w:b/>
          <w:sz w:val="20"/>
          <w:szCs w:val="20"/>
        </w:rPr>
        <w:t>Universidade Estadual Vale do Acaraú</w:t>
      </w:r>
      <w:r w:rsidRPr="00247CC4">
        <w:rPr>
          <w:rFonts w:ascii="Times New Roman" w:hAnsi="Times New Roman" w:cs="Times New Roman"/>
          <w:sz w:val="20"/>
          <w:szCs w:val="20"/>
        </w:rPr>
        <w:t>, Sobral – CE, 2015.</w:t>
      </w:r>
    </w:p>
    <w:p w14:paraId="310735D0" w14:textId="77777777" w:rsidR="005F1EA2" w:rsidRPr="00247CC4" w:rsidRDefault="005F1EA2" w:rsidP="005F1EA2">
      <w:pPr>
        <w:spacing w:after="0" w:line="360" w:lineRule="auto"/>
        <w:ind w:left="357" w:firstLine="363"/>
        <w:jc w:val="both"/>
        <w:rPr>
          <w:rFonts w:ascii="Times New Roman" w:hAnsi="Times New Roman" w:cs="Times New Roman"/>
          <w:sz w:val="20"/>
          <w:szCs w:val="20"/>
        </w:rPr>
      </w:pPr>
    </w:p>
    <w:p w14:paraId="1FA77175" w14:textId="10685852" w:rsidR="004A024F" w:rsidRPr="00247CC4" w:rsidRDefault="009569F7" w:rsidP="005F1EA2">
      <w:pPr>
        <w:spacing w:after="0" w:line="240" w:lineRule="auto"/>
        <w:ind w:left="357" w:firstLine="363"/>
        <w:jc w:val="both"/>
        <w:rPr>
          <w:rFonts w:ascii="Times New Roman" w:hAnsi="Times New Roman" w:cs="Times New Roman"/>
          <w:sz w:val="20"/>
          <w:szCs w:val="20"/>
        </w:rPr>
      </w:pPr>
      <w:r w:rsidRPr="00247CC4">
        <w:rPr>
          <w:rFonts w:ascii="Times New Roman" w:hAnsi="Times New Roman" w:cs="Times New Roman"/>
          <w:sz w:val="20"/>
          <w:szCs w:val="20"/>
        </w:rPr>
        <w:t xml:space="preserve">OLIVEIRA, Mc de; SILVA, Dm da; LOCH, </w:t>
      </w:r>
      <w:proofErr w:type="spellStart"/>
      <w:r w:rsidRPr="00247CC4">
        <w:rPr>
          <w:rFonts w:ascii="Times New Roman" w:hAnsi="Times New Roman" w:cs="Times New Roman"/>
          <w:sz w:val="20"/>
          <w:szCs w:val="20"/>
        </w:rPr>
        <w:t>Fc</w:t>
      </w:r>
      <w:proofErr w:type="spellEnd"/>
      <w:r w:rsidRPr="00247CC4">
        <w:rPr>
          <w:rFonts w:ascii="Times New Roman" w:hAnsi="Times New Roman" w:cs="Times New Roman"/>
          <w:sz w:val="20"/>
          <w:szCs w:val="20"/>
        </w:rPr>
        <w:t xml:space="preserve">; MARTINS, </w:t>
      </w:r>
      <w:proofErr w:type="spellStart"/>
      <w:r w:rsidRPr="00247CC4">
        <w:rPr>
          <w:rFonts w:ascii="Times New Roman" w:hAnsi="Times New Roman" w:cs="Times New Roman"/>
          <w:sz w:val="20"/>
          <w:szCs w:val="20"/>
        </w:rPr>
        <w:t>Pc</w:t>
      </w:r>
      <w:proofErr w:type="spellEnd"/>
      <w:r w:rsidRPr="00247CC4">
        <w:rPr>
          <w:rFonts w:ascii="Times New Roman" w:hAnsi="Times New Roman" w:cs="Times New Roman"/>
          <w:sz w:val="20"/>
          <w:szCs w:val="20"/>
        </w:rPr>
        <w:t xml:space="preserve">; DIAS, </w:t>
      </w:r>
      <w:proofErr w:type="spellStart"/>
      <w:r w:rsidRPr="00247CC4">
        <w:rPr>
          <w:rFonts w:ascii="Times New Roman" w:hAnsi="Times New Roman" w:cs="Times New Roman"/>
          <w:sz w:val="20"/>
          <w:szCs w:val="20"/>
        </w:rPr>
        <w:t>Dmb</w:t>
      </w:r>
      <w:proofErr w:type="spellEnd"/>
      <w:r w:rsidRPr="00247CC4">
        <w:rPr>
          <w:rFonts w:ascii="Times New Roman" w:hAnsi="Times New Roman" w:cs="Times New Roman"/>
          <w:sz w:val="20"/>
          <w:szCs w:val="20"/>
        </w:rPr>
        <w:t xml:space="preserve">; SIMON, Ga. </w:t>
      </w:r>
      <w:proofErr w:type="spellStart"/>
      <w:r w:rsidRPr="00247CC4">
        <w:rPr>
          <w:rFonts w:ascii="Times New Roman" w:hAnsi="Times New Roman" w:cs="Times New Roman"/>
          <w:sz w:val="20"/>
          <w:szCs w:val="20"/>
        </w:rPr>
        <w:t>Effect</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of</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bee</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pollen</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on</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the</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immunity</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and</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tibia</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characteristics</w:t>
      </w:r>
      <w:proofErr w:type="spellEnd"/>
      <w:r w:rsidRPr="00247CC4">
        <w:rPr>
          <w:rFonts w:ascii="Times New Roman" w:hAnsi="Times New Roman" w:cs="Times New Roman"/>
          <w:sz w:val="20"/>
          <w:szCs w:val="20"/>
        </w:rPr>
        <w:t xml:space="preserve"> in </w:t>
      </w:r>
      <w:proofErr w:type="spellStart"/>
      <w:r w:rsidRPr="00247CC4">
        <w:rPr>
          <w:rFonts w:ascii="Times New Roman" w:hAnsi="Times New Roman" w:cs="Times New Roman"/>
          <w:sz w:val="20"/>
          <w:szCs w:val="20"/>
        </w:rPr>
        <w:t>broilers</w:t>
      </w:r>
      <w:proofErr w:type="spellEnd"/>
      <w:r w:rsidRPr="00247CC4">
        <w:rPr>
          <w:rFonts w:ascii="Times New Roman" w:hAnsi="Times New Roman" w:cs="Times New Roman"/>
          <w:sz w:val="20"/>
          <w:szCs w:val="20"/>
        </w:rPr>
        <w:t>. </w:t>
      </w:r>
      <w:r w:rsidRPr="00247CC4">
        <w:rPr>
          <w:rFonts w:ascii="Times New Roman" w:hAnsi="Times New Roman" w:cs="Times New Roman"/>
          <w:b/>
          <w:bCs/>
          <w:sz w:val="20"/>
          <w:szCs w:val="20"/>
        </w:rPr>
        <w:t>Revista Brasileira de Ciência Avícola</w:t>
      </w:r>
      <w:r w:rsidRPr="00247CC4">
        <w:rPr>
          <w:rFonts w:ascii="Times New Roman" w:hAnsi="Times New Roman" w:cs="Times New Roman"/>
          <w:sz w:val="20"/>
          <w:szCs w:val="20"/>
        </w:rPr>
        <w:t xml:space="preserve">, [S.L.], v. 15, n. 4, p. 323-327, dez. 2013. DOI: </w:t>
      </w:r>
      <w:hyperlink r:id="rId17" w:history="1">
        <w:r w:rsidRPr="00247CC4">
          <w:rPr>
            <w:rStyle w:val="Hyperlink"/>
            <w:rFonts w:ascii="Times New Roman" w:hAnsi="Times New Roman" w:cs="Times New Roman"/>
            <w:color w:val="auto"/>
            <w:sz w:val="20"/>
            <w:szCs w:val="20"/>
            <w:u w:val="none"/>
          </w:rPr>
          <w:t>http://dx.doi.org/10.1590/s1516-635x2013000400006</w:t>
        </w:r>
      </w:hyperlink>
      <w:r w:rsidRPr="00247CC4">
        <w:rPr>
          <w:rFonts w:ascii="Times New Roman" w:hAnsi="Times New Roman" w:cs="Times New Roman"/>
          <w:sz w:val="20"/>
          <w:szCs w:val="20"/>
        </w:rPr>
        <w:t>.</w:t>
      </w:r>
    </w:p>
    <w:p w14:paraId="2F50343D" w14:textId="77777777" w:rsidR="005F1EA2" w:rsidRPr="00247CC4" w:rsidRDefault="005F1EA2" w:rsidP="005F1EA2">
      <w:pPr>
        <w:spacing w:after="0" w:line="360" w:lineRule="auto"/>
        <w:ind w:left="357" w:firstLine="363"/>
        <w:jc w:val="both"/>
        <w:rPr>
          <w:rFonts w:ascii="Times New Roman" w:hAnsi="Times New Roman" w:cs="Times New Roman"/>
          <w:sz w:val="20"/>
          <w:szCs w:val="20"/>
        </w:rPr>
      </w:pPr>
    </w:p>
    <w:p w14:paraId="5BAA34C7" w14:textId="77777777" w:rsidR="00170B5E" w:rsidRPr="00247CC4" w:rsidRDefault="009569F7" w:rsidP="005F1EA2">
      <w:pPr>
        <w:spacing w:after="0" w:line="240" w:lineRule="auto"/>
        <w:ind w:left="357" w:firstLine="363"/>
        <w:jc w:val="both"/>
        <w:rPr>
          <w:rFonts w:ascii="Times New Roman" w:hAnsi="Times New Roman" w:cs="Times New Roman"/>
          <w:sz w:val="20"/>
          <w:szCs w:val="20"/>
        </w:rPr>
      </w:pPr>
      <w:r w:rsidRPr="00247CC4">
        <w:rPr>
          <w:rFonts w:ascii="Times New Roman" w:hAnsi="Times New Roman" w:cs="Times New Roman"/>
          <w:sz w:val="20"/>
          <w:szCs w:val="20"/>
        </w:rPr>
        <w:t xml:space="preserve">PRAKATUR, Ivana; MISKULIN, </w:t>
      </w:r>
      <w:proofErr w:type="spellStart"/>
      <w:r w:rsidRPr="00247CC4">
        <w:rPr>
          <w:rFonts w:ascii="Times New Roman" w:hAnsi="Times New Roman" w:cs="Times New Roman"/>
          <w:sz w:val="20"/>
          <w:szCs w:val="20"/>
        </w:rPr>
        <w:t>Maja</w:t>
      </w:r>
      <w:proofErr w:type="spellEnd"/>
      <w:r w:rsidRPr="00247CC4">
        <w:rPr>
          <w:rFonts w:ascii="Times New Roman" w:hAnsi="Times New Roman" w:cs="Times New Roman"/>
          <w:sz w:val="20"/>
          <w:szCs w:val="20"/>
        </w:rPr>
        <w:t xml:space="preserve">; PAVIC, Mirela; MARJANOVIC, </w:t>
      </w:r>
      <w:proofErr w:type="spellStart"/>
      <w:r w:rsidRPr="00247CC4">
        <w:rPr>
          <w:rFonts w:ascii="Times New Roman" w:hAnsi="Times New Roman" w:cs="Times New Roman"/>
          <w:sz w:val="20"/>
          <w:szCs w:val="20"/>
        </w:rPr>
        <w:t>Ksenija</w:t>
      </w:r>
      <w:proofErr w:type="spellEnd"/>
      <w:r w:rsidRPr="00247CC4">
        <w:rPr>
          <w:rFonts w:ascii="Times New Roman" w:hAnsi="Times New Roman" w:cs="Times New Roman"/>
          <w:sz w:val="20"/>
          <w:szCs w:val="20"/>
        </w:rPr>
        <w:t xml:space="preserve">; BLAZICEVIC, </w:t>
      </w:r>
      <w:proofErr w:type="spellStart"/>
      <w:r w:rsidRPr="00247CC4">
        <w:rPr>
          <w:rFonts w:ascii="Times New Roman" w:hAnsi="Times New Roman" w:cs="Times New Roman"/>
          <w:sz w:val="20"/>
          <w:szCs w:val="20"/>
        </w:rPr>
        <w:t>Valerija</w:t>
      </w:r>
      <w:proofErr w:type="spellEnd"/>
      <w:r w:rsidRPr="00247CC4">
        <w:rPr>
          <w:rFonts w:ascii="Times New Roman" w:hAnsi="Times New Roman" w:cs="Times New Roman"/>
          <w:sz w:val="20"/>
          <w:szCs w:val="20"/>
        </w:rPr>
        <w:t xml:space="preserve">; MISKULIN, Ivan; DOMACINOVIC, </w:t>
      </w:r>
      <w:proofErr w:type="spellStart"/>
      <w:r w:rsidRPr="00247CC4">
        <w:rPr>
          <w:rFonts w:ascii="Times New Roman" w:hAnsi="Times New Roman" w:cs="Times New Roman"/>
          <w:sz w:val="20"/>
          <w:szCs w:val="20"/>
        </w:rPr>
        <w:t>Matija</w:t>
      </w:r>
      <w:proofErr w:type="spellEnd"/>
      <w:r w:rsidRPr="00247CC4">
        <w:rPr>
          <w:rFonts w:ascii="Times New Roman" w:hAnsi="Times New Roman" w:cs="Times New Roman"/>
          <w:sz w:val="20"/>
          <w:szCs w:val="20"/>
        </w:rPr>
        <w:t xml:space="preserve">. Intestinal </w:t>
      </w:r>
      <w:proofErr w:type="spellStart"/>
      <w:r w:rsidRPr="00247CC4">
        <w:rPr>
          <w:rFonts w:ascii="Times New Roman" w:hAnsi="Times New Roman" w:cs="Times New Roman"/>
          <w:sz w:val="20"/>
          <w:szCs w:val="20"/>
        </w:rPr>
        <w:t>Morphology</w:t>
      </w:r>
      <w:proofErr w:type="spellEnd"/>
      <w:r w:rsidRPr="00247CC4">
        <w:rPr>
          <w:rFonts w:ascii="Times New Roman" w:hAnsi="Times New Roman" w:cs="Times New Roman"/>
          <w:sz w:val="20"/>
          <w:szCs w:val="20"/>
        </w:rPr>
        <w:t xml:space="preserve"> in </w:t>
      </w:r>
      <w:proofErr w:type="spellStart"/>
      <w:r w:rsidRPr="00247CC4">
        <w:rPr>
          <w:rFonts w:ascii="Times New Roman" w:hAnsi="Times New Roman" w:cs="Times New Roman"/>
          <w:sz w:val="20"/>
          <w:szCs w:val="20"/>
        </w:rPr>
        <w:t>Broiler</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Chickens</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Supplemented</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with</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Propolis</w:t>
      </w:r>
      <w:proofErr w:type="spellEnd"/>
      <w:r w:rsidRPr="00247CC4">
        <w:rPr>
          <w:rFonts w:ascii="Times New Roman" w:hAnsi="Times New Roman" w:cs="Times New Roman"/>
          <w:sz w:val="20"/>
          <w:szCs w:val="20"/>
        </w:rPr>
        <w:t xml:space="preserve"> </w:t>
      </w:r>
      <w:proofErr w:type="spellStart"/>
      <w:r w:rsidRPr="00247CC4">
        <w:rPr>
          <w:rFonts w:ascii="Times New Roman" w:hAnsi="Times New Roman" w:cs="Times New Roman"/>
          <w:sz w:val="20"/>
          <w:szCs w:val="20"/>
        </w:rPr>
        <w:t>and</w:t>
      </w:r>
      <w:proofErr w:type="spellEnd"/>
      <w:r w:rsidRPr="00247CC4">
        <w:rPr>
          <w:rFonts w:ascii="Times New Roman" w:hAnsi="Times New Roman" w:cs="Times New Roman"/>
          <w:sz w:val="20"/>
          <w:szCs w:val="20"/>
        </w:rPr>
        <w:t xml:space="preserve"> Bee </w:t>
      </w:r>
      <w:proofErr w:type="spellStart"/>
      <w:r w:rsidRPr="00247CC4">
        <w:rPr>
          <w:rFonts w:ascii="Times New Roman" w:hAnsi="Times New Roman" w:cs="Times New Roman"/>
          <w:sz w:val="20"/>
          <w:szCs w:val="20"/>
        </w:rPr>
        <w:t>Pollen</w:t>
      </w:r>
      <w:proofErr w:type="spellEnd"/>
      <w:r w:rsidRPr="00247CC4">
        <w:rPr>
          <w:rFonts w:ascii="Times New Roman" w:hAnsi="Times New Roman" w:cs="Times New Roman"/>
          <w:sz w:val="20"/>
          <w:szCs w:val="20"/>
        </w:rPr>
        <w:t>. </w:t>
      </w:r>
      <w:proofErr w:type="spellStart"/>
      <w:r w:rsidRPr="00247CC4">
        <w:rPr>
          <w:rFonts w:ascii="Times New Roman" w:hAnsi="Times New Roman" w:cs="Times New Roman"/>
          <w:b/>
          <w:bCs/>
          <w:sz w:val="20"/>
          <w:szCs w:val="20"/>
        </w:rPr>
        <w:t>Animals</w:t>
      </w:r>
      <w:proofErr w:type="spellEnd"/>
      <w:r w:rsidRPr="00247CC4">
        <w:rPr>
          <w:rFonts w:ascii="Times New Roman" w:hAnsi="Times New Roman" w:cs="Times New Roman"/>
          <w:sz w:val="20"/>
          <w:szCs w:val="20"/>
        </w:rPr>
        <w:t xml:space="preserve">, [S.L.], v. 9, n. 6, p. 301, 31 maio 2019. MDPI AG. </w:t>
      </w:r>
      <w:hyperlink r:id="rId18" w:history="1">
        <w:r w:rsidR="00170B5E" w:rsidRPr="00247CC4">
          <w:rPr>
            <w:rStyle w:val="Hyperlink"/>
            <w:rFonts w:ascii="Times New Roman" w:hAnsi="Times New Roman" w:cs="Times New Roman"/>
            <w:color w:val="auto"/>
            <w:sz w:val="20"/>
            <w:szCs w:val="20"/>
            <w:u w:val="none"/>
          </w:rPr>
          <w:t>http://dx.doi.org/10.3390/ani9060301</w:t>
        </w:r>
      </w:hyperlink>
      <w:r w:rsidRPr="00247CC4">
        <w:rPr>
          <w:rFonts w:ascii="Times New Roman" w:hAnsi="Times New Roman" w:cs="Times New Roman"/>
          <w:sz w:val="20"/>
          <w:szCs w:val="20"/>
        </w:rPr>
        <w:t>.</w:t>
      </w:r>
    </w:p>
    <w:p w14:paraId="01BD7105" w14:textId="77777777" w:rsidR="005F1EA2" w:rsidRPr="00247CC4" w:rsidRDefault="005F1EA2" w:rsidP="005F1EA2">
      <w:pPr>
        <w:spacing w:after="0" w:line="360" w:lineRule="auto"/>
        <w:ind w:left="357" w:firstLine="363"/>
        <w:jc w:val="both"/>
        <w:rPr>
          <w:rFonts w:ascii="Times New Roman" w:hAnsi="Times New Roman" w:cs="Times New Roman"/>
          <w:sz w:val="20"/>
          <w:szCs w:val="20"/>
        </w:rPr>
      </w:pPr>
    </w:p>
    <w:p w14:paraId="3C0ADD61" w14:textId="07DBA57D" w:rsidR="004A024F" w:rsidRPr="00247CC4" w:rsidRDefault="009569F7" w:rsidP="005F1EA2">
      <w:pPr>
        <w:spacing w:after="0" w:line="240" w:lineRule="auto"/>
        <w:ind w:left="357" w:firstLine="363"/>
        <w:jc w:val="both"/>
        <w:rPr>
          <w:rFonts w:ascii="Times New Roman" w:hAnsi="Times New Roman" w:cs="Times New Roman"/>
          <w:sz w:val="20"/>
          <w:szCs w:val="20"/>
        </w:rPr>
      </w:pPr>
      <w:r w:rsidRPr="00247CC4">
        <w:rPr>
          <w:rFonts w:ascii="Times New Roman" w:hAnsi="Times New Roman" w:cs="Times New Roman"/>
          <w:sz w:val="20"/>
          <w:szCs w:val="20"/>
        </w:rPr>
        <w:t>RODRIGUES, Rômulo Batista </w:t>
      </w:r>
      <w:r w:rsidRPr="00247CC4">
        <w:rPr>
          <w:rFonts w:ascii="Times New Roman" w:hAnsi="Times New Roman" w:cs="Times New Roman"/>
          <w:iCs/>
          <w:sz w:val="20"/>
          <w:szCs w:val="20"/>
        </w:rPr>
        <w:t>et al</w:t>
      </w:r>
      <w:r w:rsidRPr="00247CC4">
        <w:rPr>
          <w:rFonts w:ascii="Times New Roman" w:hAnsi="Times New Roman" w:cs="Times New Roman"/>
          <w:sz w:val="20"/>
          <w:szCs w:val="20"/>
        </w:rPr>
        <w:t>. PÓLEN APÍCOLA COMO ADITIVO EM DIETAS PARA FRANGOS DE CORTE. </w:t>
      </w:r>
      <w:r w:rsidRPr="00247CC4">
        <w:rPr>
          <w:rFonts w:ascii="Times New Roman" w:hAnsi="Times New Roman" w:cs="Times New Roman"/>
          <w:b/>
          <w:bCs/>
          <w:sz w:val="20"/>
          <w:szCs w:val="20"/>
        </w:rPr>
        <w:t>Nativa</w:t>
      </w:r>
      <w:r w:rsidRPr="00247CC4">
        <w:rPr>
          <w:rFonts w:ascii="Times New Roman" w:hAnsi="Times New Roman" w:cs="Times New Roman"/>
          <w:sz w:val="20"/>
          <w:szCs w:val="20"/>
        </w:rPr>
        <w:t xml:space="preserve">, [S.L.], v. 6, n. 5, p. 551-556, 4 set. 2018. Nativa. </w:t>
      </w:r>
      <w:hyperlink r:id="rId19" w:history="1">
        <w:r w:rsidRPr="00247CC4">
          <w:rPr>
            <w:rStyle w:val="Hyperlink"/>
            <w:rFonts w:ascii="Times New Roman" w:hAnsi="Times New Roman" w:cs="Times New Roman"/>
            <w:color w:val="auto"/>
            <w:sz w:val="20"/>
            <w:szCs w:val="20"/>
            <w:u w:val="none"/>
          </w:rPr>
          <w:t>http://dx.doi.org/10.31413/nativa.v6i5.5865</w:t>
        </w:r>
      </w:hyperlink>
      <w:r w:rsidRPr="00247CC4">
        <w:rPr>
          <w:rFonts w:ascii="Times New Roman" w:hAnsi="Times New Roman" w:cs="Times New Roman"/>
          <w:sz w:val="20"/>
          <w:szCs w:val="20"/>
        </w:rPr>
        <w:t>.</w:t>
      </w:r>
    </w:p>
    <w:p w14:paraId="6636D16F" w14:textId="77777777" w:rsidR="005F1EA2" w:rsidRPr="00247CC4" w:rsidRDefault="005F1EA2" w:rsidP="005F1EA2">
      <w:pPr>
        <w:spacing w:after="0" w:line="240" w:lineRule="auto"/>
        <w:ind w:left="357" w:firstLine="363"/>
        <w:jc w:val="both"/>
        <w:rPr>
          <w:rFonts w:ascii="Times New Roman" w:hAnsi="Times New Roman" w:cs="Times New Roman"/>
          <w:sz w:val="20"/>
          <w:szCs w:val="20"/>
        </w:rPr>
      </w:pPr>
    </w:p>
    <w:p w14:paraId="075FECF8" w14:textId="2367DD31" w:rsidR="009569F7" w:rsidRPr="00247CC4" w:rsidRDefault="009569F7" w:rsidP="005F1EA2">
      <w:pPr>
        <w:spacing w:after="0" w:line="240" w:lineRule="auto"/>
        <w:ind w:left="357" w:firstLine="363"/>
        <w:jc w:val="both"/>
        <w:rPr>
          <w:rFonts w:ascii="Times New Roman" w:hAnsi="Times New Roman" w:cs="Times New Roman"/>
          <w:bCs/>
          <w:sz w:val="20"/>
          <w:szCs w:val="20"/>
        </w:rPr>
      </w:pPr>
      <w:r w:rsidRPr="00247CC4">
        <w:rPr>
          <w:rFonts w:ascii="Times New Roman" w:hAnsi="Times New Roman" w:cs="Times New Roman"/>
          <w:sz w:val="20"/>
          <w:szCs w:val="20"/>
        </w:rPr>
        <w:t xml:space="preserve">ROSTAGNO, H. S et al. </w:t>
      </w:r>
      <w:r w:rsidRPr="00247CC4">
        <w:rPr>
          <w:rFonts w:ascii="Times New Roman" w:hAnsi="Times New Roman" w:cs="Times New Roman"/>
          <w:b/>
          <w:sz w:val="20"/>
          <w:szCs w:val="20"/>
        </w:rPr>
        <w:t xml:space="preserve">Tabelas brasileiras para aves e suínos </w:t>
      </w:r>
      <w:r w:rsidRPr="00247CC4">
        <w:rPr>
          <w:rFonts w:ascii="Times New Roman" w:hAnsi="Times New Roman" w:cs="Times New Roman"/>
          <w:b/>
          <w:bCs/>
          <w:sz w:val="20"/>
          <w:szCs w:val="20"/>
        </w:rPr>
        <w:t>composição de alimentos e exigências nutricionais,</w:t>
      </w:r>
      <w:r w:rsidRPr="00247CC4">
        <w:rPr>
          <w:rFonts w:ascii="Times New Roman" w:hAnsi="Times New Roman" w:cs="Times New Roman"/>
          <w:bCs/>
          <w:sz w:val="20"/>
          <w:szCs w:val="20"/>
        </w:rPr>
        <w:t xml:space="preserve"> Viçosa: UFV, Imprensa Universitária, p. 294, 2017.</w:t>
      </w:r>
    </w:p>
    <w:p w14:paraId="2D283A4D" w14:textId="77777777" w:rsidR="00930701" w:rsidRPr="00401BE4" w:rsidRDefault="00930701">
      <w:pPr>
        <w:spacing w:after="0" w:line="240" w:lineRule="auto"/>
        <w:ind w:left="720"/>
        <w:rPr>
          <w:rFonts w:ascii="Times New Roman" w:eastAsia="Arial" w:hAnsi="Times New Roman" w:cs="Times New Roman"/>
          <w:sz w:val="24"/>
          <w:szCs w:val="24"/>
        </w:rPr>
      </w:pPr>
    </w:p>
    <w:p w14:paraId="7B516C11" w14:textId="77777777" w:rsidR="00930701" w:rsidRPr="00401BE4" w:rsidRDefault="00486485">
      <w:pPr>
        <w:numPr>
          <w:ilvl w:val="0"/>
          <w:numId w:val="2"/>
        </w:numPr>
        <w:spacing w:after="0" w:line="240" w:lineRule="auto"/>
        <w:rPr>
          <w:rFonts w:ascii="Times New Roman" w:eastAsia="Arial" w:hAnsi="Times New Roman" w:cs="Times New Roman"/>
          <w:b/>
          <w:sz w:val="24"/>
          <w:szCs w:val="24"/>
        </w:rPr>
      </w:pPr>
      <w:r w:rsidRPr="00401BE4">
        <w:rPr>
          <w:rFonts w:ascii="Times New Roman" w:eastAsia="Arial" w:hAnsi="Times New Roman" w:cs="Times New Roman"/>
          <w:b/>
          <w:sz w:val="24"/>
          <w:szCs w:val="24"/>
        </w:rPr>
        <w:t>AGRADECIMENTOS</w:t>
      </w:r>
    </w:p>
    <w:p w14:paraId="4332D766" w14:textId="77777777" w:rsidR="00930701" w:rsidRPr="00401BE4" w:rsidRDefault="00930701" w:rsidP="00051AF3">
      <w:pPr>
        <w:spacing w:after="0" w:line="240" w:lineRule="auto"/>
        <w:rPr>
          <w:rFonts w:ascii="Times New Roman" w:eastAsia="Arial" w:hAnsi="Times New Roman" w:cs="Times New Roman"/>
          <w:sz w:val="24"/>
          <w:szCs w:val="24"/>
        </w:rPr>
      </w:pPr>
    </w:p>
    <w:p w14:paraId="107E4E62" w14:textId="456EA986" w:rsidR="00930701" w:rsidRPr="00401BE4" w:rsidRDefault="00486485" w:rsidP="00051AF3">
      <w:pPr>
        <w:spacing w:after="0" w:line="360" w:lineRule="auto"/>
        <w:ind w:firstLine="720"/>
        <w:rPr>
          <w:rFonts w:ascii="Times New Roman" w:eastAsia="Arial" w:hAnsi="Times New Roman" w:cs="Times New Roman"/>
          <w:sz w:val="24"/>
          <w:szCs w:val="24"/>
        </w:rPr>
      </w:pPr>
      <w:r w:rsidRPr="00401BE4">
        <w:rPr>
          <w:rFonts w:ascii="Times New Roman" w:eastAsia="Arial" w:hAnsi="Times New Roman" w:cs="Times New Roman"/>
          <w:sz w:val="24"/>
          <w:szCs w:val="24"/>
        </w:rPr>
        <w:t>Agradecer as pessoas e instituições que lhe auxiliaram durante</w:t>
      </w:r>
      <w:r w:rsidR="00051AF3" w:rsidRPr="00401BE4">
        <w:rPr>
          <w:rFonts w:ascii="Times New Roman" w:eastAsia="Arial" w:hAnsi="Times New Roman" w:cs="Times New Roman"/>
          <w:sz w:val="24"/>
          <w:szCs w:val="24"/>
        </w:rPr>
        <w:t xml:space="preserve"> a execução de pesquisa neste </w:t>
      </w:r>
      <w:r w:rsidRPr="00401BE4">
        <w:rPr>
          <w:rFonts w:ascii="Times New Roman" w:eastAsia="Arial" w:hAnsi="Times New Roman" w:cs="Times New Roman"/>
          <w:sz w:val="24"/>
          <w:szCs w:val="24"/>
        </w:rPr>
        <w:t xml:space="preserve">campo é obrigatório a menção da agência de financiamento de pesquisa (CNPq, FAPT ou UFNT) </w:t>
      </w:r>
    </w:p>
    <w:p w14:paraId="7A5E17FD" w14:textId="77777777" w:rsidR="003F1F9F" w:rsidRPr="00401BE4" w:rsidRDefault="003F1F9F">
      <w:pPr>
        <w:spacing w:after="0" w:line="240" w:lineRule="auto"/>
        <w:ind w:left="720"/>
        <w:rPr>
          <w:rFonts w:ascii="Times New Roman" w:eastAsia="Arial" w:hAnsi="Times New Roman" w:cs="Times New Roman"/>
          <w:sz w:val="24"/>
          <w:szCs w:val="24"/>
        </w:rPr>
      </w:pPr>
    </w:p>
    <w:p w14:paraId="01387472" w14:textId="77777777" w:rsidR="003F1F9F" w:rsidRPr="003F1F9F" w:rsidRDefault="003F1F9F" w:rsidP="003F1F9F">
      <w:pPr>
        <w:spacing w:after="0" w:line="240" w:lineRule="auto"/>
        <w:rPr>
          <w:rFonts w:ascii="Times New Roman" w:eastAsia="Times New Roman" w:hAnsi="Times New Roman" w:cs="Times New Roman"/>
          <w:vanish/>
          <w:sz w:val="24"/>
          <w:szCs w:val="24"/>
          <w:lang w:eastAsia="zh-CN"/>
        </w:rPr>
      </w:pPr>
    </w:p>
    <w:p w14:paraId="2714B601" w14:textId="20ECBE09" w:rsidR="003F1F9F" w:rsidRDefault="003F1F9F">
      <w:pPr>
        <w:spacing w:after="0" w:line="240" w:lineRule="auto"/>
        <w:ind w:left="720"/>
        <w:rPr>
          <w:rFonts w:ascii="Arial" w:eastAsia="Arial" w:hAnsi="Arial" w:cs="Arial"/>
          <w:sz w:val="24"/>
          <w:szCs w:val="24"/>
        </w:rPr>
      </w:pPr>
    </w:p>
    <w:sectPr w:rsidR="003F1F9F">
      <w:type w:val="continuous"/>
      <w:pgSz w:w="11906" w:h="16838"/>
      <w:pgMar w:top="1418" w:right="1418" w:bottom="1418" w:left="1418" w:header="709"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37842" w14:textId="77777777" w:rsidR="00B55137" w:rsidRDefault="00B55137">
      <w:pPr>
        <w:spacing w:after="0" w:line="240" w:lineRule="auto"/>
      </w:pPr>
      <w:r>
        <w:separator/>
      </w:r>
    </w:p>
  </w:endnote>
  <w:endnote w:type="continuationSeparator" w:id="0">
    <w:p w14:paraId="721B24B9" w14:textId="77777777" w:rsidR="00B55137" w:rsidRDefault="00B5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TimesNewRomanPS-ItalicM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C749" w14:textId="77777777" w:rsidR="00930701" w:rsidRDefault="00486485">
    <w:pPr>
      <w:jc w:val="right"/>
    </w:pPr>
    <w:r>
      <w:fldChar w:fldCharType="begin"/>
    </w:r>
    <w:r>
      <w:instrText>PAGE</w:instrText>
    </w:r>
    <w:r>
      <w:fldChar w:fldCharType="separate"/>
    </w:r>
    <w:r w:rsidR="005F1EA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B03EB" w14:textId="13C1D2FB" w:rsidR="00135331" w:rsidRDefault="00247CC4">
    <w:pPr>
      <w:pStyle w:val="Rodap"/>
      <w:jc w:val="center"/>
    </w:pPr>
    <w:r>
      <w:rPr>
        <w:noProof/>
      </w:rPr>
      <w:pict w14:anchorId="64443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225.55pt;margin-top:704.5pt;width:91.5pt;height:67.5pt;z-index:251672576;mso-position-horizontal-relative:margin;mso-position-vertical-relative:margin" filled="t">
          <v:fill color2="black"/>
          <v:imagedata r:id="rId1" o:title="" croptop="-62f" cropbottom="-62f" cropleft="-45f" cropright="-45f"/>
          <w10:wrap type="square" anchorx="margin" anchory="margin"/>
        </v:shape>
      </w:pict>
    </w:r>
    <w:r>
      <w:pict w14:anchorId="285621DA">
        <v:shape id="_x0000_s1037" type="#_x0000_t75" style="position:absolute;left:0;text-align:left;margin-left:356.45pt;margin-top:709.2pt;width:128.4pt;height:43pt;z-index:251669504;mso-wrap-distance-left:0;mso-wrap-distance-right:0;mso-position-horizontal-relative:margin;mso-position-vertical-relative:margin" filled="t">
          <v:fill color2="black"/>
          <v:imagedata r:id="rId2" o:title="" croptop="-65f" cropbottom="-65f" cropleft="-21f" cropright="-21f"/>
          <w10:wrap type="square" side="largest" anchorx="margin" anchory="margin"/>
        </v:shape>
      </w:pict>
    </w:r>
    <w:r w:rsidR="00135331">
      <w:rPr>
        <w:noProof/>
      </w:rPr>
      <w:drawing>
        <wp:anchor distT="0" distB="0" distL="114300" distR="114300" simplePos="0" relativeHeight="251671552" behindDoc="0" locked="0" layoutInCell="1" allowOverlap="1" wp14:anchorId="6F0CCE96" wp14:editId="595E496D">
          <wp:simplePos x="0" y="0"/>
          <wp:positionH relativeFrom="column">
            <wp:posOffset>1381085</wp:posOffset>
          </wp:positionH>
          <wp:positionV relativeFrom="paragraph">
            <wp:posOffset>135657</wp:posOffset>
          </wp:positionV>
          <wp:extent cx="660909" cy="867860"/>
          <wp:effectExtent l="0" t="0" r="6350" b="8890"/>
          <wp:wrapNone/>
          <wp:docPr id="87884622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l="-47" t="-37" r="-47" b="-37"/>
                  <a:stretch>
                    <a:fillRect/>
                  </a:stretch>
                </pic:blipFill>
                <pic:spPr bwMode="auto">
                  <a:xfrm>
                    <a:off x="0" y="0"/>
                    <a:ext cx="660909" cy="86786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135331">
      <w:pict w14:anchorId="0B5D5F7F">
        <v:shape id="_x0000_s1038" type="#_x0000_t75" style="position:absolute;left:0;text-align:left;margin-left:-5.45pt;margin-top:13.05pt;width:79pt;height:59.85pt;z-index:251670528;mso-wrap-distance-left:0;mso-wrap-distance-right:0;mso-position-horizontal-relative:text;mso-position-vertical-relative:text" filled="t">
          <v:fill color2="black"/>
          <v:imagedata r:id="rId4" o:title=""/>
          <w10:wrap type="square" side="largest"/>
        </v:shape>
      </w:pict>
    </w:r>
    <w:r w:rsidR="00135331">
      <w:t xml:space="preserve">                                                      Página </w:t>
    </w:r>
    <w:r w:rsidR="00135331">
      <w:rPr>
        <w:b/>
        <w:bCs/>
        <w:sz w:val="24"/>
        <w:szCs w:val="24"/>
      </w:rPr>
      <w:fldChar w:fldCharType="begin"/>
    </w:r>
    <w:r w:rsidR="00135331">
      <w:rPr>
        <w:b/>
        <w:bCs/>
        <w:sz w:val="24"/>
        <w:szCs w:val="24"/>
      </w:rPr>
      <w:instrText xml:space="preserve"> PAGE </w:instrText>
    </w:r>
    <w:r w:rsidR="00135331">
      <w:rPr>
        <w:b/>
        <w:bCs/>
        <w:sz w:val="24"/>
        <w:szCs w:val="24"/>
      </w:rPr>
      <w:fldChar w:fldCharType="separate"/>
    </w:r>
    <w:r w:rsidR="00135331">
      <w:rPr>
        <w:b/>
        <w:bCs/>
        <w:noProof/>
        <w:sz w:val="24"/>
        <w:szCs w:val="24"/>
      </w:rPr>
      <w:t>6</w:t>
    </w:r>
    <w:r w:rsidR="00135331">
      <w:rPr>
        <w:b/>
        <w:bCs/>
        <w:sz w:val="24"/>
        <w:szCs w:val="24"/>
      </w:rPr>
      <w:fldChar w:fldCharType="end"/>
    </w:r>
    <w:r w:rsidR="00135331">
      <w:t xml:space="preserve"> de </w:t>
    </w:r>
    <w:r w:rsidR="00135331">
      <w:rPr>
        <w:b/>
        <w:bCs/>
        <w:sz w:val="24"/>
        <w:szCs w:val="24"/>
      </w:rPr>
      <w:fldChar w:fldCharType="begin"/>
    </w:r>
    <w:r w:rsidR="00135331">
      <w:rPr>
        <w:b/>
        <w:bCs/>
        <w:sz w:val="24"/>
        <w:szCs w:val="24"/>
      </w:rPr>
      <w:instrText xml:space="preserve"> NUMPAGES \* ARABIC </w:instrText>
    </w:r>
    <w:r w:rsidR="00135331">
      <w:rPr>
        <w:b/>
        <w:bCs/>
        <w:sz w:val="24"/>
        <w:szCs w:val="24"/>
      </w:rPr>
      <w:fldChar w:fldCharType="separate"/>
    </w:r>
    <w:r w:rsidR="00135331">
      <w:rPr>
        <w:b/>
        <w:bCs/>
        <w:noProof/>
        <w:sz w:val="24"/>
        <w:szCs w:val="24"/>
      </w:rPr>
      <w:t>19</w:t>
    </w:r>
    <w:r w:rsidR="00135331">
      <w:rPr>
        <w:b/>
        <w:bCs/>
        <w:sz w:val="24"/>
        <w:szCs w:val="24"/>
      </w:rPr>
      <w:fldChar w:fldCharType="end"/>
    </w:r>
    <w:r w:rsidR="00135331">
      <w:rPr>
        <w:b/>
        <w:bCs/>
        <w:sz w:val="24"/>
        <w:szCs w:val="24"/>
      </w:rPr>
      <w:t xml:space="preserve">                                     </w:t>
    </w:r>
    <w:r w:rsidR="00135331">
      <w:tab/>
    </w:r>
  </w:p>
  <w:p w14:paraId="6E023997" w14:textId="77777777" w:rsidR="00135331" w:rsidRDefault="00135331">
    <w:pPr>
      <w:pStyle w:val="Rodap"/>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FD049" w14:textId="77777777" w:rsidR="00135331" w:rsidRDefault="00135331">
    <w:pPr>
      <w:pStyle w:val="Rodap"/>
      <w:jc w:val="center"/>
    </w:pPr>
    <w:r>
      <w:pict w14:anchorId="34F94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4.65pt;height:90.65pt" filled="t">
          <v:fill color2="black"/>
          <v:imagedata r:id="rId1" o:title="" croptop="-24f" cropbottom="-24f" cropleft="-31f" cropright="-31f"/>
        </v:shape>
      </w:pict>
    </w:r>
    <w:r>
      <w:t xml:space="preserve">                </w:t>
    </w:r>
    <w:r>
      <w:pict w14:anchorId="18254090">
        <v:shape id="_x0000_s1036" type="#_x0000_t75" style="position:absolute;left:0;text-align:left;margin-left:113.65pt;margin-top:.4pt;width:93pt;height:93pt;z-index:251668480;mso-wrap-distance-left:0;mso-wrap-distance-right:0;mso-position-horizontal-relative:text;mso-position-vertical-relative:text" filled="t">
          <v:fill color2="black"/>
          <v:imagedata r:id="rId2" o:title=""/>
          <w10:wrap type="square" side="largest"/>
        </v:shape>
      </w:pict>
    </w:r>
    <w:r>
      <w:t xml:space="preserve">               </w:t>
    </w:r>
    <w:r>
      <w:pict w14:anchorId="682A9B58">
        <v:shape id="_x0000_s1035" type="#_x0000_t75" style="position:absolute;left:0;text-align:left;margin-left:222pt;margin-top:30pt;width:128.85pt;height:43.15pt;z-index:251667456;mso-wrap-distance-left:0;mso-wrap-distance-right:0;mso-position-horizontal-relative:text;mso-position-vertical-relative:text" filled="t">
          <v:fill color2="black"/>
          <v:imagedata r:id="rId3" o:title="" croptop="-65f" cropbottom="-65f" cropleft="-21f" cropright="-21f"/>
          <w10:wrap type="square" side="largest"/>
        </v:shape>
      </w:pict>
    </w:r>
    <w:r>
      <w:t xml:space="preserve">                       Página </w:t>
    </w:r>
    <w:r>
      <w:rPr>
        <w:b/>
        <w:bCs/>
        <w:sz w:val="24"/>
        <w:szCs w:val="24"/>
      </w:rPr>
      <w:fldChar w:fldCharType="begin"/>
    </w:r>
    <w:r>
      <w:rPr>
        <w:b/>
        <w:bCs/>
        <w:sz w:val="24"/>
        <w:szCs w:val="24"/>
      </w:rPr>
      <w:instrText xml:space="preserve"> PAGE </w:instrText>
    </w:r>
    <w:r>
      <w:rPr>
        <w:b/>
        <w:bCs/>
        <w:sz w:val="24"/>
        <w:szCs w:val="24"/>
      </w:rPr>
      <w:fldChar w:fldCharType="separate"/>
    </w:r>
    <w:r>
      <w:rPr>
        <w:b/>
        <w:bCs/>
        <w:noProof/>
        <w:sz w:val="24"/>
        <w:szCs w:val="24"/>
      </w:rPr>
      <w:t>1</w:t>
    </w:r>
    <w:r>
      <w:rPr>
        <w:b/>
        <w:bCs/>
        <w:sz w:val="24"/>
        <w:szCs w:val="24"/>
      </w:rPr>
      <w:fldChar w:fldCharType="end"/>
    </w:r>
    <w:r>
      <w:t xml:space="preserve"> de </w:t>
    </w:r>
    <w:r>
      <w:rPr>
        <w:b/>
        <w:bCs/>
        <w:sz w:val="24"/>
        <w:szCs w:val="24"/>
      </w:rPr>
      <w:fldChar w:fldCharType="begin"/>
    </w:r>
    <w:r>
      <w:rPr>
        <w:b/>
        <w:bCs/>
        <w:sz w:val="24"/>
        <w:szCs w:val="24"/>
      </w:rPr>
      <w:instrText xml:space="preserve"> NUMPAGES \* ARABIC </w:instrText>
    </w:r>
    <w:r>
      <w:rPr>
        <w:b/>
        <w:bCs/>
        <w:sz w:val="24"/>
        <w:szCs w:val="24"/>
      </w:rPr>
      <w:fldChar w:fldCharType="separate"/>
    </w:r>
    <w:r>
      <w:rPr>
        <w:b/>
        <w:bCs/>
        <w:noProof/>
        <w:sz w:val="24"/>
        <w:szCs w:val="24"/>
      </w:rPr>
      <w:t>15</w:t>
    </w:r>
    <w:r>
      <w:rPr>
        <w:b/>
        <w:bCs/>
        <w:sz w:val="24"/>
        <w:szCs w:val="24"/>
      </w:rPr>
      <w:fldChar w:fldCharType="end"/>
    </w:r>
    <w:r>
      <w:rPr>
        <w:b/>
        <w:bCs/>
        <w:sz w:val="24"/>
        <w:szCs w:val="24"/>
      </w:rPr>
      <w:t xml:space="preserve">                                     </w:t>
    </w:r>
    <w:r>
      <w:tab/>
    </w:r>
    <w:r>
      <w:pict w14:anchorId="59637777">
        <v:shape id="_x0000_i1067" type="#_x0000_t75" style="width:91.55pt;height:67.55pt" filled="t">
          <v:fill color2="black"/>
          <v:imagedata r:id="rId4" o:title="" croptop="-62f" cropbottom="-62f" cropleft="-45f" cropright="-45f"/>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7648C" w14:textId="77777777" w:rsidR="00B55137" w:rsidRDefault="00B55137">
      <w:pPr>
        <w:rPr>
          <w:sz w:val="12"/>
        </w:rPr>
      </w:pPr>
      <w:r>
        <w:separator/>
      </w:r>
    </w:p>
  </w:footnote>
  <w:footnote w:type="continuationSeparator" w:id="0">
    <w:p w14:paraId="4752B272" w14:textId="77777777" w:rsidR="00B55137" w:rsidRDefault="00B55137">
      <w:pPr>
        <w:rPr>
          <w:sz w:val="12"/>
        </w:rPr>
      </w:pPr>
      <w:r>
        <w:continuationSeparator/>
      </w:r>
    </w:p>
  </w:footnote>
  <w:footnote w:id="1">
    <w:p w14:paraId="41C1D47E" w14:textId="31510C86" w:rsidR="00930701" w:rsidRPr="00185C18" w:rsidRDefault="00486485">
      <w:pPr>
        <w:spacing w:after="0" w:line="240" w:lineRule="auto"/>
        <w:ind w:left="142" w:hanging="142"/>
        <w:jc w:val="both"/>
        <w:rPr>
          <w:rFonts w:ascii="Arial" w:eastAsia="Arial" w:hAnsi="Arial" w:cs="Arial"/>
          <w:color w:val="000000"/>
          <w:sz w:val="18"/>
          <w:szCs w:val="18"/>
        </w:rPr>
      </w:pPr>
      <w:r w:rsidRPr="00185C18">
        <w:rPr>
          <w:rStyle w:val="Caracteresdenotaderodap"/>
          <w:sz w:val="20"/>
          <w:szCs w:val="20"/>
        </w:rPr>
        <w:footnoteRef/>
      </w:r>
      <w:r w:rsidRPr="00185C18">
        <w:rPr>
          <w:rFonts w:ascii="Arial" w:eastAsia="Arial" w:hAnsi="Arial" w:cs="Arial"/>
          <w:color w:val="000000"/>
          <w:sz w:val="18"/>
          <w:szCs w:val="18"/>
        </w:rPr>
        <w:tab/>
        <w:t xml:space="preserve"> Bolsista do Programa de Iniciação Científica (PIBIC/PIBITI). Universidade Federal do Norte do Tocantins (UFNT), Centro de </w:t>
      </w:r>
      <w:r w:rsidR="00EE4DFF" w:rsidRPr="00185C18">
        <w:rPr>
          <w:rFonts w:ascii="Arial" w:eastAsia="Arial" w:hAnsi="Arial" w:cs="Arial"/>
          <w:color w:val="000000"/>
          <w:sz w:val="18"/>
          <w:szCs w:val="18"/>
        </w:rPr>
        <w:t>Ciências Agrárias</w:t>
      </w:r>
      <w:r w:rsidRPr="00185C18">
        <w:rPr>
          <w:rFonts w:ascii="Arial" w:eastAsia="Arial" w:hAnsi="Arial" w:cs="Arial"/>
          <w:color w:val="000000"/>
          <w:sz w:val="18"/>
          <w:szCs w:val="18"/>
        </w:rPr>
        <w:t xml:space="preserve">. e-mail. </w:t>
      </w:r>
      <w:r w:rsidR="00EE4DFF" w:rsidRPr="00185C18">
        <w:rPr>
          <w:rFonts w:ascii="Arial" w:eastAsia="Arial" w:hAnsi="Arial" w:cs="Arial"/>
          <w:color w:val="000000"/>
          <w:sz w:val="18"/>
          <w:szCs w:val="18"/>
        </w:rPr>
        <w:t>Lyvia.paiva@mail.uft.edu.br</w:t>
      </w:r>
    </w:p>
  </w:footnote>
  <w:footnote w:id="2">
    <w:p w14:paraId="4401B007" w14:textId="7DC8B013" w:rsidR="00930701" w:rsidRPr="00185C18" w:rsidRDefault="00486485">
      <w:pPr>
        <w:spacing w:after="0" w:line="240" w:lineRule="auto"/>
        <w:ind w:left="142" w:hanging="142"/>
        <w:jc w:val="both"/>
        <w:rPr>
          <w:rFonts w:ascii="Arial" w:eastAsia="Arial" w:hAnsi="Arial" w:cs="Arial"/>
          <w:color w:val="000000"/>
          <w:sz w:val="18"/>
          <w:szCs w:val="18"/>
        </w:rPr>
      </w:pPr>
      <w:r w:rsidRPr="00185C18">
        <w:rPr>
          <w:rStyle w:val="Caracteresdenotaderodap"/>
          <w:sz w:val="20"/>
          <w:szCs w:val="20"/>
        </w:rPr>
        <w:footnoteRef/>
      </w:r>
      <w:r w:rsidRPr="00185C18">
        <w:rPr>
          <w:rFonts w:ascii="Arial" w:eastAsia="Arial" w:hAnsi="Arial" w:cs="Arial"/>
          <w:color w:val="000000"/>
          <w:sz w:val="18"/>
          <w:szCs w:val="18"/>
        </w:rPr>
        <w:tab/>
        <w:t xml:space="preserve"> </w:t>
      </w:r>
      <w:r w:rsidR="00EE4DFF" w:rsidRPr="00185C18">
        <w:rPr>
          <w:rFonts w:ascii="Arial" w:eastAsia="Arial" w:hAnsi="Arial" w:cs="Arial"/>
          <w:color w:val="000000"/>
          <w:sz w:val="18"/>
          <w:szCs w:val="18"/>
        </w:rPr>
        <w:t xml:space="preserve">Professora Doutora da Faculdade de </w:t>
      </w:r>
      <w:r w:rsidR="00EE4DFF" w:rsidRPr="00185C18">
        <w:rPr>
          <w:rFonts w:ascii="Arial" w:eastAsia="Arial" w:hAnsi="Arial" w:cs="Arial"/>
          <w:color w:val="000000"/>
          <w:sz w:val="18"/>
          <w:szCs w:val="18"/>
        </w:rPr>
        <w:t>Ciências Agrárias</w:t>
      </w:r>
      <w:r w:rsidR="00EE4DFF" w:rsidRPr="00185C18">
        <w:rPr>
          <w:rFonts w:ascii="Arial" w:eastAsia="Arial" w:hAnsi="Arial" w:cs="Arial"/>
          <w:color w:val="000000"/>
          <w:sz w:val="18"/>
          <w:szCs w:val="18"/>
        </w:rPr>
        <w:t>, Universidade Federal d</w:t>
      </w:r>
      <w:r w:rsidR="00EE4DFF" w:rsidRPr="00185C18">
        <w:rPr>
          <w:rFonts w:ascii="Arial" w:eastAsia="Arial" w:hAnsi="Arial" w:cs="Arial"/>
          <w:color w:val="000000"/>
          <w:sz w:val="18"/>
          <w:szCs w:val="18"/>
        </w:rPr>
        <w:t xml:space="preserve">o Norte do Tocantins </w:t>
      </w:r>
      <w:r w:rsidR="00EE4DFF" w:rsidRPr="00185C18">
        <w:rPr>
          <w:rFonts w:ascii="Arial" w:eastAsia="Arial" w:hAnsi="Arial" w:cs="Arial"/>
          <w:color w:val="000000"/>
          <w:sz w:val="18"/>
          <w:szCs w:val="18"/>
        </w:rPr>
        <w:t>(UF</w:t>
      </w:r>
      <w:r w:rsidR="00EE4DFF" w:rsidRPr="00185C18">
        <w:rPr>
          <w:rFonts w:ascii="Arial" w:eastAsia="Arial" w:hAnsi="Arial" w:cs="Arial"/>
          <w:color w:val="000000"/>
          <w:sz w:val="18"/>
          <w:szCs w:val="18"/>
        </w:rPr>
        <w:t>NT</w:t>
      </w:r>
      <w:r w:rsidR="00EE4DFF" w:rsidRPr="00185C18">
        <w:rPr>
          <w:rFonts w:ascii="Arial" w:eastAsia="Arial" w:hAnsi="Arial" w:cs="Arial"/>
          <w:color w:val="000000"/>
          <w:sz w:val="18"/>
          <w:szCs w:val="18"/>
        </w:rPr>
        <w:t>)</w:t>
      </w:r>
      <w:r w:rsidR="00EE4DFF" w:rsidRPr="00185C18">
        <w:rPr>
          <w:rFonts w:ascii="Arial" w:eastAsia="Arial" w:hAnsi="Arial" w:cs="Arial"/>
          <w:color w:val="000000"/>
          <w:sz w:val="18"/>
          <w:szCs w:val="18"/>
        </w:rPr>
        <w:t>. E-mail:robertavaz@mail.uft.edu.br</w:t>
      </w:r>
    </w:p>
  </w:footnote>
  <w:footnote w:id="3">
    <w:p w14:paraId="0FCAD69C" w14:textId="498A0BB0" w:rsidR="00930701" w:rsidRDefault="00486485">
      <w:pPr>
        <w:spacing w:after="0" w:line="240" w:lineRule="auto"/>
        <w:ind w:left="142" w:hanging="142"/>
        <w:jc w:val="both"/>
        <w:rPr>
          <w:rFonts w:ascii="Arial" w:eastAsia="Arial" w:hAnsi="Arial" w:cs="Arial"/>
          <w:color w:val="000000"/>
          <w:sz w:val="18"/>
          <w:szCs w:val="18"/>
        </w:rPr>
      </w:pPr>
      <w:r w:rsidRPr="00185C18">
        <w:rPr>
          <w:rStyle w:val="Caracteresdenotaderodap"/>
          <w:sz w:val="20"/>
          <w:szCs w:val="20"/>
        </w:rPr>
        <w:footnoteRef/>
      </w:r>
      <w:r w:rsidRPr="00185C18">
        <w:rPr>
          <w:rFonts w:ascii="Arial" w:eastAsia="Arial" w:hAnsi="Arial" w:cs="Arial"/>
          <w:color w:val="000000"/>
          <w:sz w:val="18"/>
          <w:szCs w:val="18"/>
        </w:rPr>
        <w:tab/>
        <w:t xml:space="preserve"> Professora Doutora da </w:t>
      </w:r>
      <w:r w:rsidR="00185C18" w:rsidRPr="00185C18">
        <w:rPr>
          <w:rFonts w:ascii="Arial" w:eastAsia="Arial" w:hAnsi="Arial" w:cs="Arial"/>
          <w:color w:val="000000"/>
          <w:sz w:val="18"/>
          <w:szCs w:val="18"/>
        </w:rPr>
        <w:t>Universidade Federal Rural da Amazônia</w:t>
      </w:r>
      <w:r w:rsidRPr="00185C18">
        <w:rPr>
          <w:rFonts w:ascii="Arial" w:eastAsia="Arial" w:hAnsi="Arial" w:cs="Arial"/>
          <w:color w:val="000000"/>
          <w:sz w:val="18"/>
          <w:szCs w:val="18"/>
        </w:rPr>
        <w:t>, (UF</w:t>
      </w:r>
      <w:r w:rsidR="00185C18" w:rsidRPr="00185C18">
        <w:rPr>
          <w:rFonts w:ascii="Arial" w:eastAsia="Arial" w:hAnsi="Arial" w:cs="Arial"/>
          <w:color w:val="000000"/>
          <w:sz w:val="18"/>
          <w:szCs w:val="18"/>
        </w:rPr>
        <w:t>RA</w:t>
      </w:r>
      <w:r w:rsidRPr="00185C18">
        <w:rPr>
          <w:rFonts w:ascii="Arial" w:eastAsia="Arial" w:hAnsi="Arial" w:cs="Arial"/>
          <w:color w:val="000000"/>
          <w:sz w:val="18"/>
          <w:szCs w:val="18"/>
        </w:rPr>
        <w:t>)</w:t>
      </w:r>
      <w:r w:rsidR="00185C18" w:rsidRPr="00185C18">
        <w:rPr>
          <w:rFonts w:ascii="Arial" w:eastAsia="Arial" w:hAnsi="Arial" w:cs="Arial"/>
          <w:color w:val="000000"/>
          <w:sz w:val="18"/>
          <w:szCs w:val="18"/>
        </w:rPr>
        <w:t xml:space="preserve">. E-mail : </w:t>
      </w:r>
      <w:hyperlink r:id="rId1" w:history="1">
        <w:r w:rsidR="00185C18" w:rsidRPr="00C933EB">
          <w:rPr>
            <w:rStyle w:val="Hyperlink"/>
            <w:rFonts w:ascii="Arial" w:eastAsia="Arial" w:hAnsi="Arial" w:cs="Arial"/>
            <w:sz w:val="18"/>
            <w:szCs w:val="18"/>
          </w:rPr>
          <w:t>monicacalixto_@hotmail.com</w:t>
        </w:r>
      </w:hyperlink>
    </w:p>
    <w:p w14:paraId="2945511A" w14:textId="3BE9261D" w:rsidR="00185C18" w:rsidRDefault="00185C18">
      <w:pPr>
        <w:spacing w:after="0" w:line="240" w:lineRule="auto"/>
        <w:ind w:left="142" w:hanging="142"/>
        <w:jc w:val="both"/>
        <w:rPr>
          <w:rFonts w:ascii="Arial" w:eastAsia="Arial" w:hAnsi="Arial" w:cs="Arial"/>
          <w:color w:val="000000"/>
          <w:sz w:val="18"/>
          <w:szCs w:val="18"/>
        </w:rPr>
      </w:pPr>
      <w:r>
        <w:rPr>
          <w:rFonts w:ascii="Arial" w:eastAsia="Arial" w:hAnsi="Arial" w:cs="Arial"/>
          <w:color w:val="000000"/>
          <w:sz w:val="18"/>
          <w:szCs w:val="18"/>
        </w:rPr>
        <w:t xml:space="preserve">4 Pós doutoranda UFNT ; e-mail: </w:t>
      </w:r>
      <w:hyperlink r:id="rId2" w:history="1">
        <w:r w:rsidRPr="00C933EB">
          <w:rPr>
            <w:rStyle w:val="Hyperlink"/>
            <w:rFonts w:ascii="Arial" w:eastAsia="Arial" w:hAnsi="Arial" w:cs="Arial"/>
            <w:sz w:val="18"/>
            <w:szCs w:val="18"/>
          </w:rPr>
          <w:t>latoyanina@hotmail.com</w:t>
        </w:r>
      </w:hyperlink>
    </w:p>
    <w:p w14:paraId="2A9D035B" w14:textId="45BE65FE" w:rsidR="00185C18" w:rsidRDefault="00185C18">
      <w:pPr>
        <w:spacing w:after="0" w:line="240" w:lineRule="auto"/>
        <w:ind w:left="142" w:hanging="142"/>
        <w:jc w:val="both"/>
        <w:rPr>
          <w:color w:val="000000"/>
          <w:sz w:val="20"/>
          <w:szCs w:val="20"/>
        </w:rPr>
      </w:pPr>
      <w:r>
        <w:rPr>
          <w:rFonts w:ascii="Arial" w:eastAsia="Arial" w:hAnsi="Arial" w:cs="Arial"/>
          <w:color w:val="000000"/>
          <w:sz w:val="18"/>
          <w:szCs w:val="18"/>
        </w:rPr>
        <w:t xml:space="preserve">5 Doutorandos UFNT ; e-mail: </w:t>
      </w:r>
      <w:hyperlink r:id="rId3" w:history="1">
        <w:r w:rsidRPr="00C933EB">
          <w:rPr>
            <w:rStyle w:val="Hyperlink"/>
            <w:rFonts w:ascii="Arial" w:eastAsia="Arial" w:hAnsi="Arial" w:cs="Arial"/>
            <w:sz w:val="18"/>
            <w:szCs w:val="18"/>
          </w:rPr>
          <w:t>magnaferreira09@gmail.com</w:t>
        </w:r>
      </w:hyperlink>
      <w:r>
        <w:rPr>
          <w:rFonts w:ascii="Arial" w:eastAsia="Arial" w:hAnsi="Arial" w:cs="Arial"/>
          <w:color w:val="000000"/>
          <w:sz w:val="18"/>
          <w:szCs w:val="18"/>
        </w:rPr>
        <w:t xml:space="preserve"> ; jerryjunior-00@hotmail.com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53FE" w14:textId="77777777" w:rsidR="00930701" w:rsidRDefault="00486485">
    <w:r>
      <w:rPr>
        <w:noProof/>
      </w:rPr>
      <w:drawing>
        <wp:anchor distT="0" distB="0" distL="0" distR="0" simplePos="0" relativeHeight="18" behindDoc="0" locked="0" layoutInCell="0" allowOverlap="1" wp14:anchorId="4C9C3833" wp14:editId="4BC923EE">
          <wp:simplePos x="0" y="0"/>
          <wp:positionH relativeFrom="margin">
            <wp:align>left</wp:align>
          </wp:positionH>
          <wp:positionV relativeFrom="paragraph">
            <wp:posOffset>-251065</wp:posOffset>
          </wp:positionV>
          <wp:extent cx="5754370" cy="1303020"/>
          <wp:effectExtent l="0" t="0" r="0" b="0"/>
          <wp:wrapSquare wrapText="largest"/>
          <wp:docPr id="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pic:cNvPicPr>
                    <a:picLocks noChangeAspect="1" noChangeArrowheads="1"/>
                  </pic:cNvPicPr>
                </pic:nvPicPr>
                <pic:blipFill>
                  <a:blip r:embed="rId1"/>
                  <a:stretch>
                    <a:fillRect/>
                  </a:stretch>
                </pic:blipFill>
                <pic:spPr bwMode="auto">
                  <a:xfrm>
                    <a:off x="0" y="0"/>
                    <a:ext cx="5754370" cy="1303020"/>
                  </a:xfrm>
                  <a:prstGeom prst="rect">
                    <a:avLst/>
                  </a:prstGeom>
                </pic:spPr>
              </pic:pic>
            </a:graphicData>
          </a:graphic>
          <wp14:sizeRelV relativeFrom="margin">
            <wp14:pctHeight>0</wp14:pctHeight>
          </wp14:sizeRelV>
        </wp:anchor>
      </w:drawing>
    </w:r>
  </w:p>
  <w:p w14:paraId="7E0DF7EF" w14:textId="37033244" w:rsidR="00930701" w:rsidRDefault="009307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7905"/>
      <w:gridCol w:w="2409"/>
    </w:tblGrid>
    <w:tr w:rsidR="00135331" w14:paraId="62875FE2" w14:textId="77777777">
      <w:trPr>
        <w:trHeight w:hRule="exact" w:val="1985"/>
      </w:trPr>
      <w:tc>
        <w:tcPr>
          <w:tcW w:w="7905" w:type="dxa"/>
          <w:shd w:val="clear" w:color="auto" w:fill="auto"/>
          <w:vAlign w:val="bottom"/>
        </w:tcPr>
        <w:p w14:paraId="4B4FF40E" w14:textId="77777777" w:rsidR="00135331" w:rsidRDefault="00135331">
          <w:pPr>
            <w:ind w:right="95"/>
            <w:jc w:val="right"/>
          </w:pPr>
          <w:r>
            <w:rPr>
              <w:rFonts w:cs="Arial"/>
              <w:iCs/>
            </w:rPr>
            <w:t>UNIVERSIDADE FEDERAL DO NORTE DO TOCANTINS</w:t>
          </w:r>
        </w:p>
        <w:p w14:paraId="5552A370" w14:textId="77777777" w:rsidR="00135331" w:rsidRDefault="00135331">
          <w:pPr>
            <w:ind w:right="95"/>
            <w:jc w:val="right"/>
          </w:pPr>
          <w:r>
            <w:rPr>
              <w:rFonts w:cs="Arial"/>
            </w:rPr>
            <w:t xml:space="preserve">PRÓ-REITORIA DE PESQUISA E PÓS-GRADUAÇÃO </w:t>
          </w:r>
        </w:p>
        <w:p w14:paraId="5E54DE2C" w14:textId="77777777" w:rsidR="00135331" w:rsidRDefault="00135331">
          <w:pPr>
            <w:pBdr>
              <w:top w:val="none" w:sz="0" w:space="0" w:color="000000"/>
              <w:left w:val="none" w:sz="0" w:space="0" w:color="000000"/>
              <w:bottom w:val="single" w:sz="12" w:space="1" w:color="000000"/>
              <w:right w:val="none" w:sz="0" w:space="0" w:color="000000"/>
            </w:pBdr>
            <w:ind w:right="95"/>
            <w:jc w:val="right"/>
          </w:pPr>
          <w:r>
            <w:rPr>
              <w:rFonts w:cs="Arial"/>
            </w:rPr>
            <w:t>COORDENAÇÃO DE INICAÇÃO CIENTÍFICA</w:t>
          </w:r>
        </w:p>
        <w:p w14:paraId="78DC19B2" w14:textId="77777777" w:rsidR="00135331" w:rsidRDefault="00135331">
          <w:pPr>
            <w:pStyle w:val="PargrafodaLista"/>
            <w:ind w:left="0" w:right="95"/>
            <w:jc w:val="right"/>
          </w:pPr>
          <w:r>
            <w:rPr>
              <w:rFonts w:ascii="Arial Narrow" w:eastAsia="Arial Narrow" w:hAnsi="Arial Narrow" w:cs="Arial Narrow"/>
              <w:sz w:val="20"/>
              <w:szCs w:val="20"/>
            </w:rPr>
            <w:t xml:space="preserve"> </w:t>
          </w:r>
        </w:p>
      </w:tc>
      <w:tc>
        <w:tcPr>
          <w:tcW w:w="2409" w:type="dxa"/>
          <w:shd w:val="clear" w:color="auto" w:fill="auto"/>
          <w:vAlign w:val="center"/>
        </w:tcPr>
        <w:p w14:paraId="2ED2A818" w14:textId="77777777" w:rsidR="00135331" w:rsidRDefault="00135331">
          <w:pPr>
            <w:jc w:val="both"/>
          </w:pPr>
          <w:r>
            <w:rPr>
              <w:rFonts w:ascii="TimesNewRomanPS-ItalicMT" w:hAnsi="TimesNewRomanPS-ItalicMT" w:cs="TimesNewRomanPS-ItalicMT"/>
              <w:i/>
              <w:sz w:val="20"/>
              <w:szCs w:val="20"/>
            </w:rPr>
            <w:pict w14:anchorId="45966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74.65pt;height:90.65pt" filled="t">
                <v:fill opacity="0" color2="black"/>
                <v:imagedata r:id="rId1" o:title="" croptop="-24f" cropbottom="-24f" cropleft="-31f" cropright="-31f"/>
              </v:shape>
            </w:pict>
          </w:r>
        </w:p>
      </w:tc>
    </w:tr>
  </w:tbl>
  <w:p w14:paraId="7E763FA8" w14:textId="77777777" w:rsidR="00135331" w:rsidRDefault="00135331">
    <w:pPr>
      <w:pStyle w:val="Cabealho"/>
    </w:pPr>
    <w: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7C4209"/>
    <w:multiLevelType w:val="multilevel"/>
    <w:tmpl w:val="23D8A2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2357C45"/>
    <w:multiLevelType w:val="multilevel"/>
    <w:tmpl w:val="8F84624C"/>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3" w15:restartNumberingAfterBreak="0">
    <w:nsid w:val="60D80AEE"/>
    <w:multiLevelType w:val="multilevel"/>
    <w:tmpl w:val="D5A258A6"/>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388696208">
    <w:abstractNumId w:val="2"/>
  </w:num>
  <w:num w:numId="2" w16cid:durableId="2070415549">
    <w:abstractNumId w:val="3"/>
  </w:num>
  <w:num w:numId="3" w16cid:durableId="270213162">
    <w:abstractNumId w:val="1"/>
  </w:num>
  <w:num w:numId="4" w16cid:durableId="210818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01"/>
    <w:rsid w:val="00051AF3"/>
    <w:rsid w:val="00135331"/>
    <w:rsid w:val="00170B5E"/>
    <w:rsid w:val="00185C18"/>
    <w:rsid w:val="00247CC4"/>
    <w:rsid w:val="0033428E"/>
    <w:rsid w:val="003C6D2F"/>
    <w:rsid w:val="003F1F9F"/>
    <w:rsid w:val="00401BE4"/>
    <w:rsid w:val="0040630A"/>
    <w:rsid w:val="00461E57"/>
    <w:rsid w:val="00486485"/>
    <w:rsid w:val="004A024F"/>
    <w:rsid w:val="00512D78"/>
    <w:rsid w:val="00542D21"/>
    <w:rsid w:val="00564779"/>
    <w:rsid w:val="005F1EA2"/>
    <w:rsid w:val="00677719"/>
    <w:rsid w:val="00683CAE"/>
    <w:rsid w:val="006F403F"/>
    <w:rsid w:val="0079175F"/>
    <w:rsid w:val="00870E32"/>
    <w:rsid w:val="008850C2"/>
    <w:rsid w:val="00930701"/>
    <w:rsid w:val="009569F7"/>
    <w:rsid w:val="009D6784"/>
    <w:rsid w:val="009E2DBA"/>
    <w:rsid w:val="00A427E6"/>
    <w:rsid w:val="00AB05F8"/>
    <w:rsid w:val="00AE58FC"/>
    <w:rsid w:val="00B55137"/>
    <w:rsid w:val="00D938E3"/>
    <w:rsid w:val="00E14214"/>
    <w:rsid w:val="00E5519B"/>
    <w:rsid w:val="00EE4DFF"/>
    <w:rsid w:val="00F91A96"/>
    <w:rsid w:val="00FB613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F99EF"/>
  <w15:docId w15:val="{E0D7C60F-7EE9-4BDD-BFAD-A0139DCC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F7"/>
    <w:pPr>
      <w:spacing w:after="160" w:line="259" w:lineRule="auto"/>
    </w:p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FC3814"/>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FC3814"/>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FC3814"/>
    <w:pPr>
      <w:spacing w:after="0" w:line="240" w:lineRule="auto"/>
    </w:pPr>
    <w:rPr>
      <w:sz w:val="20"/>
      <w:szCs w:val="20"/>
    </w:rPr>
  </w:style>
  <w:style w:type="paragraph" w:styleId="NormalWeb">
    <w:name w:val="Normal (Web)"/>
    <w:basedOn w:val="Normal"/>
    <w:uiPriority w:val="99"/>
    <w:unhideWhenUsed/>
    <w:qFormat/>
    <w:rsid w:val="00017C6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character" w:styleId="Hyperlink">
    <w:name w:val="Hyperlink"/>
    <w:rsid w:val="009569F7"/>
    <w:rPr>
      <w:color w:val="0000FF"/>
      <w:u w:val="single"/>
    </w:rPr>
  </w:style>
  <w:style w:type="paragraph" w:styleId="PargrafodaLista">
    <w:name w:val="List Paragraph"/>
    <w:basedOn w:val="Normal"/>
    <w:qFormat/>
    <w:rsid w:val="009569F7"/>
    <w:pPr>
      <w:ind w:left="720"/>
      <w:contextualSpacing/>
    </w:pPr>
  </w:style>
  <w:style w:type="character" w:customStyle="1" w:styleId="MenoPendente1">
    <w:name w:val="Menção Pendente1"/>
    <w:basedOn w:val="Fontepargpadro"/>
    <w:uiPriority w:val="99"/>
    <w:semiHidden/>
    <w:unhideWhenUsed/>
    <w:rsid w:val="00170B5E"/>
    <w:rPr>
      <w:color w:val="605E5C"/>
      <w:shd w:val="clear" w:color="auto" w:fill="E1DFDD"/>
    </w:rPr>
  </w:style>
  <w:style w:type="character" w:styleId="MenoPendente">
    <w:name w:val="Unresolved Mention"/>
    <w:basedOn w:val="Fontepargpadro"/>
    <w:uiPriority w:val="99"/>
    <w:semiHidden/>
    <w:unhideWhenUsed/>
    <w:rsid w:val="00185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x.doi.org/10.3390/ani906030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x.doi.org/10.1590/s1516-635x2013000400006" TargetMode="External"/><Relationship Id="rId2" Type="http://schemas.openxmlformats.org/officeDocument/2006/relationships/numbering" Target="numbering.xml"/><Relationship Id="rId16" Type="http://schemas.openxmlformats.org/officeDocument/2006/relationships/hyperlink" Target="http://iberpharm.com.br/www/arquivos/IN03-19-01-200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br/agricultura/pt-br/assuntos/insumos-agropecuarios/insumos-pecuarios/alimentacao-animal/arquivos-alimentacao-animal/legislacao/INM000000012020.pdf" TargetMode="External"/><Relationship Id="rId10" Type="http://schemas.openxmlformats.org/officeDocument/2006/relationships/image" Target="media/image2.png"/><Relationship Id="rId19" Type="http://schemas.openxmlformats.org/officeDocument/2006/relationships/hyperlink" Target="http://dx.doi.org/10.31413/nativa.v6i5.586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x.doi.org/10.4025/actascianimsci.v35i4.1895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7.emf"/><Relationship Id="rId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mailto:magnaferreira09@gmail.com" TargetMode="External"/><Relationship Id="rId2" Type="http://schemas.openxmlformats.org/officeDocument/2006/relationships/hyperlink" Target="mailto:latoyanina@hotmail.com" TargetMode="External"/><Relationship Id="rId1" Type="http://schemas.openxmlformats.org/officeDocument/2006/relationships/hyperlink" Target="mailto:monicacalixto_@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DAcAD4NZUUv3YLesX1x1TMsyrw==">CgMxLjA4AHIhMVZvRkhmQW51QUg2OHhQeHo5UF91ZWZ3VVh0V3htREJj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2351</Words>
  <Characters>12699</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dc:description/>
  <cp:lastModifiedBy>magna ferreira</cp:lastModifiedBy>
  <cp:revision>4</cp:revision>
  <dcterms:created xsi:type="dcterms:W3CDTF">2024-10-08T23:09:00Z</dcterms:created>
  <dcterms:modified xsi:type="dcterms:W3CDTF">2024-10-09T02:01:00Z</dcterms:modified>
  <dc:language>pt-BR</dc:language>
</cp:coreProperties>
</file>