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1D20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D6DCDB" w14:textId="4EA66344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2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CONSTRUÇÃO DE SABERES NA NUTRIÇÃO COLETIVA: RELATO DE EXPERIÊNCIA DO ESTÁGIO NO RESTAURANTE COMUNITÁRIO DO GAMA</w:t>
      </w:r>
    </w:p>
    <w:p w14:paraId="3363A9A2" w14:textId="75417F7A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Nilziano José da Silva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116F8518" w14:textId="6EF1C628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Kamilla Dias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Rodrigues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544EE58C" w14:textId="651C62F6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Natalice Barbosa Andrade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AFA5286" w14:textId="337C898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Rafaela Rodrigues Siqueira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E51AA01" w14:textId="13256F54" w:rsidR="001E5263" w:rsidRDefault="004675B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Aline Veroneze de Mello Cesar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E5263" w:rsidRPr="001E526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66ED7009" w14:textId="1A76F9FA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Estudante do curso de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do Centro Universitário Internacional UNINTER</w:t>
      </w:r>
    </w:p>
    <w:p w14:paraId="3DEFFDDC" w14:textId="3EB5CFB5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Nutricionista RT da unidade</w:t>
      </w:r>
    </w:p>
    <w:p w14:paraId="3AEAACAD" w14:textId="2B66C063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Nutricionista Plantonista da unidade</w:t>
      </w:r>
    </w:p>
    <w:p w14:paraId="57EF34D3" w14:textId="77777777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4. Nutricionista Plantonista da unidade</w:t>
      </w:r>
    </w:p>
    <w:p w14:paraId="076DA46D" w14:textId="4F0C3692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da UNINTER </w:t>
      </w:r>
      <w:r w:rsidR="004675B3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Orientadora</w:t>
      </w:r>
    </w:p>
    <w:p w14:paraId="304D9E83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AE8E81" w14:textId="77777777" w:rsidR="004675B3" w:rsidRDefault="004675B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5E47CA" w14:textId="77777777" w:rsidR="004675B3" w:rsidRDefault="004675B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77F5EC" w14:textId="77777777" w:rsidR="004675B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RESUMO:</w:t>
      </w:r>
    </w:p>
    <w:p w14:paraId="2CC6D01F" w14:textId="25DED252" w:rsidR="001E5263" w:rsidRDefault="001E5263" w:rsidP="002C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="004675B3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5B3" w:rsidRP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>A Nutrição em Saúde Coletiva desempenha papel fundamental na promoção da alimentação adequada, saudável e sustentável, especialmente em espaços públicos como os restaurantes comunitários. A partir dessa perspectiva, compreende-se</w:t>
      </w:r>
      <w:r w:rsid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5B3" w:rsidRP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>a importância de integrar ações educativas e práticas alimentares à realidade social da população usuária.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</w:t>
      </w:r>
      <w:r w:rsidR="004675B3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675B3" w:rsidRP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>ste relat</w:t>
      </w:r>
      <w:r w:rsid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o de e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xperiência</w:t>
      </w:r>
      <w:r w:rsid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têm o objetivo de </w:t>
      </w:r>
      <w:r w:rsidR="007A7087">
        <w:rPr>
          <w:rFonts w:ascii="Times New Roman" w:eastAsia="Times New Roman" w:hAnsi="Times New Roman" w:cs="Times New Roman"/>
          <w:color w:val="000000"/>
          <w:sz w:val="24"/>
          <w:szCs w:val="24"/>
        </w:rPr>
        <w:t>relatar as</w:t>
      </w:r>
      <w:r w:rsidR="004675B3" w:rsidRP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atividades desenvolvidas durante o estágio supervisionado em Nutrição em Saúde Coletiva, realizado em 2025 em um restaurante comunitário no Distrito Federal, com ênfase na aplicação de conhecimentos teóricos em práticas de Educação Alimentar e Nutricional (EAN).</w:t>
      </w:r>
      <w:r w:rsidRP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Métodos</w:t>
      </w:r>
      <w:r w:rsidR="004675B3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 metodologia</w:t>
      </w:r>
      <w:r w:rsidR="004675B3" w:rsidRP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A metodologia adotada foi a observação participante e execução de atividades práticas orientadas por diretrizes do Guia Alimentar para a População Brasileira (</w:t>
      </w:r>
      <w:r w:rsidR="002A68B7"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Gabe; Jaime, 2020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). As ações envolveram planejamento de cardápios, campanhas temáticas, oficinas culinárias, avaliação da aceitação alimentar, e gestão de serviços de alimentação, com foco em sustentabilidade, saúde e cultura alimentar.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7A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incluem a elaboração de cardápios saudáveis com base na sazonalidade, redução de ultraprocessados e valorização de alimentos regionais. Foram realizadas campanhas educativas sobre hidratação e prevenção da hipertensão arterial sistêmica, utilizando recursos visuais e degustações como estratégias de sensibilização (</w:t>
      </w:r>
      <w:r w:rsidR="00747342" w:rsidRPr="00747342">
        <w:rPr>
          <w:rFonts w:ascii="Times New Roman" w:eastAsia="Times New Roman" w:hAnsi="Times New Roman" w:cs="Times New Roman"/>
          <w:color w:val="000000"/>
          <w:sz w:val="24"/>
          <w:szCs w:val="24"/>
        </w:rPr>
        <w:t>Padrão; Aguiar, 2018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23B35"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Caballero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A62" w:rsidRPr="000A1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2024; Carvalho </w:t>
      </w:r>
      <w:r w:rsidR="000A1A62" w:rsidRPr="000A1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2020). Ações culturais, como a valorização dos alimentos do Cerrado e temáticas juninas, possibilitaram o fortalecimento do vínculo entre os usuários e o serviço, promovendo o resgate da cultura alimentar e o consumo consciente (</w:t>
      </w:r>
      <w:r w:rsidR="00A13E15"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>Bortolini</w:t>
      </w:r>
      <w:r w:rsidR="00A13E15" w:rsidRPr="000A1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A1A62" w:rsidRPr="000A1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2020; Silva </w:t>
      </w:r>
      <w:r w:rsidR="000A1A62" w:rsidRPr="000A1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2020; </w:t>
      </w:r>
      <w:r w:rsidR="002F41B3"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Santos; Recine, 2018;</w:t>
      </w:r>
      <w:r w:rsid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1B3"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Amparo-</w:t>
      </w:r>
      <w:r w:rsidR="002F41B3"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Santos; Diez-Garcia, 2021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). A gestão de estoque e análise de sobras limpas também foram monitoradas com foco na redução do desperdício (</w:t>
      </w:r>
      <w:r w:rsidR="00A62B07"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Silva; Guerra; Carnut, 2021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087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Conclusão/Considerações Finais: </w:t>
      </w:r>
      <w:r w:rsidR="000A1A62" w:rsidRP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>Conclui-se que o estágio contribuiu de forma significativa para a formação profissional, ao possibilitar a vivência de ações interdisciplinares e educativas em ambiente real, fortalecendo competências técnicas, éticas e humanas do nutricionista no contexto coletivo. As experiências vivenciadas reforçam a importância da EAN como eixo estruturante na promoção da saúde pública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FC6796" w14:textId="77777777" w:rsidR="002C098D" w:rsidRDefault="002C098D" w:rsidP="002C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056E2" w14:textId="602C0A92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1°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Estágio Curricular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2°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Alimentar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e Nutricional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3°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Promoção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23580" w14:textId="32BA4709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 w:history="1">
        <w:r w:rsidRPr="000B308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coachnew38@gmail.com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92F026" w14:textId="77777777" w:rsidR="00677010" w:rsidRDefault="00677010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6141E4" w14:textId="1A3C1CF3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Nutrição,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Brasilia- DF, </w:t>
      </w:r>
      <w:r w:rsidR="00677010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Estudante do curso de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 </w:t>
      </w:r>
      <w:r w:rsidR="00677010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do Centro Universitário Internacional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677010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UNINTER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="00677010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coachnew38@gmail.com</w:t>
        </w:r>
      </w:hyperlink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5D0612C" w14:textId="557ACADB" w:rsidR="002E339B" w:rsidRDefault="00677010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Nutrição, Brasilia- DF,</w:t>
      </w:r>
      <w:r w:rsidR="009C313B" w:rsidRPr="009C313B">
        <w:t xml:space="preserve"> </w:t>
      </w:r>
      <w:r w:rsidR="009C313B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Anhanguera de Brasília</w:t>
      </w:r>
      <w:r w:rsid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9C313B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FAB</w:t>
      </w:r>
      <w:r w:rsid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2E339B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kakadiasrodrigues@gmail.com</w:t>
        </w:r>
      </w:hyperlink>
      <w:r w:rsid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9FCA113" w14:textId="0F4B7487" w:rsidR="00677010" w:rsidRDefault="00677010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Nutrição, Brasilia- DF, 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Paulista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>- UNIP,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="00A52F52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natalicebarbosaandrade25@hotmail.com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D40B0DD" w14:textId="6113223E" w:rsidR="002E339B" w:rsidRDefault="002E339B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70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Nutrição, Brasilia- DF,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52F52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Anhanguera de Brasília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A52F52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FAB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2" w:history="1">
        <w:r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r.rsnutri@gmail.com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DDADB6D" w14:textId="5E0C7E16" w:rsidR="002E339B" w:rsidRDefault="002E339B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70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Nutrição,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São Paulo- SP,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da UNINTER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Orientadora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3" w:history="1">
        <w:r w:rsidR="00677010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ALINE.CE@uninter.com</w:t>
        </w:r>
      </w:hyperlink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852AD83" w14:textId="77777777" w:rsidR="00677010" w:rsidRDefault="00677010" w:rsidP="001E5263"/>
    <w:p w14:paraId="25F78AE1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0B6A98AF" w14:textId="5D72239D" w:rsidR="00677010" w:rsidRDefault="00FF07ED" w:rsidP="00D8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Inicialmente, é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destacar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papel do nutricionista em espaços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coletivos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além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refeições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envolve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ações educativas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voltadas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promoção da saúde e à valorização da cultura alimentar. Nesse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Nutrição em Saúde Coletiva desempenha papel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estratégico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sobretudo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ambientes públicos como os restaurantes comunitários</w:t>
      </w:r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8EB" w:rsidRPr="002F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(Bortolini </w:t>
      </w:r>
      <w:r w:rsidR="002F48EB" w:rsidRPr="002F4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2F48EB" w:rsidRPr="002F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2020).</w:t>
      </w:r>
      <w:r w:rsidR="002F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Tais espaços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representam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oportunidades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concretas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aplicação dos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princípios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Guia Alimentar para a População Brasileira, o qual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orienta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escolhas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alimentares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mais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saudáveis,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sustentáveis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culturalmente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adequadas</w:t>
      </w:r>
      <w:proofErr w:type="spellEnd"/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010" w:rsidRPr="006770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A68B7"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Gabe; Jaime, 2020</w:t>
      </w:r>
      <w:r w:rsidR="00677010" w:rsidRPr="0067701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0E929F2" w14:textId="415EBC7A" w:rsidR="00D7119A" w:rsidRPr="00FF07ED" w:rsidRDefault="00FF07ED" w:rsidP="00FF07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Por fim, as práticas de Educação Alimentar e Nutricional (EAN), quando realizadas de forma dialógica</w:t>
      </w:r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F07E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 contextualizada, fortalecem a autonomia dos indivíduos nas suas escolhas alimentares e promovem transformações nos padrões de consumo</w:t>
      </w:r>
      <w:r w:rsidRPr="00FF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48EB" w:rsidRPr="002F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(Carvalho </w:t>
      </w:r>
      <w:r w:rsidR="002F48EB" w:rsidRPr="002F4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2F48EB" w:rsidRPr="002F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2020; Domene </w:t>
      </w:r>
      <w:r w:rsidR="002F48EB" w:rsidRPr="002F4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2F48EB" w:rsidRPr="002F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</w:t>
      </w:r>
      <w:r w:rsidR="002F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255389" w14:textId="77777777" w:rsidR="002F48EB" w:rsidRDefault="002F48EB" w:rsidP="002F4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8C619C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78380228" w14:textId="504F0A13" w:rsidR="002F48EB" w:rsidRDefault="00FF07ED" w:rsidP="00D8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Para 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realização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deste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estudo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o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presente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trabalho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configura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-se como um relato de experiência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qualitativa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desenvolvido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âmbito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estágio supervisionado em Nutrição em Saúde Coletiva, realizado em um restaurante comunitário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localizado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Gama, Distrito Federal. As ações foram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norteadas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pelos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princípios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Sistema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Único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Saúde (SUS) e orientadas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pelo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Guia Alimentar para a População Brasileira</w:t>
      </w:r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A68B7" w:rsidRPr="002A68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Gabe; Jaime, 2020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F48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12242CB" w14:textId="0F3E2E13" w:rsidR="00D7119A" w:rsidRDefault="00FF07ED" w:rsidP="00D8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Visando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obtenção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dados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relevantes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 metodologia adotada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combinou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observação participante com 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realização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atividades práticas, tais como: planejamento de cardápios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baseados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sazonalidade 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utilização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alimentos regionais;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substituição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alimentos ultraprocessados; campanhas educativas; oficinas culinárias; análise da aceitação alimentar 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monitoramento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das sobras limpas</w:t>
      </w:r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23B35"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Domene</w:t>
      </w:r>
      <w:r w:rsidR="00623B35" w:rsidRPr="00D71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et al.,</w:t>
      </w:r>
      <w:r w:rsidR="00623B35" w:rsidRPr="00D71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A62B07"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Silva; Guerra; Carnut, 2021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14:paraId="74D32780" w14:textId="191515DB" w:rsidR="00D7119A" w:rsidRDefault="00FF07ED" w:rsidP="00D8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maneira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sistemática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as campanhas educativas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abordaram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temáticas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relevantes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comunidade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como </w:t>
      </w:r>
      <w:proofErr w:type="gram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importância da hidratação, prevenção da hipertensão arterial e valorização da cultura alimentar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típica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das festas juninas.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disso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foram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utilizados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materiais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visuais,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murais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informativos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degustações 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rodas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conversa,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buscando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sensibilizar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usuários sobre </w:t>
      </w:r>
      <w:proofErr w:type="gram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importância da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adoção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práticas alimentares saudáveis</w:t>
      </w:r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747342" w:rsidRPr="00747342">
        <w:rPr>
          <w:rFonts w:ascii="Times New Roman" w:eastAsia="Times New Roman" w:hAnsi="Times New Roman" w:cs="Times New Roman"/>
          <w:color w:val="000000"/>
          <w:sz w:val="24"/>
          <w:szCs w:val="24"/>
        </w:rPr>
        <w:t>Padrão; Aguiar, 2018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Caballero </w:t>
      </w:r>
      <w:r w:rsidR="00D7119A" w:rsidRPr="00D711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2024; Silva </w:t>
      </w:r>
      <w:r w:rsidR="00D7119A" w:rsidRPr="00D711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D7119A" w:rsidRPr="00D7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2020).</w:t>
      </w:r>
    </w:p>
    <w:p w14:paraId="190EC31C" w14:textId="77777777" w:rsidR="00EE5029" w:rsidRDefault="00EE5029" w:rsidP="00D8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E75D44C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5D456B18" w14:textId="2E100CFE" w:rsidR="002F48EB" w:rsidRDefault="00FF07ED" w:rsidP="00D8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Neste contexto, </w:t>
      </w:r>
      <w:proofErr w:type="gram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experiência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vivenciada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evidenciou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eficácia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das estratégias de Educação Alimentar e Nutricional no ambiente do restaurante comunitário. Por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exemplo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campanha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hidratação, que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contou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</w:t>
      </w:r>
      <w:proofErr w:type="gram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oferta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águas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saborizadas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materiais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educativos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teve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grande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adesão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por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parte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dos usuários,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contribuindo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substituição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bebidas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açucaradas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alinhando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-se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às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políticas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públicas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prevenção das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doenças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crônicas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não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transmissíveis</w:t>
      </w:r>
      <w:proofErr w:type="spellEnd"/>
      <w:r w:rsidRPr="00FF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(Caballero </w:t>
      </w:r>
      <w:r w:rsidR="000E4225" w:rsidRPr="000E42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2024; </w:t>
      </w:r>
      <w:r w:rsidR="00747342" w:rsidRPr="00747342">
        <w:rPr>
          <w:rFonts w:ascii="Times New Roman" w:eastAsia="Times New Roman" w:hAnsi="Times New Roman" w:cs="Times New Roman"/>
          <w:color w:val="000000"/>
          <w:sz w:val="24"/>
          <w:szCs w:val="24"/>
        </w:rPr>
        <w:t>Padrão; Aguiar, 2018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14:paraId="68DFA879" w14:textId="52EE9A5F" w:rsidR="000E4225" w:rsidRDefault="00EE5029" w:rsidP="00D8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 que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tange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à hipertensão arterial, foram realizadas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aferições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pressão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arterial,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distribuição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sal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ervas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alternativa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ao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sal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comum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palestras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interativas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que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promoveram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conscientização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sobre </w:t>
      </w:r>
      <w:proofErr w:type="gram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importância da redução do consumo de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sódio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abordagem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participativa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prática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favoreceu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engajamento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dos usuários e o fortalecimento do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autocuidado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(Carvalho </w:t>
      </w:r>
      <w:r w:rsidR="000E4225" w:rsidRPr="000E42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2020; Silva </w:t>
      </w:r>
      <w:r w:rsidR="000E4225" w:rsidRPr="000E42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2020).</w:t>
      </w:r>
    </w:p>
    <w:p w14:paraId="641CAF93" w14:textId="4569B4BA" w:rsidR="001E5263" w:rsidRPr="00EE5029" w:rsidRDefault="00EE5029" w:rsidP="00EE50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aspecto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relevante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foi a valorização da cultura alimentar local,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evidenciada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ações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comemorativas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realizadas durante o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aniversário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Brasília e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festas juninas. As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receitas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adaptadas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alimentos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típicos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Cerrado foram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bem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recebidas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pelos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usuários,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incentivando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resgate de práticas alimentares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tradicionais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 valorização dos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ingredientes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regionais,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elementos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fundamentais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 sustentabilidade alimentar e </w:t>
      </w:r>
      <w:proofErr w:type="gram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identidade</w:t>
      </w:r>
      <w:proofErr w:type="spellEnd"/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cultural</w:t>
      </w:r>
      <w:r w:rsidRPr="00EE5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921A7"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Santos; Recine, 2018;</w:t>
      </w:r>
      <w:r w:rsidR="002921A7"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1A7"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Amparo-Santos; Diez-Garcia, 2021</w:t>
      </w:r>
      <w:r w:rsidR="000E4225" w:rsidRPr="000E4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14:paraId="3B889057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CONCLUSÃO/CONSIDERAÇÕES FINAIS</w:t>
      </w:r>
    </w:p>
    <w:p w14:paraId="56364E6B" w14:textId="3FF94046" w:rsidR="00EE5029" w:rsidRDefault="00F4495A" w:rsidP="002F4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suma,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estágio realizado no Restaurante Comunitário do Gama foi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uma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etapa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fundamental para a formação profissional,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proporcionando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vivência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prática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desafios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das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potencialidades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Nutrição em Saúde Coletiva. </w:t>
      </w:r>
      <w:r w:rsidR="00FF07ED"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FF07ED"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acordo</w:t>
      </w:r>
      <w:proofErr w:type="spellEnd"/>
      <w:r w:rsidR="00FF07ED" w:rsidRP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</w:t>
      </w:r>
      <w:r w:rsid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F07E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integração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teoria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prática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evidenciou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importância das ações educativas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contínuas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sejam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sensíveis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realidade local e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pautadas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diretrizes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nacionais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vigentes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E5B950" w14:textId="5CDF740E" w:rsidR="002F48EB" w:rsidRDefault="00F4495A" w:rsidP="002F4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proofErr w:type="spellStart"/>
      <w:r w:rsidRPr="00F4495A">
        <w:rPr>
          <w:rFonts w:ascii="Times New Roman" w:eastAsia="Times New Roman" w:hAnsi="Times New Roman" w:cs="Times New Roman"/>
          <w:color w:val="000000"/>
          <w:sz w:val="24"/>
          <w:szCs w:val="24"/>
        </w:rPr>
        <w:t>Ademais</w:t>
      </w:r>
      <w:proofErr w:type="spellEnd"/>
      <w:r w:rsidRPr="00F449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atividades desenvolvidas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reforçaram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papel do nutricionista como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agente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transformação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social,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capaz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promover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saúde,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cidadania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sustentabilidade alimentar. O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contato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direto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comunidade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contribuiu para o fortalecimento de competências técnicas, humanas e éticas,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essenciais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formação de um profissional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comprometido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saúde pública e com o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direito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>humano</w:t>
      </w:r>
      <w:proofErr w:type="spellEnd"/>
      <w:r w:rsidR="00EE5029" w:rsidRPr="00EE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alimentação adequada</w:t>
      </w:r>
      <w:r w:rsidR="002F48EB" w:rsidRPr="002F48E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524DC69A" w14:textId="77777777" w:rsidR="00D83F27" w:rsidRDefault="00D83F27" w:rsidP="002F4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2808A5" w14:textId="2A03C0AC" w:rsidR="002A68B7" w:rsidRPr="002A68B7" w:rsidRDefault="001E5263" w:rsidP="00D83F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79E09840" w14:textId="421BCF90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AMPARO-SANTOS, Lígia; DIEZ-GARCIA, Rosa Wanda. </w:t>
      </w:r>
      <w:r w:rsidRPr="002F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Tessituras entre a Política Nacional de Alimentação e Nutrição e </w:t>
      </w:r>
      <w:proofErr w:type="gramStart"/>
      <w:r w:rsidRPr="002F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2F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educação</w:t>
      </w:r>
      <w:proofErr w:type="spellEnd"/>
      <w:r w:rsidRPr="002F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alimentar e </w:t>
      </w:r>
      <w:proofErr w:type="spellStart"/>
      <w:r w:rsidRPr="002F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nutricional</w:t>
      </w:r>
      <w:proofErr w:type="spellEnd"/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4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Cadernos</w:t>
      </w:r>
      <w:proofErr w:type="spellEnd"/>
      <w:r w:rsidRPr="002F4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Saúde Pública</w:t>
      </w:r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Rio de Janeiro, v. 37, </w:t>
      </w:r>
      <w:proofErr w:type="spellStart"/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supl</w:t>
      </w:r>
      <w:proofErr w:type="spellEnd"/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. 1, p. e00077621, 2021.</w:t>
      </w:r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4" w:tgtFrame="_new" w:history="1">
        <w:r w:rsidRPr="002F41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https://www.scielosp.org/article/csp/2021.v37suppl1/e00077621/</w:t>
        </w:r>
      </w:hyperlink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2 ago. 2025.</w:t>
      </w:r>
      <w:r w:rsidR="00D83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DOI: </w:t>
      </w:r>
      <w:hyperlink r:id="rId15" w:tgtFrame="_new" w:history="1">
        <w:r w:rsidRPr="002F41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https://doi.org/10.1590/0102-311X00077621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03EAD2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DC843" w14:textId="75D78873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BORTOLINI, Gisele Ane et al. Ações de alimentação e </w:t>
      </w:r>
      <w:proofErr w:type="spellStart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</w:t>
      </w:r>
      <w:proofErr w:type="spellEnd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>atenção</w:t>
      </w:r>
      <w:proofErr w:type="spellEnd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>primária</w:t>
      </w:r>
      <w:proofErr w:type="spellEnd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saúde no Brasil. </w:t>
      </w:r>
      <w:proofErr w:type="spellStart"/>
      <w:r w:rsidRPr="00292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Revista</w:t>
      </w:r>
      <w:proofErr w:type="spellEnd"/>
      <w:r w:rsidRPr="00292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Panamericana de Salud Pública</w:t>
      </w:r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>, v. 44, p. e39, 2020. DOI: 10.26633/RPSP.2020.39.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</w:t>
      </w:r>
      <w:r w:rsidR="00D83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D83F27" w:rsidRPr="000B30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https://www.scielosp.org/article/rpsp/2020.v44/e39/</w:t>
        </w:r>
      </w:hyperlink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292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4D6B84D1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8734E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CABALLERO, Diego J.; TELIS, María Sol; et al.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Educación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alimentaria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nutricional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través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del juego: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una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revisión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sistemática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Actualización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Nutrición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25, n. 1, p. </w:t>
      </w:r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103</w:t>
      </w:r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110, 2024. DOI: 10.48061/SAN.2024.25.1.9.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7" w:tgtFrame="_new" w:history="1">
        <w:r w:rsidRPr="00623B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https://www.researchgate.net/publication/379538231_EDUCACION_ALIMENTARIA_NUTRICIONAL_A_TRAVES_DEL_JUEGO_UNA_REVISION_SISTEMATICA/</w:t>
        </w:r>
      </w:hyperlink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206DD380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93F4A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SILVA, Bruna Nascimento; DA SILVA GUERRA, Lúcia Dias; CARNUT, Leonardo.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Efetividade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direito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alimentação: o que a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produção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científica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áreas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direito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saúde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coletiva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possibilitam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compreender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A62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Revista</w:t>
      </w:r>
      <w:proofErr w:type="spellEnd"/>
      <w:r w:rsidRPr="00A62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A62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Direito</w:t>
      </w:r>
      <w:proofErr w:type="spellEnd"/>
      <w:r w:rsidRPr="00A62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Sanitário</w:t>
      </w:r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21, 2021. DOI: 10.11606/issn.2316-9044.rdisan.2021.161394.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8" w:tgtFrame="_new" w:history="1">
        <w:r w:rsidRPr="00A62B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https://revistas.usp.br/rdisan/article/view/161394</w:t>
        </w:r>
      </w:hyperlink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A62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2AAA1F6C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BDE52D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DOMENE, Semíramis Martins Álvares et al.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Segurança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alimentar: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reflexões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um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complexo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Estudos</w:t>
      </w:r>
      <w:proofErr w:type="spellEnd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3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Avançados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(online), </w:t>
      </w:r>
      <w:r w:rsidRPr="0062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 37</w:t>
      </w:r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n. 109</w:t>
      </w:r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, p. 181</w:t>
      </w:r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206, 2023. DOI: 10.1590/s0103-4014.2023.37109.012.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9" w:tgtFrame="_new" w:history="1">
        <w:r w:rsidRPr="00623B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https://www.scielo.br/j/ea/a/fWcBkcLhN577MztGLnddSDn/</w:t>
        </w:r>
      </w:hyperlink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623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D933F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DF3BF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FONSECA, Vania Matos et al. </w:t>
      </w:r>
      <w:proofErr w:type="spellStart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Contribuição</w:t>
      </w:r>
      <w:proofErr w:type="spellEnd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>Revista</w:t>
      </w:r>
      <w:proofErr w:type="spellEnd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>Ciência</w:t>
      </w:r>
      <w:proofErr w:type="spellEnd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Saúde Coletiva para a </w:t>
      </w:r>
      <w:proofErr w:type="spellStart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>área</w:t>
      </w:r>
      <w:proofErr w:type="spellEnd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Alimentação e Nutrição no Brasil. </w:t>
      </w:r>
      <w:proofErr w:type="spellStart"/>
      <w:r w:rsidRPr="00A13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Ciência</w:t>
      </w:r>
      <w:proofErr w:type="spellEnd"/>
      <w:r w:rsidRPr="00A13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&amp; Saúde Coletiva</w:t>
      </w:r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25, p. 4863-4874, 2020. DOI: 10.1590/1413-812320202512.16732020. </w:t>
      </w:r>
      <w:proofErr w:type="spellStart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20" w:tgtFrame="_new" w:history="1">
        <w:r w:rsidRPr="00A13E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https://www.scielo.br/j/csc/a/hHksDGDfC8vSHC5pJZ4YL3D/</w:t>
        </w:r>
      </w:hyperlink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A1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4FA3DC2D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CBEBA" w14:textId="77777777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GABE, Kamila Tiemann; JAIME, Patricia Constante. Práticas alimentares </w:t>
      </w:r>
      <w:proofErr w:type="spellStart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segundo</w:t>
      </w:r>
      <w:proofErr w:type="spellEnd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Guia Alimentar para a População Brasileira: </w:t>
      </w:r>
      <w:proofErr w:type="spellStart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fatores</w:t>
      </w:r>
      <w:proofErr w:type="spellEnd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proofErr w:type="spellEnd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</w:t>
      </w:r>
      <w:proofErr w:type="spellStart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brasileiros</w:t>
      </w:r>
      <w:proofErr w:type="spellEnd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adultos</w:t>
      </w:r>
      <w:proofErr w:type="spellEnd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</w:t>
      </w:r>
      <w:proofErr w:type="spellStart"/>
      <w:r w:rsidRPr="002A68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Epidemiologia</w:t>
      </w:r>
      <w:proofErr w:type="spellEnd"/>
      <w:r w:rsidRPr="002A68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 Serviços de Saúde</w:t>
      </w:r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29, p. e2019045, 2020. DOI: 10.5123/S1679-49742020000100019. </w:t>
      </w:r>
      <w:proofErr w:type="spellStart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21" w:tgtFrame="_new" w:history="1">
        <w:r w:rsidRPr="002A68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https://www.scielosp.org/article/ress/2020.v29n1/e2019045/</w:t>
        </w:r>
      </w:hyperlink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2A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55B208AD" w14:textId="4FF5B513" w:rsidR="002A68B7" w:rsidRDefault="002A68B7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A68B7" w:rsidSect="00034616">
      <w:head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5B74" w14:textId="77777777" w:rsidR="006B6E57" w:rsidRDefault="006B6E57">
      <w:pPr>
        <w:spacing w:after="0" w:line="240" w:lineRule="auto"/>
      </w:pPr>
      <w:r>
        <w:separator/>
      </w:r>
    </w:p>
  </w:endnote>
  <w:endnote w:type="continuationSeparator" w:id="0">
    <w:p w14:paraId="333116CE" w14:textId="77777777" w:rsidR="006B6E57" w:rsidRDefault="006B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E87B" w14:textId="77777777" w:rsidR="006B6E57" w:rsidRDefault="006B6E57">
      <w:pPr>
        <w:spacing w:after="0" w:line="240" w:lineRule="auto"/>
      </w:pPr>
      <w:r>
        <w:separator/>
      </w:r>
    </w:p>
  </w:footnote>
  <w:footnote w:type="continuationSeparator" w:id="0">
    <w:p w14:paraId="11AF4F4C" w14:textId="77777777" w:rsidR="006B6E57" w:rsidRDefault="006B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0D6B" w14:textId="77777777" w:rsidR="00492845" w:rsidRDefault="00000000">
    <w:pPr>
      <w:pStyle w:val="Cabealho"/>
      <w:jc w:val="center"/>
    </w:pPr>
    <w:r>
      <w:rPr>
        <w:noProof/>
      </w:rPr>
      <w:drawing>
        <wp:inline distT="0" distB="0" distL="0" distR="0" wp14:anchorId="6808D497" wp14:editId="5A633732">
          <wp:extent cx="2505075" cy="2650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_water_resized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917" cy="267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3935607">
    <w:abstractNumId w:val="8"/>
  </w:num>
  <w:num w:numId="2" w16cid:durableId="1585651283">
    <w:abstractNumId w:val="6"/>
  </w:num>
  <w:num w:numId="3" w16cid:durableId="839197773">
    <w:abstractNumId w:val="5"/>
  </w:num>
  <w:num w:numId="4" w16cid:durableId="1218977295">
    <w:abstractNumId w:val="4"/>
  </w:num>
  <w:num w:numId="5" w16cid:durableId="1013723026">
    <w:abstractNumId w:val="7"/>
  </w:num>
  <w:num w:numId="6" w16cid:durableId="1097822526">
    <w:abstractNumId w:val="3"/>
  </w:num>
  <w:num w:numId="7" w16cid:durableId="1479957421">
    <w:abstractNumId w:val="2"/>
  </w:num>
  <w:num w:numId="8" w16cid:durableId="560795842">
    <w:abstractNumId w:val="1"/>
  </w:num>
  <w:num w:numId="9" w16cid:durableId="156221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1A62"/>
    <w:rsid w:val="000E4225"/>
    <w:rsid w:val="0015074B"/>
    <w:rsid w:val="001E5263"/>
    <w:rsid w:val="002921A7"/>
    <w:rsid w:val="0029639D"/>
    <w:rsid w:val="002A68B7"/>
    <w:rsid w:val="002C098D"/>
    <w:rsid w:val="002E339B"/>
    <w:rsid w:val="002F41B3"/>
    <w:rsid w:val="002F48EB"/>
    <w:rsid w:val="00326F90"/>
    <w:rsid w:val="00387EA3"/>
    <w:rsid w:val="004675B3"/>
    <w:rsid w:val="00492845"/>
    <w:rsid w:val="00623B35"/>
    <w:rsid w:val="00677010"/>
    <w:rsid w:val="006B6E57"/>
    <w:rsid w:val="00747342"/>
    <w:rsid w:val="007A7087"/>
    <w:rsid w:val="007C4FA5"/>
    <w:rsid w:val="009C313B"/>
    <w:rsid w:val="00A13E15"/>
    <w:rsid w:val="00A52F52"/>
    <w:rsid w:val="00A62B07"/>
    <w:rsid w:val="00AA1D8D"/>
    <w:rsid w:val="00B47730"/>
    <w:rsid w:val="00CB0664"/>
    <w:rsid w:val="00D7119A"/>
    <w:rsid w:val="00D83F27"/>
    <w:rsid w:val="00EE5029"/>
    <w:rsid w:val="00F03738"/>
    <w:rsid w:val="00F4495A"/>
    <w:rsid w:val="00FC693F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B71B3"/>
  <w14:defaultImageDpi w14:val="300"/>
  <w15:docId w15:val="{95872EFA-DD39-47BF-A9B4-D5253735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1E52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new38@gmail.com" TargetMode="External"/><Relationship Id="rId13" Type="http://schemas.openxmlformats.org/officeDocument/2006/relationships/hyperlink" Target="mailto:ALINE.CE@uninter.com" TargetMode="External"/><Relationship Id="rId18" Type="http://schemas.openxmlformats.org/officeDocument/2006/relationships/hyperlink" Target="https://revistas.usp.br/rdisan/article/view/1613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losp.org/article/ress/2020.v29n1/e2019045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.rsnutri@gmail.com" TargetMode="External"/><Relationship Id="rId17" Type="http://schemas.openxmlformats.org/officeDocument/2006/relationships/hyperlink" Target="https://www.researchgate.net/publication/379538231_EDUCACION_ALIMENTARIA_NUTRICIONAL_A_TRAVES_DEL_JUEGO_UNA_REVISION_SISTEMAT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losp.org/article/rpsp/2020.v44/e39/" TargetMode="External"/><Relationship Id="rId20" Type="http://schemas.openxmlformats.org/officeDocument/2006/relationships/hyperlink" Target="https://www.scielo.br/j/csc/a/hHksDGDfC8vSHC5pJZ4YL3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cebarbosaandrade25@hot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90/0102-311X0007762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kadiasrodrigues@gmail.com" TargetMode="External"/><Relationship Id="rId19" Type="http://schemas.openxmlformats.org/officeDocument/2006/relationships/hyperlink" Target="https://www.scielo.br/j/ea/a/fWcBkcLhN577MztGLnddSD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achnew38@gmail.com" TargetMode="External"/><Relationship Id="rId14" Type="http://schemas.openxmlformats.org/officeDocument/2006/relationships/hyperlink" Target="https://www.scielosp.org/article/csp/2021.v37suppl1/e00077621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1801</Words>
  <Characters>9728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Minato J</cp:lastModifiedBy>
  <cp:revision>4</cp:revision>
  <dcterms:created xsi:type="dcterms:W3CDTF">2025-08-02T23:22:00Z</dcterms:created>
  <dcterms:modified xsi:type="dcterms:W3CDTF">2025-08-02T23:45:00Z</dcterms:modified>
  <cp:category/>
</cp:coreProperties>
</file>