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80A64" w14:textId="7C514625" w:rsidR="00C95865" w:rsidRDefault="007C2B1C">
      <w:pPr>
        <w:pStyle w:val="Ttulo"/>
        <w:rPr>
          <w:i w:val="0"/>
        </w:rPr>
      </w:pPr>
      <w:r w:rsidRPr="007C2B1C">
        <w:t>A WATER-ENERGY-FOOD NEXUS APPROACH FOR SUSTAINABILITY IN NEGLECTED COLOMBIA</w:t>
      </w:r>
    </w:p>
    <w:p w14:paraId="6B73928A" w14:textId="18B1266B" w:rsidR="007C2B1C" w:rsidRDefault="007C2B1C" w:rsidP="007C2B1C">
      <w:pPr>
        <w:pStyle w:val="Textoindependiente"/>
        <w:spacing w:before="2"/>
        <w:ind w:left="112"/>
        <w:rPr>
          <w:sz w:val="24"/>
        </w:rPr>
      </w:pPr>
    </w:p>
    <w:p w14:paraId="4BC9ADD8" w14:textId="54FCF6F2" w:rsidR="00C95865" w:rsidRDefault="00C95865">
      <w:pPr>
        <w:pStyle w:val="Textoindependiente"/>
        <w:rPr>
          <w:sz w:val="24"/>
        </w:rPr>
      </w:pPr>
    </w:p>
    <w:p w14:paraId="131F1F19" w14:textId="77777777" w:rsidR="00C95865" w:rsidRDefault="00C95865">
      <w:pPr>
        <w:pStyle w:val="Textoindependiente"/>
        <w:rPr>
          <w:sz w:val="24"/>
        </w:rPr>
      </w:pPr>
    </w:p>
    <w:p w14:paraId="2BF8BD94" w14:textId="77777777" w:rsidR="00C95865" w:rsidRDefault="00C95865">
      <w:pPr>
        <w:pStyle w:val="Textoindependiente"/>
        <w:spacing w:before="10"/>
        <w:rPr>
          <w:sz w:val="23"/>
        </w:rPr>
      </w:pPr>
    </w:p>
    <w:p w14:paraId="48934C61" w14:textId="77777777" w:rsidR="007C6D41" w:rsidRDefault="007C6D41">
      <w:pPr>
        <w:pStyle w:val="Textoindependiente"/>
        <w:spacing w:before="1"/>
        <w:ind w:left="112" w:right="103" w:firstLine="64"/>
        <w:jc w:val="right"/>
        <w:rPr>
          <w:lang w:val="es-CO"/>
        </w:rPr>
      </w:pPr>
    </w:p>
    <w:p w14:paraId="75407F5F" w14:textId="77777777" w:rsidR="007C6D41" w:rsidRDefault="007C6D41">
      <w:pPr>
        <w:pStyle w:val="Textoindependiente"/>
        <w:spacing w:before="1"/>
        <w:ind w:left="112" w:right="103" w:firstLine="64"/>
        <w:jc w:val="right"/>
        <w:rPr>
          <w:lang w:val="es-CO"/>
        </w:rPr>
      </w:pPr>
    </w:p>
    <w:p w14:paraId="6CD4A73A" w14:textId="77777777" w:rsidR="007C6D41" w:rsidRDefault="007C6D41">
      <w:pPr>
        <w:pStyle w:val="Textoindependiente"/>
        <w:spacing w:before="1"/>
        <w:ind w:left="112" w:right="103" w:firstLine="64"/>
        <w:jc w:val="right"/>
        <w:rPr>
          <w:lang w:val="es-CO"/>
        </w:rPr>
      </w:pPr>
    </w:p>
    <w:p w14:paraId="35B758CC" w14:textId="77777777" w:rsidR="007C6D41" w:rsidRDefault="007C6D41">
      <w:pPr>
        <w:pStyle w:val="Textoindependiente"/>
        <w:spacing w:before="1"/>
        <w:ind w:left="112" w:right="103" w:firstLine="64"/>
        <w:jc w:val="right"/>
        <w:rPr>
          <w:lang w:val="es-CO"/>
        </w:rPr>
      </w:pPr>
    </w:p>
    <w:p w14:paraId="18CE809B" w14:textId="77777777" w:rsidR="007C6D41" w:rsidRDefault="007C6D41">
      <w:pPr>
        <w:pStyle w:val="Textoindependiente"/>
        <w:spacing w:before="1"/>
        <w:ind w:left="112" w:right="103" w:firstLine="64"/>
        <w:jc w:val="right"/>
        <w:rPr>
          <w:lang w:val="es-CO"/>
        </w:rPr>
      </w:pPr>
    </w:p>
    <w:p w14:paraId="3A816FC5" w14:textId="77777777" w:rsidR="007C6D41" w:rsidRDefault="007C6D41">
      <w:pPr>
        <w:pStyle w:val="Textoindependiente"/>
        <w:spacing w:before="1"/>
        <w:ind w:left="112" w:right="103" w:firstLine="64"/>
        <w:jc w:val="right"/>
        <w:rPr>
          <w:lang w:val="es-CO"/>
        </w:rPr>
      </w:pPr>
    </w:p>
    <w:p w14:paraId="56923BBB" w14:textId="77777777" w:rsidR="005E27A8" w:rsidRDefault="005E27A8">
      <w:pPr>
        <w:pStyle w:val="Textoindependiente"/>
        <w:spacing w:before="1"/>
        <w:ind w:left="112" w:right="103" w:firstLine="64"/>
        <w:jc w:val="right"/>
        <w:rPr>
          <w:lang w:val="es-CO"/>
        </w:rPr>
      </w:pPr>
    </w:p>
    <w:p w14:paraId="5279A0A3" w14:textId="77777777" w:rsidR="005E27A8" w:rsidRDefault="005E27A8">
      <w:pPr>
        <w:pStyle w:val="Textoindependiente"/>
        <w:spacing w:before="1"/>
        <w:ind w:left="112" w:right="103" w:firstLine="64"/>
        <w:jc w:val="right"/>
        <w:rPr>
          <w:lang w:val="es-CO"/>
        </w:rPr>
      </w:pPr>
    </w:p>
    <w:p w14:paraId="52E70BB6" w14:textId="77777777" w:rsidR="005E27A8" w:rsidRDefault="005E27A8">
      <w:pPr>
        <w:pStyle w:val="Textoindependiente"/>
        <w:spacing w:before="1"/>
        <w:ind w:left="112" w:right="103" w:firstLine="64"/>
        <w:jc w:val="right"/>
        <w:rPr>
          <w:lang w:val="es-CO"/>
        </w:rPr>
      </w:pPr>
    </w:p>
    <w:p w14:paraId="4CC2F03A" w14:textId="77777777" w:rsidR="005E27A8" w:rsidRDefault="005E27A8">
      <w:pPr>
        <w:pStyle w:val="Textoindependiente"/>
        <w:spacing w:before="1"/>
        <w:ind w:left="112" w:right="103" w:firstLine="64"/>
        <w:jc w:val="right"/>
        <w:rPr>
          <w:lang w:val="es-CO"/>
        </w:rPr>
      </w:pPr>
    </w:p>
    <w:p w14:paraId="66557BF3" w14:textId="77777777" w:rsidR="005E27A8" w:rsidRDefault="005E27A8">
      <w:pPr>
        <w:pStyle w:val="Textoindependiente"/>
        <w:spacing w:before="1"/>
        <w:ind w:left="112" w:right="103" w:firstLine="64"/>
        <w:jc w:val="right"/>
        <w:rPr>
          <w:lang w:val="es-CO"/>
        </w:rPr>
      </w:pPr>
    </w:p>
    <w:p w14:paraId="0A3466F3" w14:textId="77777777" w:rsidR="005E27A8" w:rsidRDefault="005E27A8">
      <w:pPr>
        <w:pStyle w:val="Textoindependiente"/>
        <w:spacing w:before="1"/>
        <w:ind w:left="112" w:right="103" w:firstLine="64"/>
        <w:jc w:val="right"/>
        <w:rPr>
          <w:lang w:val="es-CO"/>
        </w:rPr>
      </w:pPr>
    </w:p>
    <w:p w14:paraId="6C4A2BCD" w14:textId="77777777" w:rsidR="005E27A8" w:rsidRDefault="005E27A8">
      <w:pPr>
        <w:pStyle w:val="Textoindependiente"/>
        <w:spacing w:before="1"/>
        <w:ind w:left="112" w:right="103" w:firstLine="64"/>
        <w:jc w:val="right"/>
        <w:rPr>
          <w:lang w:val="es-CO"/>
        </w:rPr>
      </w:pPr>
    </w:p>
    <w:p w14:paraId="008D92CA" w14:textId="1F146B1A" w:rsidR="00C95865" w:rsidRDefault="007C6D41">
      <w:pPr>
        <w:pStyle w:val="Textoindependiente"/>
        <w:spacing w:before="1"/>
        <w:ind w:left="112" w:right="103" w:firstLine="64"/>
        <w:jc w:val="right"/>
        <w:rPr>
          <w:lang w:val="es-CO"/>
        </w:rPr>
      </w:pPr>
      <w:r w:rsidRPr="007C6D41">
        <w:rPr>
          <w:lang w:val="es-CO"/>
        </w:rPr>
        <w:t>Monica Castaneda</w:t>
      </w:r>
      <w:r w:rsidR="00000000" w:rsidRPr="007C6D41">
        <w:rPr>
          <w:lang w:val="es-CO"/>
        </w:rPr>
        <w:t xml:space="preserve">, </w:t>
      </w:r>
      <w:r w:rsidRPr="007C6D41">
        <w:rPr>
          <w:lang w:val="es-CO"/>
        </w:rPr>
        <w:t>Pontificia Universidad Católica de Valparaíso</w:t>
      </w:r>
      <w:r w:rsidR="00000000" w:rsidRPr="007C6D41">
        <w:rPr>
          <w:lang w:val="es-CO"/>
        </w:rPr>
        <w:t xml:space="preserve">, </w:t>
      </w:r>
      <w:r w:rsidRPr="007C6D41">
        <w:rPr>
          <w:lang w:val="es-CO"/>
        </w:rPr>
        <w:t>monica.castaneda.pucv.cl</w:t>
      </w:r>
      <w:r w:rsidR="00000000" w:rsidRPr="007C6D41">
        <w:rPr>
          <w:w w:val="99"/>
          <w:lang w:val="es-CO"/>
        </w:rPr>
        <w:t xml:space="preserve"> </w:t>
      </w:r>
      <w:r w:rsidRPr="007C6D41">
        <w:rPr>
          <w:lang w:val="es-CO"/>
        </w:rPr>
        <w:t xml:space="preserve">Isaac </w:t>
      </w:r>
      <w:proofErr w:type="spellStart"/>
      <w:r w:rsidRPr="007C6D41">
        <w:rPr>
          <w:lang w:val="es-CO"/>
        </w:rPr>
        <w:t>Dyner</w:t>
      </w:r>
      <w:proofErr w:type="spellEnd"/>
      <w:r w:rsidR="00000000" w:rsidRPr="007C6D41">
        <w:rPr>
          <w:lang w:val="es-CO"/>
        </w:rPr>
        <w:t xml:space="preserve">, </w:t>
      </w:r>
      <w:r w:rsidRPr="007C6D41">
        <w:rPr>
          <w:lang w:val="es-CO"/>
        </w:rPr>
        <w:t>Universidad Jorge Tadeo Lozano</w:t>
      </w:r>
      <w:r w:rsidR="00000000" w:rsidRPr="007C6D41">
        <w:rPr>
          <w:lang w:val="es-CO"/>
        </w:rPr>
        <w:t xml:space="preserve">, </w:t>
      </w:r>
      <w:r w:rsidRPr="007C6D41">
        <w:rPr>
          <w:lang w:val="es-CO"/>
        </w:rPr>
        <w:t>isaac.dynerr@utadeo.edu.co</w:t>
      </w:r>
    </w:p>
    <w:p w14:paraId="2F4F5A26" w14:textId="1076F72C" w:rsidR="005E27A8" w:rsidRDefault="007C6D41">
      <w:pPr>
        <w:pStyle w:val="Textoindependiente"/>
        <w:spacing w:before="1"/>
        <w:ind w:left="112" w:right="103" w:firstLine="64"/>
        <w:jc w:val="right"/>
        <w:rPr>
          <w:lang w:val="es-CO"/>
        </w:rPr>
      </w:pPr>
      <w:r>
        <w:rPr>
          <w:lang w:val="es-CO"/>
        </w:rPr>
        <w:t xml:space="preserve">Andres </w:t>
      </w:r>
      <w:r w:rsidR="005E27A8">
        <w:rPr>
          <w:lang w:val="es-CO"/>
        </w:rPr>
        <w:t xml:space="preserve">Julian </w:t>
      </w:r>
      <w:r>
        <w:rPr>
          <w:lang w:val="es-CO"/>
        </w:rPr>
        <w:t xml:space="preserve">Aristizabal, </w:t>
      </w:r>
      <w:r w:rsidRPr="007C6D41">
        <w:rPr>
          <w:lang w:val="es-CO"/>
        </w:rPr>
        <w:t xml:space="preserve">Universidad Jorge Tadeo Lozano, </w:t>
      </w:r>
      <w:r w:rsidR="005E27A8" w:rsidRPr="005E27A8">
        <w:rPr>
          <w:lang w:val="es-CO"/>
        </w:rPr>
        <w:t>andresj.aristizabalc@utadeo.edu.co</w:t>
      </w:r>
    </w:p>
    <w:p w14:paraId="516F8952" w14:textId="4EFAE712" w:rsidR="005E27A8" w:rsidRPr="007C6D41" w:rsidRDefault="005E27A8" w:rsidP="005E27A8">
      <w:pPr>
        <w:pStyle w:val="Textoindependiente"/>
        <w:spacing w:before="1"/>
        <w:ind w:left="112" w:right="103" w:firstLine="64"/>
        <w:jc w:val="right"/>
        <w:rPr>
          <w:sz w:val="22"/>
          <w:lang w:val="es-CO"/>
        </w:rPr>
      </w:pPr>
      <w:r>
        <w:rPr>
          <w:lang w:val="es-CO"/>
        </w:rPr>
        <w:t>Luis Alejandro Arias</w:t>
      </w:r>
      <w:r>
        <w:rPr>
          <w:lang w:val="es-CO"/>
        </w:rPr>
        <w:t xml:space="preserve">, </w:t>
      </w:r>
      <w:r w:rsidRPr="007C6D41">
        <w:rPr>
          <w:lang w:val="es-CO"/>
        </w:rPr>
        <w:t>Universidad Jorge Tadeo</w:t>
      </w:r>
      <w:r>
        <w:rPr>
          <w:lang w:val="es-CO"/>
        </w:rPr>
        <w:t xml:space="preserve"> </w:t>
      </w:r>
      <w:r w:rsidRPr="007C6D41">
        <w:rPr>
          <w:lang w:val="es-CO"/>
        </w:rPr>
        <w:t xml:space="preserve">Lozano, </w:t>
      </w:r>
      <w:r w:rsidRPr="005E27A8">
        <w:rPr>
          <w:lang w:val="es-CO"/>
        </w:rPr>
        <w:t>luis.arias@utadeo.edu.co</w:t>
      </w:r>
      <w:r>
        <w:rPr>
          <w:lang w:val="es-CO"/>
        </w:rPr>
        <w:t xml:space="preserve"> </w:t>
      </w:r>
    </w:p>
    <w:p w14:paraId="63B002DC" w14:textId="2F06B4B5" w:rsidR="007C6D41" w:rsidRPr="007C6D41" w:rsidRDefault="007C6D41">
      <w:pPr>
        <w:pStyle w:val="Textoindependiente"/>
        <w:spacing w:before="1"/>
        <w:ind w:left="112" w:right="103" w:firstLine="64"/>
        <w:jc w:val="right"/>
        <w:rPr>
          <w:sz w:val="22"/>
          <w:lang w:val="es-CO"/>
        </w:rPr>
      </w:pPr>
      <w:hyperlink r:id="rId6" w:history="1"/>
      <w:r>
        <w:rPr>
          <w:lang w:val="es-CO"/>
        </w:rPr>
        <w:t xml:space="preserve"> </w:t>
      </w:r>
    </w:p>
    <w:p w14:paraId="5244EF74" w14:textId="77777777" w:rsidR="00C95865" w:rsidRPr="007C6D41" w:rsidRDefault="00C95865">
      <w:pPr>
        <w:jc w:val="right"/>
        <w:rPr>
          <w:lang w:val="es-CO"/>
        </w:rPr>
        <w:sectPr w:rsidR="00C95865" w:rsidRPr="007C6D41" w:rsidSect="008B05EB">
          <w:type w:val="continuous"/>
          <w:pgSz w:w="12240" w:h="15840"/>
          <w:pgMar w:top="1240" w:right="620" w:bottom="280" w:left="600" w:header="720" w:footer="720" w:gutter="0"/>
          <w:cols w:num="2" w:space="720" w:equalWidth="0">
            <w:col w:w="6778" w:space="49"/>
            <w:col w:w="4193"/>
          </w:cols>
        </w:sectPr>
      </w:pPr>
    </w:p>
    <w:p w14:paraId="3E072164" w14:textId="77777777" w:rsidR="00C95865" w:rsidRPr="00852445" w:rsidRDefault="00C95865">
      <w:pPr>
        <w:pStyle w:val="Textoindependiente"/>
        <w:rPr>
          <w:lang w:val="es-CO"/>
        </w:rPr>
      </w:pPr>
    </w:p>
    <w:p w14:paraId="3298D198" w14:textId="77777777" w:rsidR="00C95865" w:rsidRPr="00852445" w:rsidRDefault="00C95865">
      <w:pPr>
        <w:pStyle w:val="Textoindependiente"/>
        <w:spacing w:before="3"/>
        <w:rPr>
          <w:sz w:val="28"/>
          <w:lang w:val="es-CO"/>
        </w:rPr>
      </w:pPr>
    </w:p>
    <w:p w14:paraId="28F5EB35" w14:textId="786DD9D6" w:rsidR="00C95865" w:rsidRDefault="00000000">
      <w:pPr>
        <w:pStyle w:val="Ttulo1"/>
      </w:pPr>
      <w:r>
        <w:t>Overview</w:t>
      </w:r>
    </w:p>
    <w:p w14:paraId="0D0C9556" w14:textId="77777777" w:rsidR="003B21C3" w:rsidRDefault="003B21C3">
      <w:pPr>
        <w:pStyle w:val="Ttulo1"/>
      </w:pPr>
    </w:p>
    <w:p w14:paraId="7986DFBE" w14:textId="796D6780" w:rsidR="004018F8" w:rsidRPr="00C743B4" w:rsidRDefault="004018F8" w:rsidP="00AF0F6F">
      <w:pPr>
        <w:pStyle w:val="Ttulo1"/>
        <w:ind w:right="814"/>
        <w:jc w:val="both"/>
        <w:rPr>
          <w:rFonts w:ascii="Times New Roman" w:eastAsia="Times New Roman" w:hAnsi="Times New Roman" w:cs="Times New Roman"/>
          <w:b w:val="0"/>
          <w:bCs w:val="0"/>
          <w:sz w:val="20"/>
          <w:szCs w:val="20"/>
        </w:rPr>
      </w:pPr>
      <w:r w:rsidRPr="004018F8">
        <w:rPr>
          <w:rFonts w:ascii="Times New Roman" w:eastAsia="Times New Roman" w:hAnsi="Times New Roman" w:cs="Times New Roman"/>
          <w:b w:val="0"/>
          <w:bCs w:val="0"/>
          <w:sz w:val="20"/>
          <w:szCs w:val="20"/>
        </w:rPr>
        <w:t xml:space="preserve">The Water-Energy-Food (WEF) nexus argues that through their linkages and trade-offs sustainable development maybe achieved. Colombia is a developing country with a relatively good WEF-nexus index indicator compared to other Latin American countries. However, WEF resources are not only inequitable distributed across the geography but also broadly unsustainably used as environmental conditions are swiftly deteriorating due to climate change. Such is the case of La Guajira, a department located at the north of Colombia which a </w:t>
      </w:r>
      <w:r w:rsidR="003B21C3" w:rsidRPr="004018F8">
        <w:rPr>
          <w:rFonts w:ascii="Times New Roman" w:eastAsia="Times New Roman" w:hAnsi="Times New Roman" w:cs="Times New Roman"/>
          <w:b w:val="0"/>
          <w:bCs w:val="0"/>
          <w:sz w:val="20"/>
          <w:szCs w:val="20"/>
        </w:rPr>
        <w:t>large indigenous Wayuu community</w:t>
      </w:r>
      <w:r w:rsidRPr="004018F8">
        <w:rPr>
          <w:rFonts w:ascii="Times New Roman" w:eastAsia="Times New Roman" w:hAnsi="Times New Roman" w:cs="Times New Roman"/>
          <w:b w:val="0"/>
          <w:bCs w:val="0"/>
          <w:sz w:val="20"/>
          <w:szCs w:val="20"/>
        </w:rPr>
        <w:t xml:space="preserve"> that suffers extreme poverty and child starvation. The objective of this paper was to assess a dynamic hypothesis for sustainable development, based on the WEF nexus trade-offs, applied to the livelihoods of Wayuu indigenous communities in the High Guajira, being an isolated and challenging desertic territory. A system dynamics model approach is undertaken to understand feedbacks, delays and non-linear relationships inherent in the WEF dynamics. Results were validated using structure behavioral tests. </w:t>
      </w:r>
    </w:p>
    <w:p w14:paraId="101BDD05" w14:textId="77777777" w:rsidR="00C95865" w:rsidRPr="00C743B4" w:rsidRDefault="00C95865">
      <w:pPr>
        <w:pStyle w:val="Textoindependiente"/>
        <w:rPr>
          <w:rFonts w:ascii="Arial"/>
          <w:b/>
        </w:rPr>
      </w:pPr>
    </w:p>
    <w:p w14:paraId="2FFEA94B" w14:textId="219F2BEE" w:rsidR="0033368C" w:rsidRDefault="0033368C" w:rsidP="0033368C">
      <w:pPr>
        <w:ind w:left="851" w:right="814"/>
        <w:jc w:val="both"/>
        <w:rPr>
          <w:sz w:val="20"/>
          <w:szCs w:val="20"/>
        </w:rPr>
      </w:pPr>
      <w:r w:rsidRPr="00C743B4">
        <w:rPr>
          <w:sz w:val="20"/>
          <w:szCs w:val="20"/>
        </w:rPr>
        <w:t xml:space="preserve">Some studies have researched about water energy food nexus using simulation models (Huang et al., 2020; Dargin et al 2019; Purwanto et al., 2021; Sušnik et al., 2021; Wen et al., 2022). </w:t>
      </w:r>
      <w:r w:rsidR="009E61C5">
        <w:rPr>
          <w:sz w:val="20"/>
          <w:szCs w:val="20"/>
        </w:rPr>
        <w:t>However, t</w:t>
      </w:r>
      <w:r w:rsidR="0029041A" w:rsidRPr="00C743B4">
        <w:rPr>
          <w:sz w:val="20"/>
          <w:szCs w:val="20"/>
        </w:rPr>
        <w:t>o date</w:t>
      </w:r>
      <w:r w:rsidR="009E61C5">
        <w:rPr>
          <w:sz w:val="20"/>
          <w:szCs w:val="20"/>
        </w:rPr>
        <w:t xml:space="preserve"> none study has</w:t>
      </w:r>
      <w:r w:rsidR="0029041A" w:rsidRPr="00C743B4">
        <w:rPr>
          <w:sz w:val="20"/>
          <w:szCs w:val="20"/>
        </w:rPr>
        <w:t xml:space="preserve"> </w:t>
      </w:r>
      <w:r w:rsidR="0029041A" w:rsidRPr="00C743B4">
        <w:rPr>
          <w:sz w:val="20"/>
          <w:szCs w:val="20"/>
        </w:rPr>
        <w:t>asse</w:t>
      </w:r>
      <w:r w:rsidR="009E61C5">
        <w:rPr>
          <w:sz w:val="20"/>
          <w:szCs w:val="20"/>
        </w:rPr>
        <w:t>ssed</w:t>
      </w:r>
      <w:r w:rsidR="0029041A" w:rsidRPr="00C743B4">
        <w:rPr>
          <w:sz w:val="20"/>
          <w:szCs w:val="20"/>
        </w:rPr>
        <w:t xml:space="preserve"> </w:t>
      </w:r>
      <w:r w:rsidR="0029041A" w:rsidRPr="00C743B4">
        <w:rPr>
          <w:sz w:val="20"/>
          <w:szCs w:val="20"/>
        </w:rPr>
        <w:t xml:space="preserve">the </w:t>
      </w:r>
      <w:r w:rsidR="0029041A" w:rsidRPr="00C743B4">
        <w:rPr>
          <w:sz w:val="20"/>
          <w:szCs w:val="20"/>
        </w:rPr>
        <w:t>WEF nexus trade-offs, applied to the livelihoods of Wayuu indigenous communities in the High Guajira</w:t>
      </w:r>
      <w:r w:rsidR="0029041A" w:rsidRPr="00C743B4">
        <w:rPr>
          <w:sz w:val="20"/>
          <w:szCs w:val="20"/>
        </w:rPr>
        <w:t xml:space="preserve"> using a system dynamics model remains a novelty.</w:t>
      </w:r>
    </w:p>
    <w:p w14:paraId="17FACAFB" w14:textId="77777777" w:rsidR="00C95865" w:rsidRPr="0033368C" w:rsidRDefault="00C95865" w:rsidP="000D4390">
      <w:pPr>
        <w:pStyle w:val="Textoindependiente"/>
        <w:ind w:left="851" w:right="814"/>
        <w:jc w:val="both"/>
        <w:rPr>
          <w:rFonts w:ascii="Arial"/>
          <w:b/>
        </w:rPr>
      </w:pPr>
    </w:p>
    <w:p w14:paraId="0B49C193" w14:textId="77777777" w:rsidR="00C95865" w:rsidRPr="0033368C" w:rsidRDefault="00C95865">
      <w:pPr>
        <w:pStyle w:val="Textoindependiente"/>
        <w:rPr>
          <w:rFonts w:ascii="Arial"/>
          <w:b/>
          <w:sz w:val="23"/>
        </w:rPr>
      </w:pPr>
    </w:p>
    <w:p w14:paraId="2793D555" w14:textId="3769B710" w:rsidR="00C95865" w:rsidRDefault="00000000">
      <w:pPr>
        <w:ind w:left="840"/>
        <w:rPr>
          <w:rFonts w:ascii="Arial"/>
          <w:b/>
          <w:sz w:val="24"/>
        </w:rPr>
      </w:pPr>
      <w:r>
        <w:rPr>
          <w:rFonts w:ascii="Arial"/>
          <w:b/>
          <w:sz w:val="24"/>
        </w:rPr>
        <w:t>Methods</w:t>
      </w:r>
    </w:p>
    <w:p w14:paraId="261E5C38" w14:textId="77777777" w:rsidR="00BF554E" w:rsidRDefault="00BF554E">
      <w:pPr>
        <w:ind w:left="840"/>
        <w:rPr>
          <w:sz w:val="20"/>
          <w:szCs w:val="20"/>
        </w:rPr>
      </w:pPr>
    </w:p>
    <w:p w14:paraId="5DD68672" w14:textId="34F625C7" w:rsidR="00DD6ACA" w:rsidRPr="002762AD" w:rsidRDefault="007169DD" w:rsidP="005D62EA">
      <w:pPr>
        <w:ind w:left="851" w:right="814"/>
        <w:jc w:val="both"/>
        <w:rPr>
          <w:sz w:val="20"/>
          <w:szCs w:val="20"/>
        </w:rPr>
      </w:pPr>
      <w:r>
        <w:rPr>
          <w:sz w:val="20"/>
          <w:szCs w:val="20"/>
        </w:rPr>
        <w:t>System dynamics</w:t>
      </w:r>
      <w:r w:rsidR="003B51FE" w:rsidRPr="00FC64A0">
        <w:rPr>
          <w:sz w:val="20"/>
          <w:szCs w:val="20"/>
        </w:rPr>
        <w:t xml:space="preserve"> methodology was applied</w:t>
      </w:r>
      <w:r>
        <w:rPr>
          <w:sz w:val="20"/>
          <w:szCs w:val="20"/>
        </w:rPr>
        <w:t xml:space="preserve"> (Sterman, 2004, 2010)</w:t>
      </w:r>
      <w:r w:rsidR="003B51FE" w:rsidRPr="00FC64A0">
        <w:rPr>
          <w:sz w:val="20"/>
          <w:szCs w:val="20"/>
        </w:rPr>
        <w:t xml:space="preserve">, which describes the process of building simulation models based on system dynamics. </w:t>
      </w:r>
      <w:r>
        <w:rPr>
          <w:sz w:val="20"/>
          <w:szCs w:val="20"/>
        </w:rPr>
        <w:t>This methodology</w:t>
      </w:r>
      <w:r w:rsidR="003B51FE" w:rsidRPr="00FC64A0">
        <w:rPr>
          <w:sz w:val="20"/>
          <w:szCs w:val="20"/>
        </w:rPr>
        <w:t xml:space="preserve"> starts from the definition and therefore delimitation of the problem, the formulation of the dynamic hypothesis, formulation of the system of equations, validation, and finally, formulation of policies that improve the state of the system.</w:t>
      </w:r>
      <w:r w:rsidR="00A22477" w:rsidRPr="00FC64A0">
        <w:rPr>
          <w:sz w:val="20"/>
          <w:szCs w:val="20"/>
        </w:rPr>
        <w:t xml:space="preserve"> </w:t>
      </w:r>
      <w:r w:rsidR="00DD6ACA">
        <w:rPr>
          <w:sz w:val="20"/>
          <w:szCs w:val="20"/>
        </w:rPr>
        <w:t xml:space="preserve">Figure </w:t>
      </w:r>
      <w:r w:rsidR="003B57FE">
        <w:rPr>
          <w:sz w:val="20"/>
          <w:szCs w:val="20"/>
        </w:rPr>
        <w:t>1</w:t>
      </w:r>
      <w:r w:rsidR="00DD6ACA">
        <w:rPr>
          <w:sz w:val="20"/>
          <w:szCs w:val="20"/>
        </w:rPr>
        <w:t xml:space="preserve"> contains three reinforcing feedback loops, R1 loop is related to </w:t>
      </w:r>
      <w:proofErr w:type="spellStart"/>
      <w:r w:rsidR="00DD6ACA">
        <w:rPr>
          <w:sz w:val="20"/>
          <w:szCs w:val="20"/>
        </w:rPr>
        <w:t>wef</w:t>
      </w:r>
      <w:proofErr w:type="spellEnd"/>
      <w:r w:rsidR="00DD6ACA">
        <w:rPr>
          <w:sz w:val="20"/>
          <w:szCs w:val="20"/>
        </w:rPr>
        <w:t xml:space="preserve"> nexus relationship. R2 loop also includes revenues obtained from agriculture production and their effect on energy, while R3 loop presents the effect of these revenues on water available. </w:t>
      </w:r>
    </w:p>
    <w:p w14:paraId="40DA3D3C" w14:textId="77777777" w:rsidR="006423F3" w:rsidRPr="00FC64A0" w:rsidRDefault="006423F3" w:rsidP="00937383">
      <w:pPr>
        <w:jc w:val="center"/>
      </w:pPr>
    </w:p>
    <w:p w14:paraId="4B2DEE5D" w14:textId="77777777" w:rsidR="006423F3" w:rsidRPr="001B0C9A" w:rsidRDefault="006423F3" w:rsidP="006423F3">
      <w:pPr>
        <w:pStyle w:val="Textoindependiente"/>
        <w:ind w:left="851"/>
        <w:jc w:val="center"/>
        <w:rPr>
          <w:rFonts w:ascii="Arial"/>
          <w:b/>
        </w:rPr>
      </w:pPr>
      <w:r w:rsidRPr="001B0C9A">
        <w:rPr>
          <w:rFonts w:ascii="Arial"/>
          <w:b/>
        </w:rPr>
        <w:lastRenderedPageBreak/>
        <w:drawing>
          <wp:inline distT="0" distB="0" distL="0" distR="0" wp14:anchorId="70C3600D" wp14:editId="4FADC66F">
            <wp:extent cx="3222404" cy="2482889"/>
            <wp:effectExtent l="0" t="0" r="0" b="0"/>
            <wp:docPr id="1399818245" name="Imagen 2">
              <a:extLst xmlns:a="http://schemas.openxmlformats.org/drawingml/2006/main">
                <a:ext uri="{FF2B5EF4-FFF2-40B4-BE49-F238E27FC236}">
                  <a16:creationId xmlns:a16="http://schemas.microsoft.com/office/drawing/2014/main" id="{39D3E5F5-4128-0FD1-5397-6A6356DD09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39D3E5F5-4128-0FD1-5397-6A6356DD0981}"/>
                        </a:ext>
                      </a:extLst>
                    </pic:cNvPr>
                    <pic:cNvPicPr>
                      <a:picLocks noChangeAspect="1"/>
                    </pic:cNvPicPr>
                  </pic:nvPicPr>
                  <pic:blipFill rotWithShape="1">
                    <a:blip r:embed="rId7"/>
                    <a:srcRect t="2715" b="3340"/>
                    <a:stretch/>
                  </pic:blipFill>
                  <pic:spPr>
                    <a:xfrm>
                      <a:off x="0" y="0"/>
                      <a:ext cx="3227751" cy="2487009"/>
                    </a:xfrm>
                    <a:prstGeom prst="rect">
                      <a:avLst/>
                    </a:prstGeom>
                  </pic:spPr>
                </pic:pic>
              </a:graphicData>
            </a:graphic>
          </wp:inline>
        </w:drawing>
      </w:r>
    </w:p>
    <w:p w14:paraId="3C1E482B" w14:textId="37EAFBD2" w:rsidR="006423F3" w:rsidRPr="001B0C9A" w:rsidRDefault="006423F3" w:rsidP="006423F3">
      <w:pPr>
        <w:pStyle w:val="Textoindependiente"/>
        <w:ind w:left="851"/>
        <w:jc w:val="center"/>
      </w:pPr>
      <w:r w:rsidRPr="001B0C9A">
        <w:t>Fig</w:t>
      </w:r>
      <w:r w:rsidR="009529DF" w:rsidRPr="001B0C9A">
        <w:t>ure</w:t>
      </w:r>
      <w:r w:rsidRPr="001B0C9A">
        <w:t xml:space="preserve"> </w:t>
      </w:r>
      <w:r w:rsidR="003B57FE" w:rsidRPr="001B0C9A">
        <w:t>1</w:t>
      </w:r>
      <w:r w:rsidRPr="001B0C9A">
        <w:t>.</w:t>
      </w:r>
      <w:r w:rsidR="009529DF" w:rsidRPr="001B0C9A">
        <w:t xml:space="preserve"> Dynamic </w:t>
      </w:r>
      <w:r w:rsidR="002762AD" w:rsidRPr="001B0C9A">
        <w:t>hypothesis</w:t>
      </w:r>
      <w:r w:rsidRPr="001B0C9A">
        <w:t xml:space="preserve"> </w:t>
      </w:r>
    </w:p>
    <w:p w14:paraId="3BAF326A" w14:textId="77777777" w:rsidR="006423F3" w:rsidRPr="001B0C9A" w:rsidRDefault="006423F3" w:rsidP="00937383">
      <w:pPr>
        <w:jc w:val="center"/>
        <w:rPr>
          <w:lang w:val="es-CO"/>
        </w:rPr>
      </w:pPr>
    </w:p>
    <w:p w14:paraId="716997B0" w14:textId="77777777" w:rsidR="00937383" w:rsidRPr="001B0C9A" w:rsidRDefault="00937383">
      <w:pPr>
        <w:pStyle w:val="Textoindependiente"/>
        <w:rPr>
          <w:rFonts w:ascii="Arial"/>
          <w:b/>
          <w:lang w:val="es-CO"/>
        </w:rPr>
      </w:pPr>
    </w:p>
    <w:p w14:paraId="0F2959B8" w14:textId="77777777" w:rsidR="00C95865" w:rsidRPr="001B0C9A" w:rsidRDefault="00C95865">
      <w:pPr>
        <w:pStyle w:val="Textoindependiente"/>
        <w:rPr>
          <w:rFonts w:ascii="Arial"/>
          <w:b/>
          <w:sz w:val="23"/>
          <w:lang w:val="es-CO"/>
        </w:rPr>
      </w:pPr>
    </w:p>
    <w:p w14:paraId="61D79BC7" w14:textId="7196FCB0" w:rsidR="005266B4" w:rsidRPr="001B0C9A" w:rsidRDefault="00000000" w:rsidP="006002A3">
      <w:pPr>
        <w:pStyle w:val="Ttulo1"/>
        <w:rPr>
          <w:b w:val="0"/>
        </w:rPr>
      </w:pPr>
      <w:r w:rsidRPr="001B0C9A">
        <w:t>Results</w:t>
      </w:r>
    </w:p>
    <w:p w14:paraId="5339026A" w14:textId="77777777" w:rsidR="005266B4" w:rsidRPr="001B0C9A" w:rsidRDefault="005266B4">
      <w:pPr>
        <w:pStyle w:val="Textoindependiente"/>
        <w:rPr>
          <w:rFonts w:ascii="Arial"/>
          <w:b/>
        </w:rPr>
      </w:pPr>
    </w:p>
    <w:p w14:paraId="093D5D34" w14:textId="32150F7A" w:rsidR="006002A3" w:rsidRDefault="006002A3" w:rsidP="006002A3">
      <w:pPr>
        <w:ind w:left="840" w:right="814"/>
        <w:jc w:val="both"/>
        <w:rPr>
          <w:sz w:val="20"/>
          <w:szCs w:val="20"/>
        </w:rPr>
      </w:pPr>
      <w:r w:rsidRPr="001B0C9A">
        <w:rPr>
          <w:sz w:val="20"/>
          <w:szCs w:val="20"/>
        </w:rPr>
        <w:t xml:space="preserve">The Water-Energy-Food Nexus (WEF) recognizes the interconnected nature of water, energy and food systems. In this nexus, the interdependencies and exchanges between subsystems are essential; integrated and sustainable management to address the challenges of resource scarcity is necessary. Therefore, it is important to understand quantifying the water footprint and the carbon footprint within the </w:t>
      </w:r>
      <w:proofErr w:type="spellStart"/>
      <w:r w:rsidRPr="001B0C9A">
        <w:rPr>
          <w:sz w:val="20"/>
          <w:szCs w:val="20"/>
        </w:rPr>
        <w:t>wef</w:t>
      </w:r>
      <w:proofErr w:type="spellEnd"/>
      <w:r w:rsidRPr="001B0C9A">
        <w:rPr>
          <w:sz w:val="20"/>
          <w:szCs w:val="20"/>
        </w:rPr>
        <w:t xml:space="preserve"> nexus. In this sense, the following subsystem diagram of the simulation model developed in Figure </w:t>
      </w:r>
      <w:r w:rsidR="003B57FE" w:rsidRPr="001B0C9A">
        <w:rPr>
          <w:sz w:val="20"/>
          <w:szCs w:val="20"/>
        </w:rPr>
        <w:t>2</w:t>
      </w:r>
      <w:r w:rsidRPr="001B0C9A">
        <w:rPr>
          <w:sz w:val="20"/>
          <w:szCs w:val="20"/>
        </w:rPr>
        <w:t xml:space="preserve"> has been proposed. According to Sterman (2010), a subsystem model shows the general architecture of each model, dividing it into modules or subsystems where it is possible to appreciate the interdependence. between them.</w:t>
      </w:r>
    </w:p>
    <w:p w14:paraId="122D4532" w14:textId="77777777" w:rsidR="006002A3" w:rsidRDefault="006002A3" w:rsidP="006002A3">
      <w:pPr>
        <w:ind w:left="840" w:right="814"/>
        <w:jc w:val="both"/>
        <w:rPr>
          <w:sz w:val="20"/>
          <w:szCs w:val="20"/>
        </w:rPr>
      </w:pPr>
    </w:p>
    <w:p w14:paraId="5989FEBD" w14:textId="77777777" w:rsidR="006002A3" w:rsidRDefault="006002A3" w:rsidP="006002A3">
      <w:pPr>
        <w:pStyle w:val="Textoindependiente"/>
        <w:rPr>
          <w:rFonts w:ascii="Arial"/>
          <w:b/>
        </w:rPr>
      </w:pPr>
    </w:p>
    <w:p w14:paraId="1DFE7AE5" w14:textId="77777777" w:rsidR="006002A3" w:rsidRPr="001B0C9A" w:rsidRDefault="006002A3" w:rsidP="006002A3">
      <w:pPr>
        <w:pStyle w:val="Textoindependiente"/>
        <w:ind w:left="851"/>
        <w:jc w:val="center"/>
      </w:pPr>
      <w:r w:rsidRPr="001B0C9A">
        <w:drawing>
          <wp:inline distT="0" distB="0" distL="0" distR="0" wp14:anchorId="69734720" wp14:editId="2CA496E4">
            <wp:extent cx="4880060" cy="2638576"/>
            <wp:effectExtent l="0" t="0" r="0" b="9525"/>
            <wp:docPr id="7328150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15039" name=""/>
                    <pic:cNvPicPr/>
                  </pic:nvPicPr>
                  <pic:blipFill>
                    <a:blip r:embed="rId8"/>
                    <a:stretch>
                      <a:fillRect/>
                    </a:stretch>
                  </pic:blipFill>
                  <pic:spPr>
                    <a:xfrm>
                      <a:off x="0" y="0"/>
                      <a:ext cx="4881972" cy="2639610"/>
                    </a:xfrm>
                    <a:prstGeom prst="rect">
                      <a:avLst/>
                    </a:prstGeom>
                  </pic:spPr>
                </pic:pic>
              </a:graphicData>
            </a:graphic>
          </wp:inline>
        </w:drawing>
      </w:r>
    </w:p>
    <w:p w14:paraId="46BD5BB0" w14:textId="23521FD8" w:rsidR="006002A3" w:rsidRPr="00434445" w:rsidRDefault="006002A3" w:rsidP="006002A3">
      <w:pPr>
        <w:pStyle w:val="Textoindependiente"/>
        <w:ind w:left="851"/>
        <w:jc w:val="center"/>
      </w:pPr>
      <w:r w:rsidRPr="001B0C9A">
        <w:t xml:space="preserve">Figure </w:t>
      </w:r>
      <w:r w:rsidR="003B57FE" w:rsidRPr="001B0C9A">
        <w:t>2</w:t>
      </w:r>
      <w:r w:rsidRPr="001B0C9A">
        <w:t>. Subsystem diagram of the simulation model</w:t>
      </w:r>
    </w:p>
    <w:p w14:paraId="49CAED88" w14:textId="77777777" w:rsidR="00C95865" w:rsidRDefault="00C95865">
      <w:pPr>
        <w:pStyle w:val="Textoindependiente"/>
        <w:rPr>
          <w:rFonts w:ascii="Arial"/>
          <w:b/>
          <w:sz w:val="23"/>
        </w:rPr>
      </w:pPr>
    </w:p>
    <w:p w14:paraId="090743D7" w14:textId="689D2D0B" w:rsidR="00C95865" w:rsidRDefault="00000000">
      <w:pPr>
        <w:ind w:left="840"/>
        <w:rPr>
          <w:rFonts w:ascii="Arial"/>
          <w:b/>
          <w:sz w:val="24"/>
        </w:rPr>
      </w:pPr>
      <w:r>
        <w:rPr>
          <w:rFonts w:ascii="Arial"/>
          <w:b/>
          <w:sz w:val="24"/>
        </w:rPr>
        <w:t>Conclusions</w:t>
      </w:r>
    </w:p>
    <w:p w14:paraId="7D112E6D" w14:textId="77777777" w:rsidR="00BE2865" w:rsidRDefault="00BE2865">
      <w:pPr>
        <w:ind w:left="840"/>
        <w:rPr>
          <w:rFonts w:ascii="Arial"/>
          <w:b/>
          <w:sz w:val="24"/>
        </w:rPr>
      </w:pPr>
    </w:p>
    <w:p w14:paraId="458E787C" w14:textId="3F143B95" w:rsidR="008534F1" w:rsidRDefault="00C743B4" w:rsidP="00BE2865">
      <w:pPr>
        <w:ind w:left="840" w:right="814"/>
        <w:jc w:val="both"/>
        <w:rPr>
          <w:sz w:val="20"/>
          <w:szCs w:val="20"/>
        </w:rPr>
      </w:pPr>
      <w:r w:rsidRPr="00C743B4">
        <w:rPr>
          <w:sz w:val="20"/>
          <w:szCs w:val="20"/>
        </w:rPr>
        <w:t>Findings suggest that solar PV systems must be implemented to improve energy access and applications. Efficient ground water management is required for pumping and irrigate small areas to produce horticultural crops. Under these conditions, crops could generate surplus and improve the food security and economic wellbeing of communities.</w:t>
      </w:r>
    </w:p>
    <w:p w14:paraId="27EE0C3D" w14:textId="77777777" w:rsidR="00C743B4" w:rsidRDefault="00C743B4" w:rsidP="00BE2865">
      <w:pPr>
        <w:ind w:left="840" w:right="814"/>
        <w:jc w:val="both"/>
        <w:rPr>
          <w:sz w:val="20"/>
          <w:szCs w:val="20"/>
        </w:rPr>
      </w:pPr>
    </w:p>
    <w:p w14:paraId="5602F110" w14:textId="77777777" w:rsidR="00C95865" w:rsidRDefault="00C95865">
      <w:pPr>
        <w:pStyle w:val="Textoindependiente"/>
        <w:rPr>
          <w:rFonts w:ascii="Arial"/>
          <w:b/>
          <w:sz w:val="23"/>
        </w:rPr>
      </w:pPr>
    </w:p>
    <w:p w14:paraId="49E6CE99" w14:textId="08139E44" w:rsidR="00C95865" w:rsidRDefault="00000000">
      <w:pPr>
        <w:pStyle w:val="Ttulo1"/>
      </w:pPr>
      <w:r>
        <w:t>References</w:t>
      </w:r>
    </w:p>
    <w:p w14:paraId="3690B0FA" w14:textId="77777777" w:rsidR="00C95865" w:rsidRDefault="00C95865">
      <w:pPr>
        <w:pStyle w:val="Textoindependiente"/>
        <w:rPr>
          <w:rFonts w:ascii="Arial"/>
          <w:b/>
        </w:rPr>
      </w:pPr>
    </w:p>
    <w:p w14:paraId="3426CCA5" w14:textId="77777777" w:rsidR="00DF22FA" w:rsidRPr="004F3F20" w:rsidRDefault="00DF22FA" w:rsidP="008534F1">
      <w:pPr>
        <w:ind w:left="851" w:right="814"/>
        <w:jc w:val="both"/>
        <w:rPr>
          <w:sz w:val="20"/>
          <w:szCs w:val="20"/>
        </w:rPr>
      </w:pPr>
      <w:r w:rsidRPr="004F3F20">
        <w:rPr>
          <w:sz w:val="20"/>
          <w:szCs w:val="20"/>
        </w:rPr>
        <w:t xml:space="preserve">Dargin, J., Daher, B., &amp; </w:t>
      </w:r>
      <w:proofErr w:type="spellStart"/>
      <w:r w:rsidRPr="004F3F20">
        <w:rPr>
          <w:sz w:val="20"/>
          <w:szCs w:val="20"/>
        </w:rPr>
        <w:t>Mohtar</w:t>
      </w:r>
      <w:proofErr w:type="spellEnd"/>
      <w:r w:rsidRPr="004F3F20">
        <w:rPr>
          <w:sz w:val="20"/>
          <w:szCs w:val="20"/>
        </w:rPr>
        <w:t>, R. H. (2019). Complexity versus simplicity in water energy food nexus (WEF) assessment tools. Science of the Total Environment, 650, 1566-1575.</w:t>
      </w:r>
    </w:p>
    <w:p w14:paraId="4F85B04E" w14:textId="77777777" w:rsidR="00DF22FA" w:rsidRPr="004F3F20" w:rsidRDefault="00DF22FA" w:rsidP="008534F1">
      <w:pPr>
        <w:ind w:left="851" w:right="814"/>
        <w:jc w:val="both"/>
        <w:rPr>
          <w:sz w:val="20"/>
          <w:szCs w:val="20"/>
        </w:rPr>
      </w:pPr>
    </w:p>
    <w:p w14:paraId="56C97C6C" w14:textId="77777777" w:rsidR="00DF22FA" w:rsidRDefault="00DF22FA" w:rsidP="008534F1">
      <w:pPr>
        <w:ind w:left="851" w:right="814"/>
        <w:jc w:val="both"/>
        <w:rPr>
          <w:sz w:val="20"/>
          <w:szCs w:val="20"/>
        </w:rPr>
      </w:pPr>
      <w:r w:rsidRPr="004F3F20">
        <w:rPr>
          <w:sz w:val="20"/>
          <w:szCs w:val="20"/>
        </w:rPr>
        <w:t>Huang, D., Li, G., Sun, C., &amp; Liu, Q. (2020). Exploring interactions in the local water-energy-food nexus (WEF-Nexus) using a simultaneous equations model. Science of the Total Environment, 703, 135034.</w:t>
      </w:r>
    </w:p>
    <w:p w14:paraId="10A69D65" w14:textId="77777777" w:rsidR="00A17C1F" w:rsidRDefault="00A17C1F" w:rsidP="008534F1">
      <w:pPr>
        <w:ind w:left="851" w:right="814"/>
        <w:jc w:val="both"/>
        <w:rPr>
          <w:sz w:val="20"/>
          <w:szCs w:val="20"/>
        </w:rPr>
      </w:pPr>
    </w:p>
    <w:p w14:paraId="34FEC3C0" w14:textId="77777777" w:rsidR="00DF22FA" w:rsidRPr="004F3F20" w:rsidRDefault="00DF22FA" w:rsidP="008534F1">
      <w:pPr>
        <w:ind w:left="851" w:right="814"/>
        <w:jc w:val="both"/>
        <w:rPr>
          <w:sz w:val="20"/>
          <w:szCs w:val="20"/>
        </w:rPr>
      </w:pPr>
      <w:r w:rsidRPr="004F3F20">
        <w:rPr>
          <w:sz w:val="20"/>
          <w:szCs w:val="20"/>
        </w:rPr>
        <w:t xml:space="preserve">Purwanto, A., Sušnik, J., </w:t>
      </w:r>
      <w:proofErr w:type="spellStart"/>
      <w:r w:rsidRPr="004F3F20">
        <w:rPr>
          <w:sz w:val="20"/>
          <w:szCs w:val="20"/>
        </w:rPr>
        <w:t>Suryadi</w:t>
      </w:r>
      <w:proofErr w:type="spellEnd"/>
      <w:r w:rsidRPr="004F3F20">
        <w:rPr>
          <w:sz w:val="20"/>
          <w:szCs w:val="20"/>
        </w:rPr>
        <w:t xml:space="preserve">, F. X., &amp; de </w:t>
      </w:r>
      <w:proofErr w:type="spellStart"/>
      <w:r w:rsidRPr="004F3F20">
        <w:rPr>
          <w:sz w:val="20"/>
          <w:szCs w:val="20"/>
        </w:rPr>
        <w:t>Fraiture</w:t>
      </w:r>
      <w:proofErr w:type="spellEnd"/>
      <w:r w:rsidRPr="004F3F20">
        <w:rPr>
          <w:sz w:val="20"/>
          <w:szCs w:val="20"/>
        </w:rPr>
        <w:t xml:space="preserve">, C. (2021). Quantitative simulation of the water-energy-food (WEF) security nexus in a local planning context in </w:t>
      </w:r>
      <w:proofErr w:type="spellStart"/>
      <w:r w:rsidRPr="004F3F20">
        <w:rPr>
          <w:sz w:val="20"/>
          <w:szCs w:val="20"/>
        </w:rPr>
        <w:t>indonesia</w:t>
      </w:r>
      <w:proofErr w:type="spellEnd"/>
      <w:r w:rsidRPr="004F3F20">
        <w:rPr>
          <w:sz w:val="20"/>
          <w:szCs w:val="20"/>
        </w:rPr>
        <w:t>. Sustainable Production and Consumption, 25, 198-216.</w:t>
      </w:r>
    </w:p>
    <w:p w14:paraId="2CA86AC0" w14:textId="77777777" w:rsidR="00DF22FA" w:rsidRPr="004F3F20" w:rsidRDefault="00DF22FA" w:rsidP="008534F1">
      <w:pPr>
        <w:ind w:left="851" w:right="814"/>
        <w:jc w:val="both"/>
        <w:rPr>
          <w:sz w:val="20"/>
          <w:szCs w:val="20"/>
        </w:rPr>
      </w:pPr>
    </w:p>
    <w:p w14:paraId="541424F6" w14:textId="77777777" w:rsidR="00DF22FA" w:rsidRPr="004F3F20" w:rsidRDefault="00DF22FA" w:rsidP="008534F1">
      <w:pPr>
        <w:ind w:left="851" w:right="814"/>
        <w:jc w:val="both"/>
        <w:rPr>
          <w:sz w:val="20"/>
          <w:szCs w:val="20"/>
        </w:rPr>
      </w:pPr>
      <w:r w:rsidRPr="004F3F20">
        <w:rPr>
          <w:sz w:val="20"/>
          <w:szCs w:val="20"/>
        </w:rPr>
        <w:t xml:space="preserve">Sušnik, J., Masia, S., </w:t>
      </w:r>
      <w:proofErr w:type="spellStart"/>
      <w:r w:rsidRPr="004F3F20">
        <w:rPr>
          <w:sz w:val="20"/>
          <w:szCs w:val="20"/>
        </w:rPr>
        <w:t>Indriksone</w:t>
      </w:r>
      <w:proofErr w:type="spellEnd"/>
      <w:r w:rsidRPr="004F3F20">
        <w:rPr>
          <w:sz w:val="20"/>
          <w:szCs w:val="20"/>
        </w:rPr>
        <w:t xml:space="preserve">, D., </w:t>
      </w:r>
      <w:proofErr w:type="spellStart"/>
      <w:r w:rsidRPr="004F3F20">
        <w:rPr>
          <w:sz w:val="20"/>
          <w:szCs w:val="20"/>
        </w:rPr>
        <w:t>Brēmere</w:t>
      </w:r>
      <w:proofErr w:type="spellEnd"/>
      <w:r w:rsidRPr="004F3F20">
        <w:rPr>
          <w:sz w:val="20"/>
          <w:szCs w:val="20"/>
        </w:rPr>
        <w:t xml:space="preserve">, I., &amp; </w:t>
      </w:r>
      <w:proofErr w:type="spellStart"/>
      <w:r w:rsidRPr="004F3F20">
        <w:rPr>
          <w:sz w:val="20"/>
          <w:szCs w:val="20"/>
        </w:rPr>
        <w:t>Vamvakeridou-Lydroudia</w:t>
      </w:r>
      <w:proofErr w:type="spellEnd"/>
      <w:r w:rsidRPr="004F3F20">
        <w:rPr>
          <w:sz w:val="20"/>
          <w:szCs w:val="20"/>
        </w:rPr>
        <w:t>, L. (2021). System dynamics modelling to explore the impacts of policies on the water-energy-food-land-climate nexus in Latvia. Science of The Total Environment, 775, 145827.</w:t>
      </w:r>
    </w:p>
    <w:p w14:paraId="23DAC9B6" w14:textId="77777777" w:rsidR="00DF22FA" w:rsidRPr="004F3F20" w:rsidRDefault="00DF22FA" w:rsidP="008534F1">
      <w:pPr>
        <w:ind w:left="851" w:right="814"/>
        <w:jc w:val="both"/>
        <w:rPr>
          <w:sz w:val="20"/>
          <w:szCs w:val="20"/>
        </w:rPr>
      </w:pPr>
    </w:p>
    <w:p w14:paraId="1B790484" w14:textId="77777777" w:rsidR="00DF22FA" w:rsidRDefault="00DF22FA" w:rsidP="008534F1">
      <w:pPr>
        <w:ind w:left="851" w:right="814"/>
        <w:jc w:val="both"/>
        <w:rPr>
          <w:sz w:val="20"/>
          <w:szCs w:val="20"/>
        </w:rPr>
      </w:pPr>
      <w:r w:rsidRPr="004F3F20">
        <w:rPr>
          <w:sz w:val="20"/>
          <w:szCs w:val="20"/>
        </w:rPr>
        <w:t xml:space="preserve">Sterman, J. (2004). Business dynamics: Systems thinking and </w:t>
      </w:r>
      <w:proofErr w:type="spellStart"/>
      <w:r w:rsidRPr="004F3F20">
        <w:rPr>
          <w:sz w:val="20"/>
          <w:szCs w:val="20"/>
        </w:rPr>
        <w:t>modeling</w:t>
      </w:r>
      <w:proofErr w:type="spellEnd"/>
      <w:r w:rsidRPr="004F3F20">
        <w:rPr>
          <w:sz w:val="20"/>
          <w:szCs w:val="20"/>
        </w:rPr>
        <w:t xml:space="preserve"> for a complex world.</w:t>
      </w:r>
    </w:p>
    <w:p w14:paraId="6E5904FE" w14:textId="77777777" w:rsidR="006A25BB" w:rsidRDefault="006A25BB" w:rsidP="008534F1">
      <w:pPr>
        <w:ind w:left="851" w:right="814"/>
        <w:jc w:val="both"/>
        <w:rPr>
          <w:sz w:val="20"/>
          <w:szCs w:val="20"/>
        </w:rPr>
      </w:pPr>
    </w:p>
    <w:p w14:paraId="2E692E9F" w14:textId="77777777" w:rsidR="006A25BB" w:rsidRPr="006A25BB" w:rsidRDefault="006A25BB" w:rsidP="008534F1">
      <w:pPr>
        <w:ind w:left="851"/>
        <w:rPr>
          <w:sz w:val="20"/>
          <w:szCs w:val="20"/>
        </w:rPr>
      </w:pPr>
      <w:r w:rsidRPr="006A25BB">
        <w:rPr>
          <w:sz w:val="20"/>
          <w:szCs w:val="20"/>
        </w:rPr>
        <w:t>Sterman, J. (2010). Business dynamics (p. 982). Irwin/McGraw-Hill c2000.</w:t>
      </w:r>
    </w:p>
    <w:p w14:paraId="18B61018" w14:textId="77777777" w:rsidR="001E5E3A" w:rsidRPr="004F3F20" w:rsidRDefault="001E5E3A" w:rsidP="008534F1">
      <w:pPr>
        <w:ind w:left="851" w:right="814"/>
        <w:jc w:val="both"/>
        <w:rPr>
          <w:sz w:val="20"/>
          <w:szCs w:val="20"/>
        </w:rPr>
      </w:pPr>
    </w:p>
    <w:p w14:paraId="1B9415D4" w14:textId="77777777" w:rsidR="001E5E3A" w:rsidRPr="004F3F20" w:rsidRDefault="001E5E3A" w:rsidP="008534F1">
      <w:pPr>
        <w:ind w:left="851" w:right="814"/>
        <w:jc w:val="both"/>
        <w:rPr>
          <w:sz w:val="20"/>
          <w:szCs w:val="20"/>
        </w:rPr>
      </w:pPr>
      <w:r w:rsidRPr="004F3F20">
        <w:rPr>
          <w:sz w:val="20"/>
          <w:szCs w:val="20"/>
        </w:rPr>
        <w:t>Wen, C., Dong, W., Zhang, Q., He, N., &amp; Li, T. (2022). A system dynamics model to simulate the water-energy-food nexus of resource-based regions: A case study in Daqing City, China. Science of the Total Environment, 806, 150497.</w:t>
      </w:r>
    </w:p>
    <w:p w14:paraId="1134E340" w14:textId="77777777" w:rsidR="00DF22FA" w:rsidRPr="00DF22FA" w:rsidRDefault="00DF22FA" w:rsidP="008534F1">
      <w:pPr>
        <w:pStyle w:val="Textoindependiente"/>
        <w:ind w:left="851"/>
        <w:rPr>
          <w:rFonts w:ascii="Arial"/>
          <w:b/>
          <w:lang w:val="en-GB"/>
        </w:rPr>
      </w:pPr>
    </w:p>
    <w:p w14:paraId="67E24826" w14:textId="77777777" w:rsidR="00C95865" w:rsidRDefault="00C95865" w:rsidP="008534F1">
      <w:pPr>
        <w:pStyle w:val="Textoindependiente"/>
        <w:ind w:left="851"/>
        <w:rPr>
          <w:rFonts w:ascii="Arial"/>
          <w:b/>
        </w:rPr>
      </w:pPr>
    </w:p>
    <w:p w14:paraId="6EF6D822" w14:textId="77777777" w:rsidR="00C95865" w:rsidRDefault="00C95865" w:rsidP="008534F1">
      <w:pPr>
        <w:pStyle w:val="Textoindependiente"/>
        <w:ind w:left="851"/>
        <w:rPr>
          <w:rFonts w:ascii="Arial"/>
          <w:b/>
        </w:rPr>
      </w:pPr>
    </w:p>
    <w:sectPr w:rsidR="00C95865">
      <w:type w:val="continuous"/>
      <w:pgSz w:w="12240" w:h="15840"/>
      <w:pgMar w:top="12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109FD"/>
    <w:multiLevelType w:val="hybridMultilevel"/>
    <w:tmpl w:val="BFA002AA"/>
    <w:lvl w:ilvl="0" w:tplc="74763B00">
      <w:start w:val="1"/>
      <w:numFmt w:val="bullet"/>
      <w:lvlText w:val="•"/>
      <w:lvlJc w:val="left"/>
      <w:pPr>
        <w:tabs>
          <w:tab w:val="num" w:pos="720"/>
        </w:tabs>
        <w:ind w:left="720" w:hanging="360"/>
      </w:pPr>
      <w:rPr>
        <w:rFonts w:ascii="Arial" w:hAnsi="Arial" w:hint="default"/>
      </w:rPr>
    </w:lvl>
    <w:lvl w:ilvl="1" w:tplc="BD029CA8" w:tentative="1">
      <w:start w:val="1"/>
      <w:numFmt w:val="bullet"/>
      <w:lvlText w:val="•"/>
      <w:lvlJc w:val="left"/>
      <w:pPr>
        <w:tabs>
          <w:tab w:val="num" w:pos="1440"/>
        </w:tabs>
        <w:ind w:left="1440" w:hanging="360"/>
      </w:pPr>
      <w:rPr>
        <w:rFonts w:ascii="Arial" w:hAnsi="Arial" w:hint="default"/>
      </w:rPr>
    </w:lvl>
    <w:lvl w:ilvl="2" w:tplc="67AA44D0" w:tentative="1">
      <w:start w:val="1"/>
      <w:numFmt w:val="bullet"/>
      <w:lvlText w:val="•"/>
      <w:lvlJc w:val="left"/>
      <w:pPr>
        <w:tabs>
          <w:tab w:val="num" w:pos="2160"/>
        </w:tabs>
        <w:ind w:left="2160" w:hanging="360"/>
      </w:pPr>
      <w:rPr>
        <w:rFonts w:ascii="Arial" w:hAnsi="Arial" w:hint="default"/>
      </w:rPr>
    </w:lvl>
    <w:lvl w:ilvl="3" w:tplc="67603822" w:tentative="1">
      <w:start w:val="1"/>
      <w:numFmt w:val="bullet"/>
      <w:lvlText w:val="•"/>
      <w:lvlJc w:val="left"/>
      <w:pPr>
        <w:tabs>
          <w:tab w:val="num" w:pos="2880"/>
        </w:tabs>
        <w:ind w:left="2880" w:hanging="360"/>
      </w:pPr>
      <w:rPr>
        <w:rFonts w:ascii="Arial" w:hAnsi="Arial" w:hint="default"/>
      </w:rPr>
    </w:lvl>
    <w:lvl w:ilvl="4" w:tplc="C39011AA" w:tentative="1">
      <w:start w:val="1"/>
      <w:numFmt w:val="bullet"/>
      <w:lvlText w:val="•"/>
      <w:lvlJc w:val="left"/>
      <w:pPr>
        <w:tabs>
          <w:tab w:val="num" w:pos="3600"/>
        </w:tabs>
        <w:ind w:left="3600" w:hanging="360"/>
      </w:pPr>
      <w:rPr>
        <w:rFonts w:ascii="Arial" w:hAnsi="Arial" w:hint="default"/>
      </w:rPr>
    </w:lvl>
    <w:lvl w:ilvl="5" w:tplc="22383D76" w:tentative="1">
      <w:start w:val="1"/>
      <w:numFmt w:val="bullet"/>
      <w:lvlText w:val="•"/>
      <w:lvlJc w:val="left"/>
      <w:pPr>
        <w:tabs>
          <w:tab w:val="num" w:pos="4320"/>
        </w:tabs>
        <w:ind w:left="4320" w:hanging="360"/>
      </w:pPr>
      <w:rPr>
        <w:rFonts w:ascii="Arial" w:hAnsi="Arial" w:hint="default"/>
      </w:rPr>
    </w:lvl>
    <w:lvl w:ilvl="6" w:tplc="6AB407C2" w:tentative="1">
      <w:start w:val="1"/>
      <w:numFmt w:val="bullet"/>
      <w:lvlText w:val="•"/>
      <w:lvlJc w:val="left"/>
      <w:pPr>
        <w:tabs>
          <w:tab w:val="num" w:pos="5040"/>
        </w:tabs>
        <w:ind w:left="5040" w:hanging="360"/>
      </w:pPr>
      <w:rPr>
        <w:rFonts w:ascii="Arial" w:hAnsi="Arial" w:hint="default"/>
      </w:rPr>
    </w:lvl>
    <w:lvl w:ilvl="7" w:tplc="F89C3BE4" w:tentative="1">
      <w:start w:val="1"/>
      <w:numFmt w:val="bullet"/>
      <w:lvlText w:val="•"/>
      <w:lvlJc w:val="left"/>
      <w:pPr>
        <w:tabs>
          <w:tab w:val="num" w:pos="5760"/>
        </w:tabs>
        <w:ind w:left="5760" w:hanging="360"/>
      </w:pPr>
      <w:rPr>
        <w:rFonts w:ascii="Arial" w:hAnsi="Arial" w:hint="default"/>
      </w:rPr>
    </w:lvl>
    <w:lvl w:ilvl="8" w:tplc="EA6E2FD8" w:tentative="1">
      <w:start w:val="1"/>
      <w:numFmt w:val="bullet"/>
      <w:lvlText w:val="•"/>
      <w:lvlJc w:val="left"/>
      <w:pPr>
        <w:tabs>
          <w:tab w:val="num" w:pos="6480"/>
        </w:tabs>
        <w:ind w:left="6480" w:hanging="360"/>
      </w:pPr>
      <w:rPr>
        <w:rFonts w:ascii="Arial" w:hAnsi="Arial" w:hint="default"/>
      </w:rPr>
    </w:lvl>
  </w:abstractNum>
  <w:num w:numId="1" w16cid:durableId="205056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65"/>
    <w:rsid w:val="00051D02"/>
    <w:rsid w:val="000A1891"/>
    <w:rsid w:val="000D4390"/>
    <w:rsid w:val="001B0C9A"/>
    <w:rsid w:val="001E5E3A"/>
    <w:rsid w:val="00233AAB"/>
    <w:rsid w:val="002423E6"/>
    <w:rsid w:val="00256894"/>
    <w:rsid w:val="002762AD"/>
    <w:rsid w:val="0029041A"/>
    <w:rsid w:val="002F4BD5"/>
    <w:rsid w:val="0033368C"/>
    <w:rsid w:val="003803AC"/>
    <w:rsid w:val="003A6BE2"/>
    <w:rsid w:val="003B21C3"/>
    <w:rsid w:val="003B51FE"/>
    <w:rsid w:val="003B57FE"/>
    <w:rsid w:val="004018F8"/>
    <w:rsid w:val="00416FD1"/>
    <w:rsid w:val="00434445"/>
    <w:rsid w:val="004769AD"/>
    <w:rsid w:val="004F3F20"/>
    <w:rsid w:val="005266B4"/>
    <w:rsid w:val="005D62EA"/>
    <w:rsid w:val="005E27A8"/>
    <w:rsid w:val="006002A3"/>
    <w:rsid w:val="006423F3"/>
    <w:rsid w:val="006A25BB"/>
    <w:rsid w:val="006A7564"/>
    <w:rsid w:val="006C7704"/>
    <w:rsid w:val="006D227F"/>
    <w:rsid w:val="0071595A"/>
    <w:rsid w:val="007169DD"/>
    <w:rsid w:val="00762CAC"/>
    <w:rsid w:val="007C2B1C"/>
    <w:rsid w:val="007C6D41"/>
    <w:rsid w:val="00852445"/>
    <w:rsid w:val="00852DAA"/>
    <w:rsid w:val="008534F1"/>
    <w:rsid w:val="00897B28"/>
    <w:rsid w:val="008B05EB"/>
    <w:rsid w:val="00937383"/>
    <w:rsid w:val="009529DF"/>
    <w:rsid w:val="00987571"/>
    <w:rsid w:val="009E21A1"/>
    <w:rsid w:val="009E61C5"/>
    <w:rsid w:val="00A03AC5"/>
    <w:rsid w:val="00A17C1F"/>
    <w:rsid w:val="00A22477"/>
    <w:rsid w:val="00AB04ED"/>
    <w:rsid w:val="00AD1CAF"/>
    <w:rsid w:val="00AE3F4B"/>
    <w:rsid w:val="00AF0F6F"/>
    <w:rsid w:val="00B45864"/>
    <w:rsid w:val="00BE2865"/>
    <w:rsid w:val="00BF3782"/>
    <w:rsid w:val="00BF4B5D"/>
    <w:rsid w:val="00BF554E"/>
    <w:rsid w:val="00C00D12"/>
    <w:rsid w:val="00C743B4"/>
    <w:rsid w:val="00C80573"/>
    <w:rsid w:val="00C95865"/>
    <w:rsid w:val="00CB6DE9"/>
    <w:rsid w:val="00CE4388"/>
    <w:rsid w:val="00D61D95"/>
    <w:rsid w:val="00D96A1E"/>
    <w:rsid w:val="00DD6ACA"/>
    <w:rsid w:val="00DF22FA"/>
    <w:rsid w:val="00E63E0C"/>
    <w:rsid w:val="00E9074C"/>
    <w:rsid w:val="00EA2095"/>
    <w:rsid w:val="00ED4315"/>
    <w:rsid w:val="00ED6420"/>
    <w:rsid w:val="00FC64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38B1"/>
  <w15:docId w15:val="{E8D62FD6-2058-4455-80FA-6E319D56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link w:val="Ttulo1Car"/>
    <w:uiPriority w:val="9"/>
    <w:qFormat/>
    <w:pPr>
      <w:ind w:left="840"/>
      <w:outlineLvl w:val="0"/>
    </w:pPr>
    <w:rPr>
      <w:rFonts w:ascii="Arial" w:eastAsia="Arial" w:hAnsi="Arial" w:cs="Arial"/>
      <w:b/>
      <w:bCs/>
      <w:sz w:val="24"/>
      <w:szCs w:val="24"/>
    </w:rPr>
  </w:style>
  <w:style w:type="paragraph" w:styleId="Ttulo3">
    <w:name w:val="heading 3"/>
    <w:basedOn w:val="Normal"/>
    <w:next w:val="Normal"/>
    <w:link w:val="Ttulo3Car"/>
    <w:uiPriority w:val="9"/>
    <w:semiHidden/>
    <w:unhideWhenUsed/>
    <w:qFormat/>
    <w:rsid w:val="0085244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Ttulo">
    <w:name w:val="Title"/>
    <w:basedOn w:val="Normal"/>
    <w:uiPriority w:val="10"/>
    <w:qFormat/>
    <w:pPr>
      <w:spacing w:before="73"/>
      <w:ind w:left="112"/>
    </w:pPr>
    <w:rPr>
      <w:b/>
      <w:bCs/>
      <w:i/>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7C6D41"/>
    <w:rPr>
      <w:color w:val="0000FF" w:themeColor="hyperlink"/>
      <w:u w:val="single"/>
    </w:rPr>
  </w:style>
  <w:style w:type="character" w:styleId="Mencinsinresolver">
    <w:name w:val="Unresolved Mention"/>
    <w:basedOn w:val="Fuentedeprrafopredeter"/>
    <w:uiPriority w:val="99"/>
    <w:semiHidden/>
    <w:unhideWhenUsed/>
    <w:rsid w:val="007C6D41"/>
    <w:rPr>
      <w:color w:val="605E5C"/>
      <w:shd w:val="clear" w:color="auto" w:fill="E1DFDD"/>
    </w:rPr>
  </w:style>
  <w:style w:type="character" w:customStyle="1" w:styleId="Ttulo3Car">
    <w:name w:val="Título 3 Car"/>
    <w:basedOn w:val="Fuentedeprrafopredeter"/>
    <w:link w:val="Ttulo3"/>
    <w:uiPriority w:val="9"/>
    <w:semiHidden/>
    <w:rsid w:val="00852445"/>
    <w:rPr>
      <w:rFonts w:asciiTheme="majorHAnsi" w:eastAsiaTheme="majorEastAsia" w:hAnsiTheme="majorHAnsi" w:cstheme="majorBidi"/>
      <w:color w:val="243F60" w:themeColor="accent1" w:themeShade="7F"/>
      <w:sz w:val="24"/>
      <w:szCs w:val="24"/>
    </w:rPr>
  </w:style>
  <w:style w:type="character" w:customStyle="1" w:styleId="TextoindependienteCar">
    <w:name w:val="Texto independiente Car"/>
    <w:basedOn w:val="Fuentedeprrafopredeter"/>
    <w:link w:val="Textoindependiente"/>
    <w:uiPriority w:val="1"/>
    <w:rsid w:val="005E27A8"/>
    <w:rPr>
      <w:rFonts w:ascii="Times New Roman" w:eastAsia="Times New Roman" w:hAnsi="Times New Roman" w:cs="Times New Roman"/>
      <w:sz w:val="20"/>
      <w:szCs w:val="20"/>
    </w:rPr>
  </w:style>
  <w:style w:type="character" w:customStyle="1" w:styleId="Ttulo1Car">
    <w:name w:val="Título 1 Car"/>
    <w:basedOn w:val="Fuentedeprrafopredeter"/>
    <w:link w:val="Ttulo1"/>
    <w:uiPriority w:val="9"/>
    <w:rsid w:val="00AF0F6F"/>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99218">
      <w:bodyDiv w:val="1"/>
      <w:marLeft w:val="0"/>
      <w:marRight w:val="0"/>
      <w:marTop w:val="0"/>
      <w:marBottom w:val="0"/>
      <w:divBdr>
        <w:top w:val="none" w:sz="0" w:space="0" w:color="auto"/>
        <w:left w:val="none" w:sz="0" w:space="0" w:color="auto"/>
        <w:bottom w:val="none" w:sz="0" w:space="0" w:color="auto"/>
        <w:right w:val="none" w:sz="0" w:space="0" w:color="auto"/>
      </w:divBdr>
    </w:div>
    <w:div w:id="575675102">
      <w:bodyDiv w:val="1"/>
      <w:marLeft w:val="0"/>
      <w:marRight w:val="0"/>
      <w:marTop w:val="0"/>
      <w:marBottom w:val="0"/>
      <w:divBdr>
        <w:top w:val="none" w:sz="0" w:space="0" w:color="auto"/>
        <w:left w:val="none" w:sz="0" w:space="0" w:color="auto"/>
        <w:bottom w:val="none" w:sz="0" w:space="0" w:color="auto"/>
        <w:right w:val="none" w:sz="0" w:space="0" w:color="auto"/>
      </w:divBdr>
      <w:divsChild>
        <w:div w:id="59135744">
          <w:marLeft w:val="360"/>
          <w:marRight w:val="0"/>
          <w:marTop w:val="200"/>
          <w:marBottom w:val="0"/>
          <w:divBdr>
            <w:top w:val="none" w:sz="0" w:space="0" w:color="auto"/>
            <w:left w:val="none" w:sz="0" w:space="0" w:color="auto"/>
            <w:bottom w:val="none" w:sz="0" w:space="0" w:color="auto"/>
            <w:right w:val="none" w:sz="0" w:space="0" w:color="auto"/>
          </w:divBdr>
        </w:div>
        <w:div w:id="1888059360">
          <w:marLeft w:val="360"/>
          <w:marRight w:val="0"/>
          <w:marTop w:val="200"/>
          <w:marBottom w:val="0"/>
          <w:divBdr>
            <w:top w:val="none" w:sz="0" w:space="0" w:color="auto"/>
            <w:left w:val="none" w:sz="0" w:space="0" w:color="auto"/>
            <w:bottom w:val="none" w:sz="0" w:space="0" w:color="auto"/>
            <w:right w:val="none" w:sz="0" w:space="0" w:color="auto"/>
          </w:divBdr>
        </w:div>
        <w:div w:id="1504204583">
          <w:marLeft w:val="360"/>
          <w:marRight w:val="0"/>
          <w:marTop w:val="200"/>
          <w:marBottom w:val="0"/>
          <w:divBdr>
            <w:top w:val="none" w:sz="0" w:space="0" w:color="auto"/>
            <w:left w:val="none" w:sz="0" w:space="0" w:color="auto"/>
            <w:bottom w:val="none" w:sz="0" w:space="0" w:color="auto"/>
            <w:right w:val="none" w:sz="0" w:space="0" w:color="auto"/>
          </w:divBdr>
        </w:div>
      </w:divsChild>
    </w:div>
    <w:div w:id="1610359713">
      <w:bodyDiv w:val="1"/>
      <w:marLeft w:val="0"/>
      <w:marRight w:val="0"/>
      <w:marTop w:val="0"/>
      <w:marBottom w:val="0"/>
      <w:divBdr>
        <w:top w:val="none" w:sz="0" w:space="0" w:color="auto"/>
        <w:left w:val="none" w:sz="0" w:space="0" w:color="auto"/>
        <w:bottom w:val="none" w:sz="0" w:space="0" w:color="auto"/>
        <w:right w:val="none" w:sz="0" w:space="0" w:color="auto"/>
      </w:divBdr>
    </w:div>
    <w:div w:id="210641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saac.dyner@utadeo.edu.c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6EA15-A6C1-4123-8249-D8FAFBA5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782</Words>
  <Characters>4302</Characters>
  <Application>Microsoft Office Word</Application>
  <DocSecurity>0</DocSecurity>
  <Lines>35</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MÓNICA  CASTAÑEDA RIASCOS</cp:lastModifiedBy>
  <cp:revision>10</cp:revision>
  <dcterms:created xsi:type="dcterms:W3CDTF">2024-03-08T19:02:00Z</dcterms:created>
  <dcterms:modified xsi:type="dcterms:W3CDTF">2024-03-08T19:07:00Z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