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27F8" w14:textId="770D4D99" w:rsidR="00674814" w:rsidRDefault="00674814" w:rsidP="00674814">
      <w:pPr>
        <w:pStyle w:val="BodyText"/>
        <w:spacing w:before="2"/>
        <w:ind w:left="112"/>
        <w:rPr>
          <w:sz w:val="24"/>
        </w:rPr>
      </w:pPr>
      <w:r w:rsidRPr="00D73E08">
        <w:rPr>
          <w:b/>
          <w:bCs/>
          <w:sz w:val="28"/>
          <w:szCs w:val="28"/>
        </w:rPr>
        <w:t>ANALYZING THE GERMANY-BRAZIL COLLABORATION IN RENEWABLE ENERG</w:t>
      </w:r>
      <w:r>
        <w:rPr>
          <w:b/>
          <w:bCs/>
          <w:sz w:val="28"/>
          <w:szCs w:val="28"/>
        </w:rPr>
        <w:t>Y</w:t>
      </w:r>
      <w:r w:rsidRPr="00D73E08">
        <w:rPr>
          <w:b/>
          <w:bCs/>
          <w:sz w:val="28"/>
          <w:szCs w:val="28"/>
        </w:rPr>
        <w:t xml:space="preserve"> </w:t>
      </w:r>
      <w:r>
        <w:br w:type="column"/>
      </w:r>
    </w:p>
    <w:p w14:paraId="3401D629" w14:textId="77777777" w:rsidR="00A41EF6" w:rsidRDefault="00A41EF6">
      <w:pPr>
        <w:pStyle w:val="BodyText"/>
        <w:rPr>
          <w:sz w:val="24"/>
        </w:rPr>
      </w:pPr>
    </w:p>
    <w:p w14:paraId="4581A535" w14:textId="77777777" w:rsidR="00A41EF6" w:rsidRDefault="00A41EF6">
      <w:pPr>
        <w:pStyle w:val="BodyText"/>
        <w:spacing w:before="10"/>
        <w:rPr>
          <w:sz w:val="23"/>
        </w:rPr>
      </w:pPr>
    </w:p>
    <w:p w14:paraId="6AEEA6D0" w14:textId="2C894A9F" w:rsidR="00A41EF6" w:rsidRDefault="00D73E08" w:rsidP="00D73E08">
      <w:pPr>
        <w:pStyle w:val="BodyText"/>
        <w:spacing w:before="1"/>
        <w:ind w:left="112" w:right="103" w:firstLine="64"/>
        <w:jc w:val="right"/>
        <w:sectPr w:rsidR="00A41EF6" w:rsidSect="00A5574C">
          <w:type w:val="continuous"/>
          <w:pgSz w:w="12240" w:h="15840"/>
          <w:pgMar w:top="1240" w:right="620" w:bottom="280" w:left="600" w:header="720" w:footer="720" w:gutter="0"/>
          <w:cols w:num="2" w:space="720" w:equalWidth="0">
            <w:col w:w="6778" w:space="49"/>
            <w:col w:w="4193"/>
          </w:cols>
        </w:sectPr>
      </w:pPr>
      <w:r>
        <w:t>Victor Klärner, +5521970654444, victorklarner@gmail.com</w:t>
      </w:r>
      <w:r w:rsidR="00000000">
        <w:rPr>
          <w:w w:val="99"/>
        </w:rPr>
        <w:t xml:space="preserve"> </w:t>
      </w:r>
    </w:p>
    <w:p w14:paraId="60826B9A" w14:textId="5A87B26C" w:rsidR="00A41EF6" w:rsidRDefault="00A41EF6">
      <w:pPr>
        <w:pStyle w:val="BodyText"/>
        <w:spacing w:line="230" w:lineRule="exact"/>
        <w:ind w:left="6337"/>
      </w:pPr>
    </w:p>
    <w:p w14:paraId="40CED502" w14:textId="77777777" w:rsidR="00A41EF6" w:rsidRDefault="00A41EF6">
      <w:pPr>
        <w:pStyle w:val="BodyText"/>
        <w:rPr>
          <w:sz w:val="22"/>
        </w:rPr>
      </w:pPr>
    </w:p>
    <w:p w14:paraId="59CE7C53" w14:textId="77777777" w:rsidR="00A41EF6" w:rsidRDefault="00A41EF6">
      <w:pPr>
        <w:pStyle w:val="BodyText"/>
        <w:spacing w:before="4"/>
        <w:rPr>
          <w:sz w:val="22"/>
        </w:rPr>
      </w:pPr>
    </w:p>
    <w:p w14:paraId="61846ABF" w14:textId="1D658EBF" w:rsidR="00A41EF6" w:rsidRDefault="00000000">
      <w:pPr>
        <w:pStyle w:val="Heading1"/>
      </w:pPr>
      <w:r>
        <w:t>Overview</w:t>
      </w:r>
    </w:p>
    <w:p w14:paraId="2FFFFF20" w14:textId="77777777" w:rsidR="00A41EF6" w:rsidRDefault="00A41EF6">
      <w:pPr>
        <w:pStyle w:val="BodyText"/>
        <w:rPr>
          <w:rFonts w:ascii="Arial"/>
          <w:b/>
        </w:rPr>
      </w:pPr>
    </w:p>
    <w:p w14:paraId="1ED7B677" w14:textId="77777777" w:rsidR="009116B1" w:rsidRDefault="00D73E08">
      <w:pPr>
        <w:pStyle w:val="BodyText"/>
        <w:rPr>
          <w:rFonts w:ascii="Arial"/>
          <w:bCs/>
        </w:rPr>
      </w:pPr>
      <w:r w:rsidRPr="00D73E08">
        <w:rPr>
          <w:rFonts w:ascii="Arial"/>
          <w:bCs/>
        </w:rPr>
        <w:t xml:space="preserve">The ongoing imperative to move to sustainable and renewable energy sources is a key theme in global energy discussions today. This paper </w:t>
      </w:r>
      <w:proofErr w:type="gramStart"/>
      <w:r w:rsidRPr="00D73E08">
        <w:rPr>
          <w:rFonts w:ascii="Arial"/>
          <w:bCs/>
        </w:rPr>
        <w:t>looks into</w:t>
      </w:r>
      <w:proofErr w:type="gramEnd"/>
      <w:r w:rsidRPr="00D73E08">
        <w:rPr>
          <w:rFonts w:ascii="Arial"/>
          <w:bCs/>
        </w:rPr>
        <w:t xml:space="preserve"> the growing collaboration between Germany and Brazil in the domain of energy, with special emphasis on the part green hydrogen plays in increasing Germany</w:t>
      </w:r>
      <w:r w:rsidRPr="00D73E08">
        <w:rPr>
          <w:rFonts w:ascii="Arial"/>
          <w:bCs/>
        </w:rPr>
        <w:t>’</w:t>
      </w:r>
      <w:r w:rsidRPr="00D73E08">
        <w:rPr>
          <w:rFonts w:ascii="Arial"/>
          <w:bCs/>
        </w:rPr>
        <w:t xml:space="preserve">s independence in terms of its power supply while at the same time complying with the directives of the European Union on renewable energy. </w:t>
      </w:r>
    </w:p>
    <w:p w14:paraId="411F946F" w14:textId="77777777" w:rsidR="009116B1" w:rsidRDefault="009116B1">
      <w:pPr>
        <w:pStyle w:val="BodyText"/>
        <w:rPr>
          <w:rFonts w:ascii="Arial"/>
          <w:bCs/>
        </w:rPr>
      </w:pPr>
    </w:p>
    <w:p w14:paraId="326E865F" w14:textId="77777777" w:rsidR="009116B1" w:rsidRDefault="00D73E08">
      <w:pPr>
        <w:pStyle w:val="BodyText"/>
        <w:rPr>
          <w:rFonts w:ascii="Arial"/>
          <w:bCs/>
        </w:rPr>
      </w:pPr>
      <w:r w:rsidRPr="00D73E08">
        <w:rPr>
          <w:rFonts w:ascii="Arial"/>
          <w:bCs/>
        </w:rPr>
        <w:t>Germany</w:t>
      </w:r>
      <w:r w:rsidRPr="00D73E08">
        <w:rPr>
          <w:rFonts w:ascii="Arial"/>
          <w:bCs/>
        </w:rPr>
        <w:t>’</w:t>
      </w:r>
      <w:r w:rsidRPr="00D73E08">
        <w:rPr>
          <w:rFonts w:ascii="Arial"/>
          <w:bCs/>
        </w:rPr>
        <w:t xml:space="preserve">s energy strategy has experienced substantial effects from </w:t>
      </w:r>
      <w:r w:rsidRPr="00D73E08">
        <w:rPr>
          <w:rFonts w:ascii="Arial"/>
          <w:bCs/>
        </w:rPr>
        <w:t>“</w:t>
      </w:r>
      <w:proofErr w:type="spellStart"/>
      <w:r w:rsidRPr="00D73E08">
        <w:rPr>
          <w:rFonts w:ascii="Arial"/>
          <w:bCs/>
        </w:rPr>
        <w:t>Energiewende</w:t>
      </w:r>
      <w:proofErr w:type="spellEnd"/>
      <w:r w:rsidRPr="00D73E08">
        <w:rPr>
          <w:rFonts w:ascii="Arial"/>
          <w:bCs/>
        </w:rPr>
        <w:t>”</w:t>
      </w:r>
      <w:r w:rsidRPr="00D73E08">
        <w:rPr>
          <w:rFonts w:ascii="Arial"/>
          <w:bCs/>
        </w:rPr>
        <w:t xml:space="preserve"> (energy turnaround) policy, aimed at eliminating fossil fuels and atomic power in preference for renewable sources of power. Nonetheless, energy security and independence are threatened by the intermittent nature of renewable energy. In this regard, green hydrogen becomes a strategic resource for storing and transporting energy, thereby providing answers to the problem of ensuring consistent and dependable supply of power</w:t>
      </w:r>
      <w:r>
        <w:rPr>
          <w:rFonts w:ascii="Arial"/>
          <w:bCs/>
        </w:rPr>
        <w:t xml:space="preserve">. </w:t>
      </w:r>
    </w:p>
    <w:p w14:paraId="23F34D7E" w14:textId="77777777" w:rsidR="009116B1" w:rsidRDefault="009116B1">
      <w:pPr>
        <w:pStyle w:val="BodyText"/>
        <w:rPr>
          <w:rFonts w:ascii="Arial"/>
          <w:bCs/>
        </w:rPr>
      </w:pPr>
    </w:p>
    <w:p w14:paraId="0AEB2B05" w14:textId="5525BDE8" w:rsidR="00A41EF6" w:rsidRDefault="00D73E08">
      <w:pPr>
        <w:pStyle w:val="BodyText"/>
        <w:rPr>
          <w:rFonts w:ascii="Arial"/>
          <w:b/>
        </w:rPr>
      </w:pPr>
      <w:r w:rsidRPr="00D73E08">
        <w:rPr>
          <w:rFonts w:ascii="Arial"/>
          <w:bCs/>
        </w:rPr>
        <w:t>This partnership combines Brazil</w:t>
      </w:r>
      <w:r w:rsidRPr="00D73E08">
        <w:rPr>
          <w:rFonts w:ascii="Arial"/>
          <w:bCs/>
        </w:rPr>
        <w:t>’</w:t>
      </w:r>
      <w:r w:rsidRPr="00D73E08">
        <w:rPr>
          <w:rFonts w:ascii="Arial"/>
          <w:bCs/>
        </w:rPr>
        <w:t>s abundant renewable energy resources with Germany</w:t>
      </w:r>
      <w:r w:rsidRPr="00D73E08">
        <w:rPr>
          <w:rFonts w:ascii="Arial"/>
          <w:bCs/>
        </w:rPr>
        <w:t>’</w:t>
      </w:r>
      <w:r w:rsidRPr="00D73E08">
        <w:rPr>
          <w:rFonts w:ascii="Arial"/>
          <w:bCs/>
        </w:rPr>
        <w:t>s technological capabilities to create a strong green hydrogen-based economy. This coalition aims not only at expediting the switch to renewables but also making a significant contribution towards global efforts to address climate change and ensure resilience of energy systems.</w:t>
      </w:r>
    </w:p>
    <w:p w14:paraId="7ADE21B9" w14:textId="77777777" w:rsidR="00A41EF6" w:rsidRDefault="00A41EF6">
      <w:pPr>
        <w:pStyle w:val="BodyText"/>
        <w:rPr>
          <w:rFonts w:ascii="Arial"/>
          <w:b/>
        </w:rPr>
      </w:pPr>
    </w:p>
    <w:p w14:paraId="36C0BE47" w14:textId="77777777" w:rsidR="00A41EF6" w:rsidRDefault="00A41EF6">
      <w:pPr>
        <w:pStyle w:val="BodyText"/>
        <w:rPr>
          <w:rFonts w:ascii="Arial"/>
          <w:b/>
          <w:sz w:val="23"/>
        </w:rPr>
      </w:pPr>
    </w:p>
    <w:p w14:paraId="1B507E3D" w14:textId="3F79A409" w:rsidR="00A41EF6" w:rsidRDefault="00000000">
      <w:pPr>
        <w:ind w:left="840"/>
        <w:rPr>
          <w:rFonts w:ascii="Arial"/>
          <w:b/>
          <w:sz w:val="24"/>
        </w:rPr>
      </w:pPr>
      <w:r>
        <w:rPr>
          <w:rFonts w:ascii="Arial"/>
          <w:b/>
          <w:sz w:val="24"/>
        </w:rPr>
        <w:t>Methods</w:t>
      </w:r>
    </w:p>
    <w:p w14:paraId="7A07B8D5" w14:textId="77777777" w:rsidR="00A41EF6" w:rsidRDefault="00A41EF6">
      <w:pPr>
        <w:pStyle w:val="BodyText"/>
        <w:rPr>
          <w:rFonts w:ascii="Arial"/>
          <w:b/>
        </w:rPr>
      </w:pPr>
    </w:p>
    <w:p w14:paraId="154AB8F2" w14:textId="4C32928A" w:rsidR="00A41EF6" w:rsidRDefault="009116B1">
      <w:pPr>
        <w:pStyle w:val="BodyText"/>
        <w:rPr>
          <w:rFonts w:ascii="Arial"/>
          <w:bCs/>
        </w:rPr>
      </w:pPr>
      <w:r>
        <w:rPr>
          <w:rFonts w:ascii="Arial"/>
          <w:bCs/>
        </w:rPr>
        <w:t xml:space="preserve">Extensive review of existing case studies and </w:t>
      </w:r>
      <w:r w:rsidRPr="009116B1">
        <w:rPr>
          <w:rFonts w:ascii="Arial"/>
          <w:bCs/>
        </w:rPr>
        <w:t>academic</w:t>
      </w:r>
      <w:r>
        <w:rPr>
          <w:rFonts w:ascii="Arial"/>
          <w:bCs/>
        </w:rPr>
        <w:t xml:space="preserve"> papers on </w:t>
      </w:r>
      <w:r w:rsidRPr="009116B1">
        <w:rPr>
          <w:rFonts w:ascii="Arial"/>
          <w:bCs/>
        </w:rPr>
        <w:t>green hydrogen production</w:t>
      </w:r>
      <w:r>
        <w:rPr>
          <w:rFonts w:ascii="Arial"/>
          <w:bCs/>
        </w:rPr>
        <w:t>, regulation, and policy reports</w:t>
      </w:r>
      <w:r w:rsidRPr="009116B1">
        <w:rPr>
          <w:rFonts w:ascii="Arial"/>
          <w:bCs/>
        </w:rPr>
        <w:t xml:space="preserve">, </w:t>
      </w:r>
      <w:r>
        <w:rPr>
          <w:rFonts w:ascii="Arial"/>
          <w:bCs/>
        </w:rPr>
        <w:t xml:space="preserve">reports on </w:t>
      </w:r>
      <w:r w:rsidRPr="009116B1">
        <w:rPr>
          <w:rFonts w:ascii="Arial"/>
          <w:bCs/>
        </w:rPr>
        <w:t>EU renewable energy standards, and previous instances of international energy cooperation.</w:t>
      </w:r>
      <w:r>
        <w:rPr>
          <w:rFonts w:ascii="Arial"/>
          <w:bCs/>
        </w:rPr>
        <w:t xml:space="preserve"> </w:t>
      </w:r>
    </w:p>
    <w:p w14:paraId="53971949" w14:textId="59945C71" w:rsidR="009116B1" w:rsidRDefault="009116B1">
      <w:pPr>
        <w:pStyle w:val="BodyText"/>
        <w:rPr>
          <w:rFonts w:ascii="Arial"/>
          <w:bCs/>
        </w:rPr>
      </w:pPr>
      <w:r w:rsidRPr="009116B1">
        <w:rPr>
          <w:rFonts w:ascii="Arial"/>
          <w:bCs/>
        </w:rPr>
        <w:t>Utilizing available data on renewable energy capacity</w:t>
      </w:r>
      <w:r>
        <w:rPr>
          <w:rFonts w:ascii="Arial"/>
          <w:bCs/>
        </w:rPr>
        <w:t xml:space="preserve"> in Brazil, highlighting green hydrogen production capacity (</w:t>
      </w:r>
      <w:r w:rsidRPr="009116B1">
        <w:rPr>
          <w:rFonts w:ascii="Arial"/>
          <w:bCs/>
        </w:rPr>
        <w:t xml:space="preserve">considering factors such as energy efficiency, water availability, and </w:t>
      </w:r>
      <w:proofErr w:type="spellStart"/>
      <w:r w:rsidRPr="009116B1">
        <w:rPr>
          <w:rFonts w:ascii="Arial"/>
          <w:bCs/>
        </w:rPr>
        <w:t>electrolyzer</w:t>
      </w:r>
      <w:proofErr w:type="spellEnd"/>
      <w:r w:rsidRPr="009116B1">
        <w:rPr>
          <w:rFonts w:ascii="Arial"/>
          <w:bCs/>
        </w:rPr>
        <w:t xml:space="preserve"> technolog</w:t>
      </w:r>
      <w:r>
        <w:rPr>
          <w:rFonts w:ascii="Arial"/>
          <w:bCs/>
        </w:rPr>
        <w:t>y) and Germany</w:t>
      </w:r>
      <w:r>
        <w:rPr>
          <w:rFonts w:ascii="Arial"/>
          <w:bCs/>
        </w:rPr>
        <w:t>’</w:t>
      </w:r>
      <w:r>
        <w:rPr>
          <w:rFonts w:ascii="Arial"/>
          <w:bCs/>
        </w:rPr>
        <w:t xml:space="preserve">s </w:t>
      </w:r>
      <w:r w:rsidRPr="009116B1">
        <w:rPr>
          <w:rFonts w:ascii="Arial"/>
          <w:bCs/>
        </w:rPr>
        <w:t xml:space="preserve">energy </w:t>
      </w:r>
      <w:r>
        <w:rPr>
          <w:rFonts w:ascii="Arial"/>
          <w:bCs/>
        </w:rPr>
        <w:t>matrix</w:t>
      </w:r>
      <w:r w:rsidRPr="009116B1">
        <w:rPr>
          <w:rFonts w:ascii="Arial"/>
          <w:bCs/>
        </w:rPr>
        <w:t>,</w:t>
      </w:r>
      <w:r>
        <w:rPr>
          <w:rFonts w:ascii="Arial"/>
          <w:bCs/>
        </w:rPr>
        <w:t xml:space="preserve"> </w:t>
      </w:r>
      <w:r w:rsidRPr="009116B1">
        <w:rPr>
          <w:rFonts w:ascii="Arial"/>
          <w:bCs/>
        </w:rPr>
        <w:t>consumption prediction</w:t>
      </w:r>
      <w:r>
        <w:rPr>
          <w:rFonts w:ascii="Arial"/>
          <w:bCs/>
        </w:rPr>
        <w:t xml:space="preserve">, as well as </w:t>
      </w:r>
      <w:r w:rsidRPr="009116B1">
        <w:rPr>
          <w:rFonts w:ascii="Arial"/>
          <w:bCs/>
        </w:rPr>
        <w:t>domestic production, including the necessary infrastructure for hydrogen transportation, storage, and distribution</w:t>
      </w:r>
      <w:r>
        <w:rPr>
          <w:rFonts w:ascii="Arial"/>
          <w:bCs/>
        </w:rPr>
        <w:t>.</w:t>
      </w:r>
    </w:p>
    <w:p w14:paraId="6318B4FD" w14:textId="32B005CA" w:rsidR="009116B1" w:rsidRPr="009116B1" w:rsidRDefault="009116B1">
      <w:pPr>
        <w:pStyle w:val="BodyText"/>
        <w:rPr>
          <w:rFonts w:ascii="Arial"/>
          <w:bCs/>
        </w:rPr>
      </w:pPr>
      <w:r>
        <w:rPr>
          <w:rFonts w:ascii="Arial"/>
          <w:bCs/>
        </w:rPr>
        <w:t xml:space="preserve">Analysis </w:t>
      </w:r>
      <w:r w:rsidR="002B0E4D">
        <w:rPr>
          <w:rFonts w:ascii="Arial"/>
          <w:bCs/>
        </w:rPr>
        <w:t>of the current (and future) hydrogen regulatory framework/</w:t>
      </w:r>
      <w:r w:rsidR="002B0E4D" w:rsidRPr="002B0E4D">
        <w:rPr>
          <w:rFonts w:ascii="Arial"/>
          <w:bCs/>
        </w:rPr>
        <w:t>policy and regulatory frameworks in Germany, Brazil, and the EU</w:t>
      </w:r>
      <w:r w:rsidR="002B0E4D">
        <w:rPr>
          <w:rFonts w:ascii="Arial"/>
          <w:bCs/>
        </w:rPr>
        <w:t>.</w:t>
      </w:r>
    </w:p>
    <w:p w14:paraId="6A0C4142" w14:textId="77777777" w:rsidR="00A41EF6" w:rsidRDefault="00A41EF6">
      <w:pPr>
        <w:pStyle w:val="BodyText"/>
        <w:rPr>
          <w:rFonts w:ascii="Arial"/>
          <w:b/>
          <w:sz w:val="23"/>
        </w:rPr>
      </w:pPr>
    </w:p>
    <w:p w14:paraId="7330629B" w14:textId="37B7E4FD" w:rsidR="00A41EF6" w:rsidRDefault="00000000">
      <w:pPr>
        <w:pStyle w:val="Heading1"/>
      </w:pPr>
      <w:r>
        <w:t>Results</w:t>
      </w:r>
    </w:p>
    <w:p w14:paraId="2243C826" w14:textId="77777777" w:rsidR="00A41EF6" w:rsidRDefault="00A41EF6">
      <w:pPr>
        <w:pStyle w:val="BodyText"/>
        <w:rPr>
          <w:rFonts w:ascii="Arial"/>
          <w:b/>
        </w:rPr>
      </w:pPr>
    </w:p>
    <w:p w14:paraId="1D622CC1" w14:textId="6F374DFD" w:rsidR="00A41EF6" w:rsidRPr="002B0E4D" w:rsidRDefault="002B0E4D">
      <w:pPr>
        <w:pStyle w:val="BodyText"/>
        <w:rPr>
          <w:rFonts w:ascii="Arial"/>
          <w:bCs/>
        </w:rPr>
      </w:pPr>
      <w:r w:rsidRPr="002B0E4D">
        <w:rPr>
          <w:rFonts w:ascii="Arial"/>
          <w:bCs/>
        </w:rPr>
        <w:t>The research into German-Brazilian cooperation on green hydrogen suggests that this partnership could significantly enhance Germany's energy diversification and help achieve the EU's renewable energy targets. By combining Brazil's vast renewable energy resources with Germany's technological and industrial strengths, a sustainable and economically viable green hydrogen supply chain could be established. However, the success of this cooperation depends on overcoming regulatory barriers, ensuring economic feasibility, and maintaining strong bilateral relationships. The findings are expected to underscore the importance of international collaboration in the renewable energy transition, providing valuable insights for policymakers, industry stakeholders, and researchers in the green hydrogen sector.</w:t>
      </w:r>
    </w:p>
    <w:p w14:paraId="5A5B9E83" w14:textId="77777777" w:rsidR="00A41EF6" w:rsidRDefault="00A41EF6">
      <w:pPr>
        <w:pStyle w:val="BodyText"/>
        <w:rPr>
          <w:rFonts w:ascii="Arial"/>
          <w:b/>
        </w:rPr>
      </w:pPr>
    </w:p>
    <w:p w14:paraId="07DCDC7D" w14:textId="77777777" w:rsidR="00A41EF6" w:rsidRDefault="00A41EF6">
      <w:pPr>
        <w:pStyle w:val="BodyText"/>
        <w:rPr>
          <w:rFonts w:ascii="Arial"/>
          <w:b/>
          <w:sz w:val="23"/>
        </w:rPr>
      </w:pPr>
    </w:p>
    <w:p w14:paraId="7D9A7574" w14:textId="3FB105B4" w:rsidR="00A41EF6" w:rsidRPr="002B0E4D" w:rsidRDefault="00000000" w:rsidP="002B0E4D">
      <w:pPr>
        <w:ind w:left="840"/>
        <w:rPr>
          <w:rFonts w:ascii="Arial"/>
          <w:b/>
          <w:sz w:val="24"/>
        </w:rPr>
      </w:pPr>
      <w:r>
        <w:rPr>
          <w:rFonts w:ascii="Arial"/>
          <w:b/>
          <w:sz w:val="24"/>
        </w:rPr>
        <w:t>Conclusions</w:t>
      </w:r>
    </w:p>
    <w:p w14:paraId="2998E55E" w14:textId="77777777" w:rsidR="00A41EF6" w:rsidRDefault="00A41EF6">
      <w:pPr>
        <w:pStyle w:val="BodyText"/>
        <w:rPr>
          <w:rFonts w:ascii="Arial"/>
          <w:b/>
        </w:rPr>
      </w:pPr>
    </w:p>
    <w:p w14:paraId="3583C875" w14:textId="5CB11554" w:rsidR="00A41EF6" w:rsidRPr="00674814" w:rsidRDefault="00674814" w:rsidP="00674814">
      <w:pPr>
        <w:pStyle w:val="BodyText"/>
        <w:rPr>
          <w:rFonts w:ascii="Arial"/>
          <w:bCs/>
        </w:rPr>
      </w:pPr>
      <w:r w:rsidRPr="00674814">
        <w:rPr>
          <w:rFonts w:ascii="Arial"/>
          <w:bCs/>
        </w:rPr>
        <w:t xml:space="preserve">Germanys </w:t>
      </w:r>
      <w:proofErr w:type="spellStart"/>
      <w:r w:rsidRPr="00674814">
        <w:rPr>
          <w:rFonts w:ascii="Arial"/>
          <w:bCs/>
        </w:rPr>
        <w:t>Energiewende</w:t>
      </w:r>
      <w:proofErr w:type="spellEnd"/>
      <w:r w:rsidRPr="00674814">
        <w:rPr>
          <w:rFonts w:ascii="Arial"/>
          <w:bCs/>
        </w:rPr>
        <w:t xml:space="preserve"> and its partnerships, with Brazil showcase the impact of global collaboration in advancing renewable energy capabilities and reducing carbon emissions worldwide. By combining Germanys expertise with </w:t>
      </w:r>
      <w:proofErr w:type="spellStart"/>
      <w:r w:rsidRPr="00674814">
        <w:rPr>
          <w:rFonts w:ascii="Arial"/>
          <w:bCs/>
        </w:rPr>
        <w:t>Brazils</w:t>
      </w:r>
      <w:proofErr w:type="spellEnd"/>
      <w:r w:rsidRPr="00674814">
        <w:rPr>
          <w:rFonts w:ascii="Arial"/>
          <w:bCs/>
        </w:rPr>
        <w:t xml:space="preserve"> energy sources particularly in the field of green hydrogen this alliance demonstrates how diversifying energy resources and investing in renewables can strengthen national energy security. Green hydrogen plays a </w:t>
      </w:r>
      <w:r w:rsidRPr="00674814">
        <w:rPr>
          <w:rFonts w:ascii="Arial"/>
          <w:bCs/>
        </w:rPr>
        <w:t>role in</w:t>
      </w:r>
      <w:r w:rsidRPr="00674814">
        <w:rPr>
          <w:rFonts w:ascii="Arial"/>
          <w:bCs/>
        </w:rPr>
        <w:t xml:space="preserve"> providing a way to improve the reliability and independence of renewable energy systems. </w:t>
      </w:r>
      <w:r w:rsidRPr="00674814">
        <w:rPr>
          <w:rFonts w:ascii="Arial"/>
          <w:bCs/>
        </w:rPr>
        <w:t>However,</w:t>
      </w:r>
      <w:r w:rsidRPr="00674814">
        <w:rPr>
          <w:rFonts w:ascii="Arial"/>
          <w:bCs/>
        </w:rPr>
        <w:t xml:space="preserve"> the success of shifts relies on international policies and frameworks highlighting the importance of unified global strategies to address obstacles and fully reap the rewards of sustainable energy transitions.</w:t>
      </w:r>
    </w:p>
    <w:sectPr w:rsidR="00A41EF6" w:rsidRPr="00674814">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U2MzMzMjAwMzc2MjJS0lEKTi0uzszPAykwrAUAx7e0YCwAAAA="/>
  </w:docVars>
  <w:rsids>
    <w:rsidRoot w:val="00A41EF6"/>
    <w:rsid w:val="002B0E4D"/>
    <w:rsid w:val="00674814"/>
    <w:rsid w:val="007A550B"/>
    <w:rsid w:val="009116B1"/>
    <w:rsid w:val="00A41EF6"/>
    <w:rsid w:val="00A5574C"/>
    <w:rsid w:val="00D73E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9877"/>
  <w15:docId w15:val="{4DDCDCAD-C485-4DA5-BFF0-3841F16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12"/>
    </w:pPr>
    <w:rPr>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505">
      <w:bodyDiv w:val="1"/>
      <w:marLeft w:val="0"/>
      <w:marRight w:val="0"/>
      <w:marTop w:val="0"/>
      <w:marBottom w:val="0"/>
      <w:divBdr>
        <w:top w:val="none" w:sz="0" w:space="0" w:color="auto"/>
        <w:left w:val="none" w:sz="0" w:space="0" w:color="auto"/>
        <w:bottom w:val="none" w:sz="0" w:space="0" w:color="auto"/>
        <w:right w:val="none" w:sz="0" w:space="0" w:color="auto"/>
      </w:divBdr>
      <w:divsChild>
        <w:div w:id="427703771">
          <w:marLeft w:val="0"/>
          <w:marRight w:val="0"/>
          <w:marTop w:val="0"/>
          <w:marBottom w:val="0"/>
          <w:divBdr>
            <w:top w:val="single" w:sz="2" w:space="0" w:color="E3E3E3"/>
            <w:left w:val="single" w:sz="2" w:space="0" w:color="E3E3E3"/>
            <w:bottom w:val="single" w:sz="2" w:space="0" w:color="E3E3E3"/>
            <w:right w:val="single" w:sz="2" w:space="0" w:color="E3E3E3"/>
          </w:divBdr>
          <w:divsChild>
            <w:div w:id="1389956928">
              <w:marLeft w:val="0"/>
              <w:marRight w:val="0"/>
              <w:marTop w:val="100"/>
              <w:marBottom w:val="100"/>
              <w:divBdr>
                <w:top w:val="single" w:sz="2" w:space="0" w:color="E3E3E3"/>
                <w:left w:val="single" w:sz="2" w:space="0" w:color="E3E3E3"/>
                <w:bottom w:val="single" w:sz="2" w:space="0" w:color="E3E3E3"/>
                <w:right w:val="single" w:sz="2" w:space="0" w:color="E3E3E3"/>
              </w:divBdr>
              <w:divsChild>
                <w:div w:id="1169910016">
                  <w:marLeft w:val="0"/>
                  <w:marRight w:val="0"/>
                  <w:marTop w:val="0"/>
                  <w:marBottom w:val="0"/>
                  <w:divBdr>
                    <w:top w:val="single" w:sz="2" w:space="0" w:color="E3E3E3"/>
                    <w:left w:val="single" w:sz="2" w:space="0" w:color="E3E3E3"/>
                    <w:bottom w:val="single" w:sz="2" w:space="0" w:color="E3E3E3"/>
                    <w:right w:val="single" w:sz="2" w:space="0" w:color="E3E3E3"/>
                  </w:divBdr>
                  <w:divsChild>
                    <w:div w:id="1110709948">
                      <w:marLeft w:val="0"/>
                      <w:marRight w:val="0"/>
                      <w:marTop w:val="0"/>
                      <w:marBottom w:val="0"/>
                      <w:divBdr>
                        <w:top w:val="single" w:sz="2" w:space="0" w:color="E3E3E3"/>
                        <w:left w:val="single" w:sz="2" w:space="0" w:color="E3E3E3"/>
                        <w:bottom w:val="single" w:sz="2" w:space="0" w:color="E3E3E3"/>
                        <w:right w:val="single" w:sz="2" w:space="0" w:color="E3E3E3"/>
                      </w:divBdr>
                      <w:divsChild>
                        <w:div w:id="2116900635">
                          <w:marLeft w:val="0"/>
                          <w:marRight w:val="0"/>
                          <w:marTop w:val="0"/>
                          <w:marBottom w:val="0"/>
                          <w:divBdr>
                            <w:top w:val="single" w:sz="2" w:space="0" w:color="E3E3E3"/>
                            <w:left w:val="single" w:sz="2" w:space="0" w:color="E3E3E3"/>
                            <w:bottom w:val="single" w:sz="2" w:space="0" w:color="E3E3E3"/>
                            <w:right w:val="single" w:sz="2" w:space="0" w:color="E3E3E3"/>
                          </w:divBdr>
                          <w:divsChild>
                            <w:div w:id="199519099">
                              <w:marLeft w:val="0"/>
                              <w:marRight w:val="0"/>
                              <w:marTop w:val="0"/>
                              <w:marBottom w:val="0"/>
                              <w:divBdr>
                                <w:top w:val="single" w:sz="2" w:space="0" w:color="E3E3E3"/>
                                <w:left w:val="single" w:sz="2" w:space="0" w:color="E3E3E3"/>
                                <w:bottom w:val="single" w:sz="2" w:space="0" w:color="E3E3E3"/>
                                <w:right w:val="single" w:sz="2" w:space="0" w:color="E3E3E3"/>
                              </w:divBdr>
                              <w:divsChild>
                                <w:div w:id="1362363099">
                                  <w:marLeft w:val="0"/>
                                  <w:marRight w:val="0"/>
                                  <w:marTop w:val="0"/>
                                  <w:marBottom w:val="0"/>
                                  <w:divBdr>
                                    <w:top w:val="single" w:sz="2" w:space="0" w:color="E3E3E3"/>
                                    <w:left w:val="single" w:sz="2" w:space="0" w:color="E3E3E3"/>
                                    <w:bottom w:val="single" w:sz="2" w:space="0" w:color="E3E3E3"/>
                                    <w:right w:val="single" w:sz="2" w:space="0" w:color="E3E3E3"/>
                                  </w:divBdr>
                                  <w:divsChild>
                                    <w:div w:id="961115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0975139">
      <w:bodyDiv w:val="1"/>
      <w:marLeft w:val="0"/>
      <w:marRight w:val="0"/>
      <w:marTop w:val="0"/>
      <w:marBottom w:val="0"/>
      <w:divBdr>
        <w:top w:val="none" w:sz="0" w:space="0" w:color="auto"/>
        <w:left w:val="none" w:sz="0" w:space="0" w:color="auto"/>
        <w:bottom w:val="none" w:sz="0" w:space="0" w:color="auto"/>
        <w:right w:val="none" w:sz="0" w:space="0" w:color="auto"/>
      </w:divBdr>
      <w:divsChild>
        <w:div w:id="1407218325">
          <w:marLeft w:val="0"/>
          <w:marRight w:val="0"/>
          <w:marTop w:val="0"/>
          <w:marBottom w:val="0"/>
          <w:divBdr>
            <w:top w:val="single" w:sz="2" w:space="0" w:color="E3E3E3"/>
            <w:left w:val="single" w:sz="2" w:space="0" w:color="E3E3E3"/>
            <w:bottom w:val="single" w:sz="2" w:space="0" w:color="E3E3E3"/>
            <w:right w:val="single" w:sz="2" w:space="0" w:color="E3E3E3"/>
          </w:divBdr>
          <w:divsChild>
            <w:div w:id="841238805">
              <w:marLeft w:val="0"/>
              <w:marRight w:val="0"/>
              <w:marTop w:val="100"/>
              <w:marBottom w:val="100"/>
              <w:divBdr>
                <w:top w:val="single" w:sz="2" w:space="0" w:color="E3E3E3"/>
                <w:left w:val="single" w:sz="2" w:space="0" w:color="E3E3E3"/>
                <w:bottom w:val="single" w:sz="2" w:space="0" w:color="E3E3E3"/>
                <w:right w:val="single" w:sz="2" w:space="0" w:color="E3E3E3"/>
              </w:divBdr>
              <w:divsChild>
                <w:div w:id="816846287">
                  <w:marLeft w:val="0"/>
                  <w:marRight w:val="0"/>
                  <w:marTop w:val="0"/>
                  <w:marBottom w:val="0"/>
                  <w:divBdr>
                    <w:top w:val="single" w:sz="2" w:space="0" w:color="E3E3E3"/>
                    <w:left w:val="single" w:sz="2" w:space="0" w:color="E3E3E3"/>
                    <w:bottom w:val="single" w:sz="2" w:space="0" w:color="E3E3E3"/>
                    <w:right w:val="single" w:sz="2" w:space="0" w:color="E3E3E3"/>
                  </w:divBdr>
                  <w:divsChild>
                    <w:div w:id="2044397139">
                      <w:marLeft w:val="0"/>
                      <w:marRight w:val="0"/>
                      <w:marTop w:val="0"/>
                      <w:marBottom w:val="0"/>
                      <w:divBdr>
                        <w:top w:val="single" w:sz="2" w:space="0" w:color="E3E3E3"/>
                        <w:left w:val="single" w:sz="2" w:space="0" w:color="E3E3E3"/>
                        <w:bottom w:val="single" w:sz="2" w:space="0" w:color="E3E3E3"/>
                        <w:right w:val="single" w:sz="2" w:space="0" w:color="E3E3E3"/>
                      </w:divBdr>
                      <w:divsChild>
                        <w:div w:id="488713376">
                          <w:marLeft w:val="0"/>
                          <w:marRight w:val="0"/>
                          <w:marTop w:val="0"/>
                          <w:marBottom w:val="0"/>
                          <w:divBdr>
                            <w:top w:val="single" w:sz="2" w:space="0" w:color="E3E3E3"/>
                            <w:left w:val="single" w:sz="2" w:space="0" w:color="E3E3E3"/>
                            <w:bottom w:val="single" w:sz="2" w:space="0" w:color="E3E3E3"/>
                            <w:right w:val="single" w:sz="2" w:space="0" w:color="E3E3E3"/>
                          </w:divBdr>
                          <w:divsChild>
                            <w:div w:id="735325421">
                              <w:marLeft w:val="0"/>
                              <w:marRight w:val="0"/>
                              <w:marTop w:val="0"/>
                              <w:marBottom w:val="0"/>
                              <w:divBdr>
                                <w:top w:val="single" w:sz="2" w:space="0" w:color="E3E3E3"/>
                                <w:left w:val="single" w:sz="2" w:space="0" w:color="E3E3E3"/>
                                <w:bottom w:val="single" w:sz="2" w:space="0" w:color="E3E3E3"/>
                                <w:right w:val="single" w:sz="2" w:space="0" w:color="E3E3E3"/>
                              </w:divBdr>
                              <w:divsChild>
                                <w:div w:id="427117064">
                                  <w:marLeft w:val="0"/>
                                  <w:marRight w:val="0"/>
                                  <w:marTop w:val="0"/>
                                  <w:marBottom w:val="0"/>
                                  <w:divBdr>
                                    <w:top w:val="single" w:sz="2" w:space="0" w:color="E3E3E3"/>
                                    <w:left w:val="single" w:sz="2" w:space="0" w:color="E3E3E3"/>
                                    <w:bottom w:val="single" w:sz="2" w:space="0" w:color="E3E3E3"/>
                                    <w:right w:val="single" w:sz="2" w:space="0" w:color="E3E3E3"/>
                                  </w:divBdr>
                                  <w:divsChild>
                                    <w:div w:id="358432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3756322">
      <w:bodyDiv w:val="1"/>
      <w:marLeft w:val="0"/>
      <w:marRight w:val="0"/>
      <w:marTop w:val="0"/>
      <w:marBottom w:val="0"/>
      <w:divBdr>
        <w:top w:val="none" w:sz="0" w:space="0" w:color="auto"/>
        <w:left w:val="none" w:sz="0" w:space="0" w:color="auto"/>
        <w:bottom w:val="none" w:sz="0" w:space="0" w:color="auto"/>
        <w:right w:val="none" w:sz="0" w:space="0" w:color="auto"/>
      </w:divBdr>
      <w:divsChild>
        <w:div w:id="2033605412">
          <w:marLeft w:val="0"/>
          <w:marRight w:val="0"/>
          <w:marTop w:val="0"/>
          <w:marBottom w:val="0"/>
          <w:divBdr>
            <w:top w:val="single" w:sz="2" w:space="0" w:color="E3E3E3"/>
            <w:left w:val="single" w:sz="2" w:space="0" w:color="E3E3E3"/>
            <w:bottom w:val="single" w:sz="2" w:space="0" w:color="E3E3E3"/>
            <w:right w:val="single" w:sz="2" w:space="0" w:color="E3E3E3"/>
          </w:divBdr>
          <w:divsChild>
            <w:div w:id="162696103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4811371">
                  <w:marLeft w:val="0"/>
                  <w:marRight w:val="0"/>
                  <w:marTop w:val="0"/>
                  <w:marBottom w:val="0"/>
                  <w:divBdr>
                    <w:top w:val="single" w:sz="2" w:space="0" w:color="E3E3E3"/>
                    <w:left w:val="single" w:sz="2" w:space="0" w:color="E3E3E3"/>
                    <w:bottom w:val="single" w:sz="2" w:space="0" w:color="E3E3E3"/>
                    <w:right w:val="single" w:sz="2" w:space="0" w:color="E3E3E3"/>
                  </w:divBdr>
                  <w:divsChild>
                    <w:div w:id="45492913">
                      <w:marLeft w:val="0"/>
                      <w:marRight w:val="0"/>
                      <w:marTop w:val="0"/>
                      <w:marBottom w:val="0"/>
                      <w:divBdr>
                        <w:top w:val="single" w:sz="2" w:space="0" w:color="E3E3E3"/>
                        <w:left w:val="single" w:sz="2" w:space="0" w:color="E3E3E3"/>
                        <w:bottom w:val="single" w:sz="2" w:space="0" w:color="E3E3E3"/>
                        <w:right w:val="single" w:sz="2" w:space="0" w:color="E3E3E3"/>
                      </w:divBdr>
                      <w:divsChild>
                        <w:div w:id="117528629">
                          <w:marLeft w:val="0"/>
                          <w:marRight w:val="0"/>
                          <w:marTop w:val="0"/>
                          <w:marBottom w:val="0"/>
                          <w:divBdr>
                            <w:top w:val="single" w:sz="2" w:space="0" w:color="E3E3E3"/>
                            <w:left w:val="single" w:sz="2" w:space="0" w:color="E3E3E3"/>
                            <w:bottom w:val="single" w:sz="2" w:space="0" w:color="E3E3E3"/>
                            <w:right w:val="single" w:sz="2" w:space="0" w:color="E3E3E3"/>
                          </w:divBdr>
                          <w:divsChild>
                            <w:div w:id="1959952230">
                              <w:marLeft w:val="0"/>
                              <w:marRight w:val="0"/>
                              <w:marTop w:val="0"/>
                              <w:marBottom w:val="0"/>
                              <w:divBdr>
                                <w:top w:val="single" w:sz="2" w:space="0" w:color="E3E3E3"/>
                                <w:left w:val="single" w:sz="2" w:space="0" w:color="E3E3E3"/>
                                <w:bottom w:val="single" w:sz="2" w:space="0" w:color="E3E3E3"/>
                                <w:right w:val="single" w:sz="2" w:space="0" w:color="E3E3E3"/>
                              </w:divBdr>
                              <w:divsChild>
                                <w:div w:id="440536712">
                                  <w:marLeft w:val="0"/>
                                  <w:marRight w:val="0"/>
                                  <w:marTop w:val="0"/>
                                  <w:marBottom w:val="0"/>
                                  <w:divBdr>
                                    <w:top w:val="single" w:sz="2" w:space="0" w:color="E3E3E3"/>
                                    <w:left w:val="single" w:sz="2" w:space="0" w:color="E3E3E3"/>
                                    <w:bottom w:val="single" w:sz="2" w:space="0" w:color="E3E3E3"/>
                                    <w:right w:val="single" w:sz="2" w:space="0" w:color="E3E3E3"/>
                                  </w:divBdr>
                                  <w:divsChild>
                                    <w:div w:id="338508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Veirano Advogados</cp:lastModifiedBy>
  <cp:revision>3</cp:revision>
  <dcterms:created xsi:type="dcterms:W3CDTF">2024-03-20T00:39:00Z</dcterms:created>
  <dcterms:modified xsi:type="dcterms:W3CDTF">2024-03-20T00:39:00Z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