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C7BF1" w14:textId="77777777" w:rsidR="00876B88" w:rsidRDefault="00047E6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 SEMENTE </w:t>
      </w:r>
      <w:r>
        <w:rPr>
          <w:sz w:val="24"/>
          <w:szCs w:val="24"/>
        </w:rPr>
        <w:t>À FLORESTA</w:t>
      </w:r>
      <w:r>
        <w:rPr>
          <w:color w:val="000000"/>
          <w:sz w:val="24"/>
          <w:szCs w:val="24"/>
        </w:rPr>
        <w:t>: EFEITO DA POSIÇÃO DA SEMENTE NO FRUTO SOBRE A PRODUÇÃO DE MUDAS DE PAU-PRETO PARA ESTABELECIMENTO DE POVOAMENTOS FLORESTAIS RESILIENTES NA AMAZÔNIA.</w:t>
      </w:r>
    </w:p>
    <w:p w14:paraId="310B8965" w14:textId="77777777" w:rsidR="00876B88" w:rsidRDefault="00876B8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2A2AE0E" w14:textId="77777777" w:rsidR="00876B88" w:rsidRDefault="00876B8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5FC08B4" w14:textId="77777777" w:rsidR="00876B88" w:rsidRDefault="00047E60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Denise Meireles Goes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Maria Eduarda Ferreira Vinagre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Jamerson Sousa Cordeiro¹; Sofia Alves de Mesquita¹; Andreza da Silva Gama¹; </w:t>
      </w:r>
      <w:r w:rsidRPr="00B7556A">
        <w:rPr>
          <w:sz w:val="24"/>
          <w:szCs w:val="24"/>
          <w:u w:val="single"/>
        </w:rPr>
        <w:t>Thâmara Moura Lima²</w:t>
      </w:r>
    </w:p>
    <w:p w14:paraId="40E6D561" w14:textId="77777777" w:rsidR="00876B88" w:rsidRDefault="00876B88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</w:p>
    <w:p w14:paraId="7294CAF8" w14:textId="77777777" w:rsidR="00876B88" w:rsidRDefault="00047E6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Graduanda em Engenharia Florestal. Universidade Federal Rural da Amazônia.</w:t>
      </w:r>
    </w:p>
    <w:p w14:paraId="513B790A" w14:textId="77777777" w:rsidR="00876B88" w:rsidRDefault="00047E6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 denise.goes@discente.ufra.edu.br</w:t>
      </w:r>
    </w:p>
    <w:p w14:paraId="719F52AA" w14:textId="168D8724" w:rsidR="00876B88" w:rsidRDefault="00047E6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Quattrocento Sans" w:eastAsia="Quattrocento Sans" w:hAnsi="Quattrocento Sans" w:cs="Quattrocento Sans"/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Pós D</w:t>
      </w:r>
      <w:r>
        <w:rPr>
          <w:color w:val="000000"/>
          <w:sz w:val="24"/>
          <w:szCs w:val="24"/>
        </w:rPr>
        <w:t>outorado em Genética e</w:t>
      </w:r>
      <w:r w:rsidR="00177DE9">
        <w:rPr>
          <w:color w:val="000000"/>
          <w:sz w:val="24"/>
          <w:szCs w:val="24"/>
        </w:rPr>
        <w:t xml:space="preserve"> Melhoramento de Plantas</w:t>
      </w:r>
      <w:r>
        <w:rPr>
          <w:color w:val="000000"/>
          <w:sz w:val="24"/>
          <w:szCs w:val="24"/>
        </w:rPr>
        <w:t>. Universidade Federal Rural da Amazônia.  </w:t>
      </w:r>
    </w:p>
    <w:p w14:paraId="08334264" w14:textId="77777777" w:rsidR="00876B88" w:rsidRDefault="00047E6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FF0000"/>
          <w:sz w:val="24"/>
          <w:szCs w:val="24"/>
        </w:rPr>
        <w:t> </w:t>
      </w:r>
    </w:p>
    <w:p w14:paraId="160A9710" w14:textId="77777777" w:rsidR="00876B88" w:rsidRDefault="00876B88" w:rsidP="00B7556A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rPr>
          <w:sz w:val="24"/>
          <w:szCs w:val="24"/>
        </w:rPr>
      </w:pPr>
      <w:bookmarkStart w:id="0" w:name="_heading=h.c50g75q16mb3" w:colFirst="0" w:colLast="0"/>
      <w:bookmarkEnd w:id="0"/>
    </w:p>
    <w:p w14:paraId="2F51FEEE" w14:textId="77777777" w:rsidR="00876B88" w:rsidRDefault="00047E6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77ADBA30" w14:textId="77777777" w:rsidR="00876B88" w:rsidRDefault="00876B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</w:p>
    <w:p w14:paraId="5ECCB973" w14:textId="1A9B3966" w:rsidR="00876B88" w:rsidRDefault="00047E6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presente estudo avaliou o efeito da posição da semente no fruto sobre o desenvolvimento inicial de mudas de </w:t>
      </w:r>
      <w:r>
        <w:rPr>
          <w:i/>
          <w:sz w:val="24"/>
          <w:szCs w:val="24"/>
        </w:rPr>
        <w:t>Cenostigma tocantinum</w:t>
      </w:r>
      <w:r>
        <w:rPr>
          <w:sz w:val="24"/>
          <w:szCs w:val="24"/>
        </w:rPr>
        <w:t xml:space="preserve"> </w:t>
      </w:r>
      <w:proofErr w:type="spellStart"/>
      <w:r w:rsidR="00177DE9" w:rsidRPr="00177DE9">
        <w:rPr>
          <w:sz w:val="24"/>
          <w:szCs w:val="24"/>
        </w:rPr>
        <w:t>Ducke</w:t>
      </w:r>
      <w:proofErr w:type="spellEnd"/>
      <w:r>
        <w:rPr>
          <w:sz w:val="24"/>
          <w:szCs w:val="24"/>
        </w:rPr>
        <w:t xml:space="preserve">(pau-preto), espécie de reconhecida importância ecológica e econômica na Amazônia. A investigação dessa variação </w:t>
      </w:r>
      <w:proofErr w:type="spellStart"/>
      <w:r>
        <w:rPr>
          <w:sz w:val="24"/>
          <w:szCs w:val="24"/>
        </w:rPr>
        <w:t>intra-fruto</w:t>
      </w:r>
      <w:proofErr w:type="spellEnd"/>
      <w:r>
        <w:rPr>
          <w:sz w:val="24"/>
          <w:szCs w:val="24"/>
        </w:rPr>
        <w:t xml:space="preserve"> é relevante para aprimorar práticas de propagação e manejo de sementes utilizadas na restauração florestal. O experimento foi conduzido no viveiro florestal do Instituto de Ciências Agrárias da Universidade Federal Rural da Amazônia (ICA-UFRA), em Belém-PA. As sementes foram classificadas em distais e proximais e semeadas em tubetes contendo o substrato comercial </w:t>
      </w:r>
      <w:r>
        <w:rPr>
          <w:i/>
          <w:sz w:val="24"/>
          <w:szCs w:val="24"/>
        </w:rPr>
        <w:t>Carolina</w:t>
      </w:r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Soil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Pindstrup</w:t>
      </w:r>
      <w:proofErr w:type="spellEnd"/>
      <w:r>
        <w:rPr>
          <w:sz w:val="24"/>
          <w:szCs w:val="24"/>
        </w:rPr>
        <w:t xml:space="preserve">, com incorporação do fertilizante orgânico mineral </w:t>
      </w:r>
      <w:proofErr w:type="spellStart"/>
      <w:r>
        <w:rPr>
          <w:sz w:val="24"/>
          <w:szCs w:val="24"/>
        </w:rPr>
        <w:t>Kacote</w:t>
      </w:r>
      <w:proofErr w:type="spellEnd"/>
      <w:r>
        <w:rPr>
          <w:sz w:val="24"/>
          <w:szCs w:val="24"/>
        </w:rPr>
        <w:t xml:space="preserve">. O delineamento experimental foi inteiramente </w:t>
      </w:r>
      <w:proofErr w:type="spellStart"/>
      <w:r>
        <w:rPr>
          <w:sz w:val="24"/>
          <w:szCs w:val="24"/>
        </w:rPr>
        <w:t>casualizado</w:t>
      </w:r>
      <w:proofErr w:type="spellEnd"/>
      <w:r>
        <w:rPr>
          <w:sz w:val="24"/>
          <w:szCs w:val="24"/>
        </w:rPr>
        <w:t xml:space="preserve">, com três repetições de dez mudas por repetição. Quinze dias após a emergência, foram avaliadas as variáveis altura e diâmetro do coleto. A análise estatística, realizada no </w:t>
      </w:r>
      <w:r>
        <w:rPr>
          <w:i/>
          <w:sz w:val="24"/>
          <w:szCs w:val="24"/>
        </w:rPr>
        <w:t>software R Studio</w:t>
      </w:r>
      <w:r>
        <w:rPr>
          <w:sz w:val="24"/>
          <w:szCs w:val="24"/>
        </w:rPr>
        <w:t xml:space="preserve">, incluiu estatística descritiva, representação gráfica por </w:t>
      </w:r>
      <w:proofErr w:type="spellStart"/>
      <w:r>
        <w:rPr>
          <w:i/>
          <w:sz w:val="24"/>
          <w:szCs w:val="24"/>
        </w:rPr>
        <w:t>boxplots</w:t>
      </w:r>
      <w:proofErr w:type="spellEnd"/>
      <w:r>
        <w:rPr>
          <w:sz w:val="24"/>
          <w:szCs w:val="24"/>
        </w:rPr>
        <w:t xml:space="preserve"> e teste t de </w:t>
      </w:r>
      <w:proofErr w:type="spellStart"/>
      <w:r>
        <w:rPr>
          <w:sz w:val="24"/>
          <w:szCs w:val="24"/>
        </w:rPr>
        <w:t>Student</w:t>
      </w:r>
      <w:proofErr w:type="spellEnd"/>
      <w:r>
        <w:rPr>
          <w:sz w:val="24"/>
          <w:szCs w:val="24"/>
        </w:rPr>
        <w:t xml:space="preserve"> (p &lt; 0,05). As mudas oriundas de sementes distais apresentaram desempenho inicial superior em relação a altura e o diâmetro, indicando que a posição da semente exerce influência direta sobre o crescimento das plântulas. Conclui-se que o reconhecimento dessa variação contribui para a seleção de sementes com maior potencial de vigor, favorecendo a formação de lotes mais uniformes e o estabelecimento de povoamentos florestais resilientes.</w:t>
      </w:r>
    </w:p>
    <w:p w14:paraId="6EF34DE9" w14:textId="1BE1AB34" w:rsidR="00876B88" w:rsidRDefault="00047E60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Recurso genético florestal.</w:t>
      </w:r>
      <w:r w:rsidR="00EA24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Variabilidade intraespecífica. </w:t>
      </w:r>
      <w:r w:rsidR="00EA2441">
        <w:rPr>
          <w:sz w:val="24"/>
          <w:szCs w:val="24"/>
        </w:rPr>
        <w:t>S</w:t>
      </w:r>
      <w:r>
        <w:rPr>
          <w:sz w:val="24"/>
          <w:szCs w:val="24"/>
        </w:rPr>
        <w:t>ilvicultura.</w:t>
      </w:r>
    </w:p>
    <w:p w14:paraId="0700DB62" w14:textId="77777777" w:rsidR="00876B88" w:rsidRDefault="00876B8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46ECFC44" w14:textId="77777777" w:rsidR="00876B88" w:rsidRDefault="00047E60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 Ciências Agrárias</w:t>
      </w:r>
    </w:p>
    <w:p w14:paraId="0C96A95A" w14:textId="77777777" w:rsidR="00876B88" w:rsidRDefault="00876B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0CF43192" w14:textId="7756630A" w:rsidR="00876B88" w:rsidRDefault="00047E60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br w:type="page"/>
      </w:r>
    </w:p>
    <w:p w14:paraId="0F1E6736" w14:textId="77777777" w:rsidR="00876B88" w:rsidRDefault="00047E6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1. INTRODUÇÃO </w:t>
      </w:r>
    </w:p>
    <w:p w14:paraId="1C6A4CCC" w14:textId="5F5913B8" w:rsidR="00876B88" w:rsidRDefault="00047E6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  Dentre as espécies florestais de reconhecida relevância econômica e ambiental e de ocorrência natural na Amazônia (TER STEEGE </w:t>
      </w:r>
      <w:r>
        <w:rPr>
          <w:i/>
          <w:color w:val="000000"/>
          <w:sz w:val="24"/>
          <w:szCs w:val="24"/>
        </w:rPr>
        <w:t>et al</w:t>
      </w:r>
      <w:r>
        <w:rPr>
          <w:color w:val="000000"/>
          <w:sz w:val="24"/>
          <w:szCs w:val="24"/>
        </w:rPr>
        <w:t>., 2020), destaca-se o pau-preto (</w:t>
      </w:r>
      <w:r>
        <w:rPr>
          <w:i/>
          <w:color w:val="000000"/>
          <w:sz w:val="24"/>
          <w:szCs w:val="24"/>
        </w:rPr>
        <w:t xml:space="preserve">Cenostigma tocantinum </w:t>
      </w:r>
      <w:proofErr w:type="spellStart"/>
      <w:r w:rsidR="00B7556A" w:rsidRPr="00B7556A">
        <w:rPr>
          <w:iCs/>
          <w:color w:val="000000"/>
          <w:sz w:val="24"/>
          <w:szCs w:val="24"/>
        </w:rPr>
        <w:t>Ducke</w:t>
      </w:r>
      <w:proofErr w:type="spellEnd"/>
      <w:r>
        <w:rPr>
          <w:color w:val="000000"/>
          <w:sz w:val="24"/>
          <w:szCs w:val="24"/>
        </w:rPr>
        <w:t xml:space="preserve">), amplamente empregado em projetos de arborização urbana, reflorestamento e em usos madeireiros como lenha, estacas e componentes de construção civil (LORENZI, 2016; REFLORA BRASIL, 2024; GARCIA </w:t>
      </w:r>
      <w:r>
        <w:rPr>
          <w:i/>
          <w:color w:val="000000"/>
          <w:sz w:val="24"/>
          <w:szCs w:val="24"/>
        </w:rPr>
        <w:t>et al</w:t>
      </w:r>
      <w:r>
        <w:rPr>
          <w:color w:val="000000"/>
          <w:sz w:val="24"/>
          <w:szCs w:val="24"/>
        </w:rPr>
        <w:t>., 2008; WARWICK e LEWIS, 2009).</w:t>
      </w:r>
    </w:p>
    <w:p w14:paraId="35110135" w14:textId="77777777" w:rsidR="00876B88" w:rsidRDefault="00047E6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       Considerando a importância dos estudos fenológicos e genéticos de espécies florestais, compreender as variações morfológicas internas dos frutos e suas implicações sobre a qualidade das sementes é fundamental para o aprimoramento das etapas de beneficiamento e produção de mudas. Em espécies da família Fabaceae, como o pau-preto, a posição da semente dentro do fruto geralmente classificada como proximal, intermediária ou distal pode influenciar atributos como massa, vigor e potencial germinativo (FREITAS et al., 2013).</w:t>
      </w:r>
    </w:p>
    <w:p w14:paraId="68681296" w14:textId="57F8CF05" w:rsidR="00876B88" w:rsidRDefault="00047E6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        Pesquisas realizadas com </w:t>
      </w:r>
      <w:proofErr w:type="spellStart"/>
      <w:r>
        <w:rPr>
          <w:i/>
          <w:color w:val="000000"/>
          <w:sz w:val="24"/>
          <w:szCs w:val="24"/>
        </w:rPr>
        <w:t>Poincianella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pyramidalis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i/>
          <w:color w:val="000000"/>
          <w:sz w:val="24"/>
          <w:szCs w:val="24"/>
        </w:rPr>
        <w:t>Caesalpinia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pulcherrima</w:t>
      </w:r>
      <w:proofErr w:type="spellEnd"/>
      <w:r>
        <w:rPr>
          <w:color w:val="000000"/>
          <w:sz w:val="24"/>
          <w:szCs w:val="24"/>
        </w:rPr>
        <w:t xml:space="preserve"> demonstraram que a posição da semente no fruto afeta tanto a germinação quanto o acúmulo de reservas, refletindo diretamente na qualidade fisiológica do material propagativo (SILVA </w:t>
      </w:r>
      <w:r>
        <w:rPr>
          <w:i/>
          <w:color w:val="000000"/>
          <w:sz w:val="24"/>
          <w:szCs w:val="24"/>
        </w:rPr>
        <w:t>et al</w:t>
      </w:r>
      <w:r>
        <w:rPr>
          <w:color w:val="000000"/>
          <w:sz w:val="24"/>
          <w:szCs w:val="24"/>
        </w:rPr>
        <w:t xml:space="preserve">., 2016; SANTOS </w:t>
      </w:r>
      <w:r>
        <w:rPr>
          <w:i/>
          <w:color w:val="000000"/>
          <w:sz w:val="24"/>
          <w:szCs w:val="24"/>
        </w:rPr>
        <w:t>et al</w:t>
      </w:r>
      <w:r>
        <w:rPr>
          <w:color w:val="000000"/>
          <w:sz w:val="24"/>
          <w:szCs w:val="24"/>
        </w:rPr>
        <w:t xml:space="preserve">., 2019). Tais variações decorrem da distribuição desigual de fotoassimilados durante o enchimento do fruto, interferindo no acúmulo de reservas e na uniformidade da germinação (CARVALHO e NAKAGAWA, 2012; BEWLEY </w:t>
      </w:r>
      <w:r>
        <w:rPr>
          <w:i/>
          <w:color w:val="000000"/>
          <w:sz w:val="24"/>
          <w:szCs w:val="24"/>
        </w:rPr>
        <w:t>et al</w:t>
      </w:r>
      <w:r>
        <w:rPr>
          <w:color w:val="000000"/>
          <w:sz w:val="24"/>
          <w:szCs w:val="24"/>
        </w:rPr>
        <w:t xml:space="preserve">., 2013) Nesse contexto, investigar o comportamento de sementes de </w:t>
      </w:r>
      <w:r>
        <w:rPr>
          <w:i/>
          <w:color w:val="000000"/>
          <w:sz w:val="24"/>
          <w:szCs w:val="24"/>
        </w:rPr>
        <w:t>Cenostigma tocantinum</w:t>
      </w:r>
      <w:r w:rsidR="00B7556A">
        <w:rPr>
          <w:i/>
          <w:color w:val="000000"/>
          <w:sz w:val="24"/>
          <w:szCs w:val="24"/>
        </w:rPr>
        <w:t xml:space="preserve"> </w:t>
      </w:r>
      <w:proofErr w:type="spellStart"/>
      <w:r w:rsidR="00B7556A" w:rsidRPr="00B7556A">
        <w:rPr>
          <w:iCs/>
          <w:color w:val="000000"/>
          <w:sz w:val="24"/>
          <w:szCs w:val="24"/>
        </w:rPr>
        <w:t>Ducke</w:t>
      </w:r>
      <w:proofErr w:type="spellEnd"/>
      <w:r>
        <w:rPr>
          <w:color w:val="000000"/>
          <w:sz w:val="24"/>
          <w:szCs w:val="24"/>
        </w:rPr>
        <w:t xml:space="preserve"> provenientes de posições distais e proximais representa uma contribuição relevante para a compreensão da variabilidade </w:t>
      </w:r>
      <w:proofErr w:type="spellStart"/>
      <w:r>
        <w:rPr>
          <w:color w:val="000000"/>
          <w:sz w:val="24"/>
          <w:szCs w:val="24"/>
        </w:rPr>
        <w:t>intra-fruto</w:t>
      </w:r>
      <w:proofErr w:type="spellEnd"/>
      <w:r>
        <w:rPr>
          <w:color w:val="000000"/>
          <w:sz w:val="24"/>
          <w:szCs w:val="24"/>
        </w:rPr>
        <w:t xml:space="preserve"> e de suas implicações na propagação da espécie. Essa abordagem fornece subsídios para o aprimoramento das etapas de beneficiamento, armazenamento e semeadura, além de apoiar estratégias de manejo de viveiros florestais e programas de reflorestamento e conservação de espécies nativas da Amazônia.</w:t>
      </w:r>
    </w:p>
    <w:p w14:paraId="762D0918" w14:textId="7F2AD232" w:rsidR="00876B88" w:rsidRPr="00B7556A" w:rsidRDefault="00047E60" w:rsidP="00B7556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presente estudo teve como objetivo avaliar o efeito da posição da semente no fruto (distal e proximal) sobre o desenvolvimento inicial de mudas de</w:t>
      </w:r>
      <w:r>
        <w:rPr>
          <w:b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Cenostigma tocantinum </w:t>
      </w:r>
      <w:proofErr w:type="spellStart"/>
      <w:r w:rsidR="00B7556A" w:rsidRPr="00B7556A">
        <w:rPr>
          <w:iCs/>
          <w:color w:val="000000"/>
          <w:sz w:val="24"/>
          <w:szCs w:val="24"/>
        </w:rPr>
        <w:lastRenderedPageBreak/>
        <w:t>Ducke</w:t>
      </w:r>
      <w:proofErr w:type="spellEnd"/>
      <w:r>
        <w:rPr>
          <w:color w:val="000000"/>
          <w:sz w:val="24"/>
          <w:szCs w:val="24"/>
        </w:rPr>
        <w:t>, visando compreender a variabilidade intraespecífica e subsidiar a produção de mudas de maior qualidade para o estabelecimento de povoamentos florestais resilientes.</w:t>
      </w:r>
    </w:p>
    <w:p w14:paraId="38C2DA07" w14:textId="77777777" w:rsidR="00876B88" w:rsidRDefault="00047E6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2. METODOLOGIA</w:t>
      </w:r>
    </w:p>
    <w:p w14:paraId="2632FF35" w14:textId="2EE40B6F" w:rsidR="00876B88" w:rsidRDefault="00047E6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estudo foi conduzido no viveiro florestal do Instituto de Ciências Agrárias, da Universidade Federal Rural da Amazônia, em Belém–PA. Foram utilizadas sementes de </w:t>
      </w:r>
      <w:r>
        <w:rPr>
          <w:i/>
          <w:color w:val="000000"/>
          <w:sz w:val="24"/>
          <w:szCs w:val="24"/>
        </w:rPr>
        <w:t xml:space="preserve">Cenostigma tocantinum </w:t>
      </w:r>
      <w:proofErr w:type="spellStart"/>
      <w:r w:rsidR="00B7556A" w:rsidRPr="00FC2E4E">
        <w:rPr>
          <w:color w:val="000000"/>
          <w:sz w:val="24"/>
          <w:szCs w:val="24"/>
        </w:rPr>
        <w:t>Ducke</w:t>
      </w:r>
      <w:proofErr w:type="spellEnd"/>
      <w:r w:rsidRPr="00177DE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coletadas de matrizes do próprio campus. Os frutos foram coletados e levados ao Laboratório de Genética e Melhoramento, onde foram abertos manualmente. As sementes foram separadas conforme sua posição no fruto, sendo classificadas em proximais (mais próximas ao pedúnculo) e distais (mais afastadas do pedúnculo).</w:t>
      </w:r>
    </w:p>
    <w:p w14:paraId="2E045EDE" w14:textId="77777777" w:rsidR="001216C3" w:rsidRDefault="001216C3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0ACB7EFA" w14:textId="12E8397E" w:rsidR="00A10DC9" w:rsidRDefault="00EA2441" w:rsidP="00A10DC9">
      <w:pPr>
        <w:pStyle w:val="Legenda"/>
        <w:keepNext/>
        <w:spacing w:after="0"/>
        <w:jc w:val="center"/>
        <w:rPr>
          <w:i w:val="0"/>
          <w:iCs w:val="0"/>
          <w:color w:val="auto"/>
          <w:sz w:val="24"/>
          <w:szCs w:val="24"/>
        </w:rPr>
      </w:pPr>
      <w:r w:rsidRPr="00A10DC9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D81F368" wp14:editId="7DBCBDF3">
            <wp:simplePos x="0" y="0"/>
            <wp:positionH relativeFrom="page">
              <wp:align>center</wp:align>
            </wp:positionH>
            <wp:positionV relativeFrom="paragraph">
              <wp:posOffset>494030</wp:posOffset>
            </wp:positionV>
            <wp:extent cx="3634322" cy="1950720"/>
            <wp:effectExtent l="0" t="0" r="4445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322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78D" w:rsidRPr="00A10DC9">
        <w:rPr>
          <w:i w:val="0"/>
          <w:iCs w:val="0"/>
          <w:color w:val="auto"/>
          <w:sz w:val="22"/>
          <w:szCs w:val="22"/>
        </w:rPr>
        <w:t xml:space="preserve">Figura </w:t>
      </w:r>
      <w:r w:rsidR="004D578D" w:rsidRPr="00A10DC9">
        <w:rPr>
          <w:i w:val="0"/>
          <w:iCs w:val="0"/>
          <w:color w:val="auto"/>
          <w:sz w:val="22"/>
          <w:szCs w:val="22"/>
        </w:rPr>
        <w:fldChar w:fldCharType="begin"/>
      </w:r>
      <w:r w:rsidR="004D578D" w:rsidRPr="00A10DC9">
        <w:rPr>
          <w:i w:val="0"/>
          <w:iCs w:val="0"/>
          <w:color w:val="auto"/>
          <w:sz w:val="22"/>
          <w:szCs w:val="22"/>
        </w:rPr>
        <w:instrText xml:space="preserve"> SEQ Figura \* ARABIC </w:instrText>
      </w:r>
      <w:r w:rsidR="004D578D" w:rsidRPr="00A10DC9">
        <w:rPr>
          <w:i w:val="0"/>
          <w:iCs w:val="0"/>
          <w:color w:val="auto"/>
          <w:sz w:val="22"/>
          <w:szCs w:val="22"/>
        </w:rPr>
        <w:fldChar w:fldCharType="separate"/>
      </w:r>
      <w:r w:rsidR="00A10DC9">
        <w:rPr>
          <w:i w:val="0"/>
          <w:iCs w:val="0"/>
          <w:noProof/>
          <w:color w:val="auto"/>
          <w:sz w:val="22"/>
          <w:szCs w:val="22"/>
        </w:rPr>
        <w:t>1</w:t>
      </w:r>
      <w:r w:rsidR="004D578D" w:rsidRPr="00A10DC9">
        <w:rPr>
          <w:i w:val="0"/>
          <w:iCs w:val="0"/>
          <w:color w:val="auto"/>
          <w:sz w:val="22"/>
          <w:szCs w:val="22"/>
        </w:rPr>
        <w:fldChar w:fldCharType="end"/>
      </w:r>
      <w:r w:rsidR="004D578D" w:rsidRPr="00A10DC9">
        <w:rPr>
          <w:i w:val="0"/>
          <w:iCs w:val="0"/>
          <w:color w:val="auto"/>
          <w:sz w:val="22"/>
          <w:szCs w:val="22"/>
        </w:rPr>
        <w:t>- Representação</w:t>
      </w:r>
      <w:r w:rsidR="004D578D" w:rsidRPr="00BC465D">
        <w:rPr>
          <w:i w:val="0"/>
          <w:iCs w:val="0"/>
          <w:color w:val="auto"/>
          <w:sz w:val="24"/>
          <w:szCs w:val="24"/>
        </w:rPr>
        <w:t xml:space="preserve"> das posições proximal e distal </w:t>
      </w:r>
      <w:r w:rsidR="00EB3B47">
        <w:rPr>
          <w:i w:val="0"/>
          <w:iCs w:val="0"/>
          <w:color w:val="auto"/>
          <w:sz w:val="24"/>
          <w:szCs w:val="24"/>
        </w:rPr>
        <w:t xml:space="preserve">nas </w:t>
      </w:r>
      <w:r w:rsidR="004D578D" w:rsidRPr="00BC465D">
        <w:rPr>
          <w:i w:val="0"/>
          <w:iCs w:val="0"/>
          <w:color w:val="auto"/>
          <w:sz w:val="24"/>
          <w:szCs w:val="24"/>
        </w:rPr>
        <w:t xml:space="preserve">sementes no </w:t>
      </w:r>
    </w:p>
    <w:p w14:paraId="065BB8F6" w14:textId="138EC8EC" w:rsidR="008F0A6E" w:rsidRPr="00A10DC9" w:rsidRDefault="004D578D" w:rsidP="00A10DC9">
      <w:pPr>
        <w:pStyle w:val="Legenda"/>
        <w:keepNext/>
        <w:spacing w:after="0"/>
        <w:jc w:val="center"/>
        <w:rPr>
          <w:i w:val="0"/>
          <w:iCs w:val="0"/>
          <w:color w:val="auto"/>
          <w:sz w:val="24"/>
          <w:szCs w:val="24"/>
        </w:rPr>
      </w:pPr>
      <w:r w:rsidRPr="00BC465D">
        <w:rPr>
          <w:i w:val="0"/>
          <w:iCs w:val="0"/>
          <w:color w:val="auto"/>
          <w:sz w:val="24"/>
          <w:szCs w:val="24"/>
        </w:rPr>
        <w:t xml:space="preserve">fruto de </w:t>
      </w:r>
      <w:r w:rsidRPr="00FE2D8A">
        <w:rPr>
          <w:color w:val="auto"/>
          <w:sz w:val="24"/>
          <w:szCs w:val="24"/>
        </w:rPr>
        <w:t>Cenostigma tocantinum</w:t>
      </w:r>
      <w:r w:rsidR="00FE2D8A">
        <w:rPr>
          <w:color w:val="auto"/>
          <w:sz w:val="24"/>
          <w:szCs w:val="24"/>
        </w:rPr>
        <w:t xml:space="preserve"> </w:t>
      </w:r>
      <w:proofErr w:type="spellStart"/>
      <w:r w:rsidR="00B7556A" w:rsidRPr="00A10DC9">
        <w:rPr>
          <w:i w:val="0"/>
          <w:iCs w:val="0"/>
          <w:color w:val="auto"/>
          <w:sz w:val="24"/>
          <w:szCs w:val="24"/>
        </w:rPr>
        <w:t>Duck</w:t>
      </w:r>
      <w:r w:rsidR="00A10DC9">
        <w:rPr>
          <w:i w:val="0"/>
          <w:iCs w:val="0"/>
          <w:color w:val="auto"/>
          <w:sz w:val="24"/>
          <w:szCs w:val="24"/>
        </w:rPr>
        <w:t>e</w:t>
      </w:r>
      <w:proofErr w:type="spellEnd"/>
      <w:r w:rsidR="00A10DC9">
        <w:rPr>
          <w:i w:val="0"/>
          <w:iCs w:val="0"/>
          <w:color w:val="auto"/>
          <w:sz w:val="24"/>
          <w:szCs w:val="24"/>
        </w:rPr>
        <w:t>.</w:t>
      </w:r>
    </w:p>
    <w:p w14:paraId="022A41ED" w14:textId="2D33CEBF" w:rsidR="00E519F9" w:rsidRDefault="00E519F9" w:rsidP="00B7556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highlight w:val="white"/>
        </w:rPr>
        <w:t xml:space="preserve">Fonte: Autores, 2025. </w:t>
      </w:r>
    </w:p>
    <w:p w14:paraId="1B724520" w14:textId="77777777" w:rsidR="001216C3" w:rsidRDefault="001216C3" w:rsidP="00E519F9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B980705" w14:textId="77777777" w:rsidR="00B7556A" w:rsidRDefault="00B7556A" w:rsidP="00E519F9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D7564BB" w14:textId="77777777" w:rsidR="00876B88" w:rsidRDefault="00047E6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experimento foi implantado em Delineamento Inteiramente </w:t>
      </w:r>
      <w:proofErr w:type="spellStart"/>
      <w:r>
        <w:rPr>
          <w:color w:val="000000"/>
          <w:sz w:val="24"/>
          <w:szCs w:val="24"/>
        </w:rPr>
        <w:t>Casualizado</w:t>
      </w:r>
      <w:proofErr w:type="spellEnd"/>
      <w:r>
        <w:rPr>
          <w:color w:val="000000"/>
          <w:sz w:val="24"/>
          <w:szCs w:val="24"/>
        </w:rPr>
        <w:t xml:space="preserve"> (DIC), com dois tratamentos correspondentes às posições das sementes (distal e proximal), cada um com três repetições e dez mudas por repetição, totalizando trinta unidades experimentais por tratamento. As sementes foram semeadas em tubetes contendo o substrato comercial </w:t>
      </w:r>
      <w:r>
        <w:rPr>
          <w:i/>
          <w:color w:val="000000"/>
          <w:sz w:val="24"/>
          <w:szCs w:val="24"/>
        </w:rPr>
        <w:t xml:space="preserve">Carolina </w:t>
      </w:r>
      <w:proofErr w:type="spellStart"/>
      <w:r>
        <w:rPr>
          <w:i/>
          <w:color w:val="000000"/>
          <w:sz w:val="24"/>
          <w:szCs w:val="24"/>
        </w:rPr>
        <w:t>Soil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Pindstrup</w:t>
      </w:r>
      <w:proofErr w:type="spellEnd"/>
      <w:r>
        <w:rPr>
          <w:color w:val="000000"/>
          <w:sz w:val="24"/>
          <w:szCs w:val="24"/>
        </w:rPr>
        <w:t>, composto por turfa e casca de pinus. Durante o preparo do substrato, foi incorporado o</w:t>
      </w:r>
      <w:r w:rsidRPr="00FC2E4E">
        <w:rPr>
          <w:i/>
          <w:color w:val="000000"/>
          <w:sz w:val="24"/>
          <w:szCs w:val="24"/>
        </w:rPr>
        <w:t xml:space="preserve"> </w:t>
      </w:r>
      <w:proofErr w:type="spellStart"/>
      <w:r w:rsidRPr="00FC2E4E">
        <w:rPr>
          <w:i/>
          <w:color w:val="000000"/>
          <w:sz w:val="24"/>
          <w:szCs w:val="24"/>
        </w:rPr>
        <w:t>Kacote</w:t>
      </w:r>
      <w:proofErr w:type="spellEnd"/>
      <w:r>
        <w:rPr>
          <w:color w:val="000000"/>
          <w:sz w:val="24"/>
          <w:szCs w:val="24"/>
        </w:rPr>
        <w:t>, um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fertilizante orgânico mineral.</w:t>
      </w:r>
    </w:p>
    <w:p w14:paraId="6BA6108E" w14:textId="0A9AB6AE" w:rsidR="00876B88" w:rsidRDefault="00047E6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As mudas permaneceram sob irrigação manual duas vezes ao dia durante o período experimental. A avaliação foi realizada 15 dias após a emergência, quando foram mensuradas as variáveis altura da planta (cm) e diâmetro do coleto (mm), utilizando fita métrica e paquímetro digital. Foram realizadas análises estatísticas descritivas, e </w:t>
      </w:r>
      <w:proofErr w:type="spellStart"/>
      <w:r>
        <w:rPr>
          <w:i/>
          <w:color w:val="000000"/>
          <w:sz w:val="24"/>
          <w:szCs w:val="24"/>
        </w:rPr>
        <w:t>boxplots</w:t>
      </w:r>
      <w:proofErr w:type="spellEnd"/>
      <w:r>
        <w:rPr>
          <w:color w:val="000000"/>
          <w:sz w:val="24"/>
          <w:szCs w:val="24"/>
        </w:rPr>
        <w:t xml:space="preserve">, assim como aplicação do teste </w:t>
      </w:r>
      <w:r>
        <w:rPr>
          <w:b/>
          <w:i/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Student</w:t>
      </w:r>
      <w:proofErr w:type="spellEnd"/>
      <w:r>
        <w:rPr>
          <w:color w:val="000000"/>
          <w:sz w:val="24"/>
          <w:szCs w:val="24"/>
        </w:rPr>
        <w:t xml:space="preserve"> (p &lt; 0,05), de acordo com o delineamento experimental adotado. As análises estatísticas foram realizadas no </w:t>
      </w:r>
      <w:r>
        <w:rPr>
          <w:i/>
          <w:color w:val="000000"/>
          <w:sz w:val="24"/>
          <w:szCs w:val="24"/>
        </w:rPr>
        <w:t>software R Studio</w:t>
      </w:r>
      <w:r>
        <w:rPr>
          <w:color w:val="000000"/>
          <w:sz w:val="24"/>
          <w:szCs w:val="24"/>
        </w:rPr>
        <w:t xml:space="preserve"> (versão 4.5.1) (R CORE TEAM, 2024). </w:t>
      </w:r>
    </w:p>
    <w:p w14:paraId="5CD60162" w14:textId="77777777" w:rsidR="00876B88" w:rsidRDefault="00876B88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8FFF8BA" w14:textId="77777777" w:rsidR="00876B88" w:rsidRDefault="00876B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sz w:val="24"/>
          <w:szCs w:val="24"/>
        </w:rPr>
      </w:pPr>
    </w:p>
    <w:p w14:paraId="2EF5AF2B" w14:textId="77777777" w:rsidR="00876B88" w:rsidRDefault="00047E6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t>3. RESULTADOS E DISCUSSÃO</w:t>
      </w:r>
      <w:r>
        <w:rPr>
          <w:b/>
          <w:sz w:val="28"/>
          <w:szCs w:val="28"/>
        </w:rPr>
        <w:t xml:space="preserve"> </w:t>
      </w:r>
    </w:p>
    <w:p w14:paraId="7E19BA7A" w14:textId="77777777" w:rsidR="00B7556A" w:rsidRDefault="00B7556A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</w:p>
    <w:p w14:paraId="224DD5EC" w14:textId="6EB7D96D" w:rsidR="00876B88" w:rsidRDefault="00047E6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resultados obtidos indicam que a posição da semente no fruto exerceu influência significativa sobre o crescimento inicial das mudas de </w:t>
      </w:r>
      <w:r>
        <w:rPr>
          <w:i/>
          <w:sz w:val="24"/>
          <w:szCs w:val="24"/>
        </w:rPr>
        <w:t xml:space="preserve">Cenostigma tocantinum </w:t>
      </w:r>
      <w:proofErr w:type="spellStart"/>
      <w:r w:rsidR="00B7556A" w:rsidRPr="00B7556A">
        <w:rPr>
          <w:iCs/>
          <w:sz w:val="24"/>
          <w:szCs w:val="24"/>
        </w:rPr>
        <w:t>Ducke</w:t>
      </w:r>
      <w:proofErr w:type="spellEnd"/>
      <w:r>
        <w:rPr>
          <w:sz w:val="24"/>
          <w:szCs w:val="24"/>
        </w:rPr>
        <w:t>. As sementes provenientes da posição distal apresentaram médias superiores de altura (11,03 ± 2,26 cm) e diâmetro do coleto (1,81 ± 0,24 mm) comparado às sementes localizadas na posição proximal (9,03 ± 1,57 cm e 1,66 ± 0,18 mm, respectivamente) (Tabela 1).</w:t>
      </w:r>
    </w:p>
    <w:p w14:paraId="07C79CD3" w14:textId="77777777" w:rsidR="00EA2441" w:rsidRDefault="00EA2441" w:rsidP="00EA2441">
      <w:pPr>
        <w:spacing w:line="360" w:lineRule="auto"/>
        <w:jc w:val="both"/>
        <w:rPr>
          <w:sz w:val="24"/>
          <w:szCs w:val="24"/>
        </w:rPr>
      </w:pPr>
    </w:p>
    <w:p w14:paraId="021EE3C4" w14:textId="77777777" w:rsidR="00EA2441" w:rsidRDefault="00EA2441" w:rsidP="00EA2441">
      <w:pPr>
        <w:jc w:val="both"/>
      </w:pPr>
      <w:r>
        <w:t>Tabela 1 – Estatística descritiva da altura e diâmetro das mudas de pau-preto oriundas de sementes distais e proximais.</w:t>
      </w:r>
    </w:p>
    <w:tbl>
      <w:tblPr>
        <w:tblStyle w:val="a1"/>
        <w:tblpPr w:leftFromText="141" w:rightFromText="141" w:vertAnchor="text" w:horzAnchor="margin" w:tblpY="270"/>
        <w:tblW w:w="9170" w:type="dxa"/>
        <w:tblInd w:w="0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134"/>
        <w:gridCol w:w="953"/>
        <w:gridCol w:w="1599"/>
        <w:gridCol w:w="1134"/>
        <w:gridCol w:w="1197"/>
        <w:gridCol w:w="1310"/>
      </w:tblGrid>
      <w:tr w:rsidR="00EA2441" w14:paraId="6DFC865D" w14:textId="77777777" w:rsidTr="00EA2441">
        <w:trPr>
          <w:trHeight w:val="324"/>
        </w:trPr>
        <w:tc>
          <w:tcPr>
            <w:tcW w:w="1843" w:type="dxa"/>
            <w:tcBorders>
              <w:bottom w:val="single" w:sz="4" w:space="0" w:color="000000"/>
            </w:tcBorders>
          </w:tcPr>
          <w:p w14:paraId="3D51BAAB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Variável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3731508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Posição da semente</w:t>
            </w:r>
          </w:p>
        </w:tc>
        <w:tc>
          <w:tcPr>
            <w:tcW w:w="953" w:type="dxa"/>
            <w:tcBorders>
              <w:bottom w:val="single" w:sz="4" w:space="0" w:color="000000"/>
            </w:tcBorders>
          </w:tcPr>
          <w:p w14:paraId="70FA7E63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599" w:type="dxa"/>
            <w:tcBorders>
              <w:bottom w:val="single" w:sz="4" w:space="0" w:color="000000"/>
            </w:tcBorders>
          </w:tcPr>
          <w:p w14:paraId="54CF9BCB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Média ± DP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B989017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Mínimo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 w14:paraId="66DC97EC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Máximo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 w14:paraId="37BD2335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CV (%)</w:t>
            </w:r>
          </w:p>
        </w:tc>
      </w:tr>
      <w:tr w:rsidR="00EA2441" w14:paraId="31B8C026" w14:textId="77777777" w:rsidTr="00EA2441">
        <w:trPr>
          <w:trHeight w:val="355"/>
        </w:trPr>
        <w:tc>
          <w:tcPr>
            <w:tcW w:w="1843" w:type="dxa"/>
            <w:tcBorders>
              <w:top w:val="single" w:sz="4" w:space="0" w:color="000000"/>
            </w:tcBorders>
          </w:tcPr>
          <w:p w14:paraId="0BBB7D06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Altura (cm)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32B7FD90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Distal</w:t>
            </w:r>
          </w:p>
        </w:tc>
        <w:tc>
          <w:tcPr>
            <w:tcW w:w="953" w:type="dxa"/>
            <w:tcBorders>
              <w:top w:val="single" w:sz="4" w:space="0" w:color="000000"/>
            </w:tcBorders>
          </w:tcPr>
          <w:p w14:paraId="5787417F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599" w:type="dxa"/>
            <w:tcBorders>
              <w:top w:val="single" w:sz="4" w:space="0" w:color="000000"/>
            </w:tcBorders>
          </w:tcPr>
          <w:p w14:paraId="7AE88A36" w14:textId="77777777" w:rsidR="00EA2441" w:rsidRDefault="00EA2441" w:rsidP="00EA24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11,03 ± 2,26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460B3B18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6,50</w:t>
            </w:r>
          </w:p>
        </w:tc>
        <w:tc>
          <w:tcPr>
            <w:tcW w:w="1197" w:type="dxa"/>
            <w:tcBorders>
              <w:top w:val="single" w:sz="4" w:space="0" w:color="000000"/>
            </w:tcBorders>
          </w:tcPr>
          <w:p w14:paraId="37E6DCC3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14,60</w:t>
            </w:r>
          </w:p>
        </w:tc>
        <w:tc>
          <w:tcPr>
            <w:tcW w:w="1310" w:type="dxa"/>
            <w:tcBorders>
              <w:top w:val="single" w:sz="4" w:space="0" w:color="000000"/>
            </w:tcBorders>
          </w:tcPr>
          <w:p w14:paraId="2EB004E6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20,5</w:t>
            </w:r>
          </w:p>
        </w:tc>
      </w:tr>
      <w:tr w:rsidR="00EA2441" w14:paraId="4B824B18" w14:textId="77777777" w:rsidTr="00EA2441">
        <w:trPr>
          <w:trHeight w:val="355"/>
        </w:trPr>
        <w:tc>
          <w:tcPr>
            <w:tcW w:w="1843" w:type="dxa"/>
          </w:tcPr>
          <w:p w14:paraId="17B04E6B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Altura (cm)</w:t>
            </w:r>
          </w:p>
        </w:tc>
        <w:tc>
          <w:tcPr>
            <w:tcW w:w="1134" w:type="dxa"/>
          </w:tcPr>
          <w:p w14:paraId="61BD25D4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Proximal</w:t>
            </w:r>
          </w:p>
        </w:tc>
        <w:tc>
          <w:tcPr>
            <w:tcW w:w="953" w:type="dxa"/>
          </w:tcPr>
          <w:p w14:paraId="30611061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99" w:type="dxa"/>
          </w:tcPr>
          <w:p w14:paraId="16BE3554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9,03 ± 1,57</w:t>
            </w:r>
          </w:p>
        </w:tc>
        <w:tc>
          <w:tcPr>
            <w:tcW w:w="1134" w:type="dxa"/>
          </w:tcPr>
          <w:p w14:paraId="1A10940F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6,00</w:t>
            </w:r>
          </w:p>
        </w:tc>
        <w:tc>
          <w:tcPr>
            <w:tcW w:w="1197" w:type="dxa"/>
          </w:tcPr>
          <w:p w14:paraId="090CD44D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13,00</w:t>
            </w:r>
          </w:p>
        </w:tc>
        <w:tc>
          <w:tcPr>
            <w:tcW w:w="1310" w:type="dxa"/>
          </w:tcPr>
          <w:p w14:paraId="4C394113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17,4</w:t>
            </w:r>
          </w:p>
        </w:tc>
      </w:tr>
      <w:tr w:rsidR="00EA2441" w14:paraId="3621E3BB" w14:textId="77777777" w:rsidTr="00EA2441">
        <w:trPr>
          <w:trHeight w:val="355"/>
        </w:trPr>
        <w:tc>
          <w:tcPr>
            <w:tcW w:w="1843" w:type="dxa"/>
          </w:tcPr>
          <w:p w14:paraId="6087C5B6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Diâmetro (mm)</w:t>
            </w:r>
          </w:p>
        </w:tc>
        <w:tc>
          <w:tcPr>
            <w:tcW w:w="1134" w:type="dxa"/>
          </w:tcPr>
          <w:p w14:paraId="53B8C9D5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Distal</w:t>
            </w:r>
          </w:p>
        </w:tc>
        <w:tc>
          <w:tcPr>
            <w:tcW w:w="953" w:type="dxa"/>
          </w:tcPr>
          <w:p w14:paraId="7323CDBD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599" w:type="dxa"/>
          </w:tcPr>
          <w:p w14:paraId="3F98B1F0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1,81 ± 0,17</w:t>
            </w:r>
          </w:p>
        </w:tc>
        <w:tc>
          <w:tcPr>
            <w:tcW w:w="1134" w:type="dxa"/>
          </w:tcPr>
          <w:p w14:paraId="5FEF1BC7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1,35</w:t>
            </w:r>
          </w:p>
        </w:tc>
        <w:tc>
          <w:tcPr>
            <w:tcW w:w="1197" w:type="dxa"/>
          </w:tcPr>
          <w:p w14:paraId="73098817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2,25</w:t>
            </w:r>
          </w:p>
        </w:tc>
        <w:tc>
          <w:tcPr>
            <w:tcW w:w="1310" w:type="dxa"/>
          </w:tcPr>
          <w:p w14:paraId="4FB6E2A6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9,4</w:t>
            </w:r>
          </w:p>
        </w:tc>
      </w:tr>
      <w:tr w:rsidR="00EA2441" w14:paraId="0BA81DA5" w14:textId="77777777" w:rsidTr="00EA2441">
        <w:trPr>
          <w:trHeight w:val="355"/>
        </w:trPr>
        <w:tc>
          <w:tcPr>
            <w:tcW w:w="1843" w:type="dxa"/>
          </w:tcPr>
          <w:p w14:paraId="4D2A4637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Diâmetro (mm)</w:t>
            </w:r>
          </w:p>
        </w:tc>
        <w:tc>
          <w:tcPr>
            <w:tcW w:w="1134" w:type="dxa"/>
          </w:tcPr>
          <w:p w14:paraId="69D4782E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Proximal</w:t>
            </w:r>
          </w:p>
        </w:tc>
        <w:tc>
          <w:tcPr>
            <w:tcW w:w="953" w:type="dxa"/>
          </w:tcPr>
          <w:p w14:paraId="17137280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99" w:type="dxa"/>
          </w:tcPr>
          <w:p w14:paraId="601C60A8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1,66 ± 0,18</w:t>
            </w:r>
          </w:p>
        </w:tc>
        <w:tc>
          <w:tcPr>
            <w:tcW w:w="1134" w:type="dxa"/>
          </w:tcPr>
          <w:p w14:paraId="3BB4E3CC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1,20</w:t>
            </w:r>
          </w:p>
        </w:tc>
        <w:tc>
          <w:tcPr>
            <w:tcW w:w="1197" w:type="dxa"/>
          </w:tcPr>
          <w:p w14:paraId="2593EFFD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2,05</w:t>
            </w:r>
          </w:p>
        </w:tc>
        <w:tc>
          <w:tcPr>
            <w:tcW w:w="1310" w:type="dxa"/>
          </w:tcPr>
          <w:p w14:paraId="376A7F73" w14:textId="77777777" w:rsidR="00EA2441" w:rsidRDefault="00EA2441" w:rsidP="00EA2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</w:tr>
    </w:tbl>
    <w:p w14:paraId="6EE42DFC" w14:textId="77777777" w:rsidR="00876B88" w:rsidRDefault="00876B88">
      <w:pPr>
        <w:rPr>
          <w:sz w:val="24"/>
          <w:szCs w:val="24"/>
        </w:rPr>
      </w:pPr>
    </w:p>
    <w:p w14:paraId="566D5725" w14:textId="2776C8BD" w:rsidR="00876B88" w:rsidRDefault="00047E60" w:rsidP="00EA2441">
      <w:pPr>
        <w:jc w:val="both"/>
      </w:pPr>
      <w:r>
        <w:t>DP: Desvio padrão; CV: Coeficiente de variação</w:t>
      </w:r>
      <w:r w:rsidR="00177DE9">
        <w:t>; DP: Desvio padrão</w:t>
      </w:r>
    </w:p>
    <w:p w14:paraId="3BB50A79" w14:textId="77777777" w:rsidR="00876B88" w:rsidRDefault="00047E60" w:rsidP="00EA244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highlight w:val="white"/>
        </w:rPr>
        <w:t xml:space="preserve">Fonte: Autores, 2025. </w:t>
      </w:r>
    </w:p>
    <w:p w14:paraId="2B5F8A3E" w14:textId="77777777" w:rsidR="00876B88" w:rsidRDefault="00876B88" w:rsidP="00EA2441">
      <w:pPr>
        <w:spacing w:line="360" w:lineRule="auto"/>
        <w:jc w:val="both"/>
        <w:rPr>
          <w:sz w:val="24"/>
          <w:szCs w:val="24"/>
        </w:rPr>
      </w:pPr>
    </w:p>
    <w:p w14:paraId="0B472E8A" w14:textId="77777777" w:rsidR="00876B88" w:rsidRDefault="00047E6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teste </w:t>
      </w:r>
      <w:r>
        <w:rPr>
          <w:i/>
          <w:sz w:val="24"/>
          <w:szCs w:val="24"/>
        </w:rPr>
        <w:t>t</w:t>
      </w:r>
      <w:r>
        <w:rPr>
          <w:sz w:val="24"/>
          <w:szCs w:val="24"/>
        </w:rPr>
        <w:t xml:space="preserve"> confirmou estatisticamente diferença entre os tratamentos, com valores significativos para altura (t = 3,97; p &lt; 0,001) e diâmetro (t = 3,39; p = 0,0013). Os resultados demonstram que, dentro das condições do presente estudo, a posição da semente no fruto foi </w:t>
      </w:r>
      <w:r>
        <w:rPr>
          <w:sz w:val="24"/>
          <w:szCs w:val="24"/>
        </w:rPr>
        <w:lastRenderedPageBreak/>
        <w:t>um fator determinante para o desempenho inicial das mudas, evidenciando variação intraespecífica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no desenvolvimento das plântulas de pau-preto.</w:t>
      </w:r>
    </w:p>
    <w:p w14:paraId="633716B8" w14:textId="77777777" w:rsidR="00EA2441" w:rsidRDefault="00EA2441" w:rsidP="00EA2441">
      <w:pPr>
        <w:jc w:val="both"/>
        <w:rPr>
          <w:b/>
          <w:sz w:val="24"/>
          <w:szCs w:val="24"/>
        </w:rPr>
      </w:pPr>
    </w:p>
    <w:p w14:paraId="7F65A2EF" w14:textId="6A5F406A" w:rsidR="00876B88" w:rsidRDefault="00047E60" w:rsidP="00EA2441">
      <w:pPr>
        <w:jc w:val="both"/>
      </w:pPr>
      <w:r>
        <w:t>Tabela 2 – Resultados do teste t para comparação das médias de altura e diâmetro entre mudas de sementes distais e proximais.</w:t>
      </w:r>
    </w:p>
    <w:p w14:paraId="7928A448" w14:textId="77777777" w:rsidR="00876B88" w:rsidRDefault="00876B88">
      <w:pPr>
        <w:ind w:firstLine="709"/>
        <w:jc w:val="both"/>
        <w:rPr>
          <w:sz w:val="24"/>
          <w:szCs w:val="24"/>
        </w:rPr>
      </w:pPr>
    </w:p>
    <w:tbl>
      <w:tblPr>
        <w:tblStyle w:val="a2"/>
        <w:tblW w:w="921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43"/>
        <w:gridCol w:w="992"/>
        <w:gridCol w:w="1843"/>
        <w:gridCol w:w="590"/>
        <w:gridCol w:w="828"/>
        <w:gridCol w:w="1417"/>
        <w:gridCol w:w="1706"/>
      </w:tblGrid>
      <w:tr w:rsidR="00876B88" w14:paraId="74D6EA98" w14:textId="77777777" w:rsidTr="00EA2441">
        <w:trPr>
          <w:trHeight w:val="939"/>
        </w:trPr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3348EE" w14:textId="77777777" w:rsidR="00876B88" w:rsidRDefault="00047E60" w:rsidP="00EA244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Variável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581A627" w14:textId="77777777" w:rsidR="00876B88" w:rsidRDefault="00047E60" w:rsidP="00EA244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Média Distal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D02241" w14:textId="77777777" w:rsidR="00876B88" w:rsidRDefault="00047E60" w:rsidP="00EA244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Média Proximal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BEC34D" w14:textId="77777777" w:rsidR="00876B88" w:rsidRDefault="00047E60" w:rsidP="00EA244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57107B" w14:textId="77777777" w:rsidR="00876B88" w:rsidRDefault="00047E60" w:rsidP="00EA2441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Gl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1FF84F" w14:textId="77777777" w:rsidR="00876B88" w:rsidRDefault="00047E60" w:rsidP="00EA244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p-valor</w:t>
            </w:r>
          </w:p>
        </w:tc>
        <w:tc>
          <w:tcPr>
            <w:tcW w:w="17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8595F6" w14:textId="77777777" w:rsidR="00876B88" w:rsidRDefault="00047E60" w:rsidP="00EA244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IC 95% da diferença</w:t>
            </w:r>
          </w:p>
        </w:tc>
      </w:tr>
      <w:tr w:rsidR="00876B88" w14:paraId="486E2FB5" w14:textId="77777777" w:rsidTr="00EA2441">
        <w:trPr>
          <w:trHeight w:val="625"/>
        </w:trPr>
        <w:tc>
          <w:tcPr>
            <w:tcW w:w="1843" w:type="dxa"/>
            <w:tcBorders>
              <w:top w:val="single" w:sz="4" w:space="0" w:color="000000"/>
            </w:tcBorders>
          </w:tcPr>
          <w:p w14:paraId="73F2BD34" w14:textId="77777777" w:rsidR="00876B88" w:rsidRDefault="00047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Altura (cm)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42517AFD" w14:textId="77777777" w:rsidR="00876B88" w:rsidRDefault="00047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11,03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4AE80291" w14:textId="77777777" w:rsidR="00876B88" w:rsidRDefault="00047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9,03</w:t>
            </w:r>
          </w:p>
        </w:tc>
        <w:tc>
          <w:tcPr>
            <w:tcW w:w="590" w:type="dxa"/>
            <w:tcBorders>
              <w:top w:val="single" w:sz="4" w:space="0" w:color="000000"/>
            </w:tcBorders>
          </w:tcPr>
          <w:p w14:paraId="41B75988" w14:textId="77777777" w:rsidR="00876B88" w:rsidRDefault="00047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3,97</w:t>
            </w:r>
          </w:p>
        </w:tc>
        <w:tc>
          <w:tcPr>
            <w:tcW w:w="828" w:type="dxa"/>
            <w:tcBorders>
              <w:top w:val="single" w:sz="4" w:space="0" w:color="000000"/>
            </w:tcBorders>
          </w:tcPr>
          <w:p w14:paraId="31F27C9E" w14:textId="77777777" w:rsidR="00876B88" w:rsidRDefault="00047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14:paraId="3EA37471" w14:textId="77777777" w:rsidR="00876B88" w:rsidRDefault="00047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 0,001</w:t>
            </w:r>
          </w:p>
        </w:tc>
        <w:tc>
          <w:tcPr>
            <w:tcW w:w="1706" w:type="dxa"/>
            <w:tcBorders>
              <w:top w:val="single" w:sz="4" w:space="0" w:color="000000"/>
            </w:tcBorders>
          </w:tcPr>
          <w:p w14:paraId="1FB6F1FD" w14:textId="77777777" w:rsidR="00876B88" w:rsidRDefault="00047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[0,99 ;3,02]</w:t>
            </w:r>
          </w:p>
        </w:tc>
      </w:tr>
      <w:tr w:rsidR="00876B88" w14:paraId="6A45B054" w14:textId="77777777" w:rsidTr="00EA2441">
        <w:trPr>
          <w:trHeight w:val="625"/>
        </w:trPr>
        <w:tc>
          <w:tcPr>
            <w:tcW w:w="1843" w:type="dxa"/>
            <w:tcBorders>
              <w:bottom w:val="single" w:sz="4" w:space="0" w:color="000000"/>
            </w:tcBorders>
          </w:tcPr>
          <w:p w14:paraId="46290074" w14:textId="77777777" w:rsidR="00876B88" w:rsidRDefault="00047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Diâmetro (mm)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2E0349D8" w14:textId="77777777" w:rsidR="00876B88" w:rsidRDefault="00047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1,81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4F34A5EE" w14:textId="77777777" w:rsidR="00876B88" w:rsidRDefault="00047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1,66</w:t>
            </w:r>
          </w:p>
        </w:tc>
        <w:tc>
          <w:tcPr>
            <w:tcW w:w="590" w:type="dxa"/>
            <w:tcBorders>
              <w:bottom w:val="single" w:sz="4" w:space="0" w:color="000000"/>
            </w:tcBorders>
          </w:tcPr>
          <w:p w14:paraId="31CE79B9" w14:textId="77777777" w:rsidR="00876B88" w:rsidRDefault="00047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3,39</w:t>
            </w:r>
          </w:p>
        </w:tc>
        <w:tc>
          <w:tcPr>
            <w:tcW w:w="828" w:type="dxa"/>
            <w:tcBorders>
              <w:bottom w:val="single" w:sz="4" w:space="0" w:color="000000"/>
            </w:tcBorders>
          </w:tcPr>
          <w:p w14:paraId="59207503" w14:textId="77777777" w:rsidR="00876B88" w:rsidRDefault="00047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4D35E6E1" w14:textId="77777777" w:rsidR="00876B88" w:rsidRDefault="00047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0,0013</w:t>
            </w:r>
          </w:p>
        </w:tc>
        <w:tc>
          <w:tcPr>
            <w:tcW w:w="1706" w:type="dxa"/>
            <w:tcBorders>
              <w:bottom w:val="single" w:sz="4" w:space="0" w:color="000000"/>
            </w:tcBorders>
          </w:tcPr>
          <w:p w14:paraId="27E72A12" w14:textId="77777777" w:rsidR="00876B88" w:rsidRDefault="00047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[0,06 ;0,25]</w:t>
            </w:r>
          </w:p>
        </w:tc>
      </w:tr>
    </w:tbl>
    <w:p w14:paraId="0E8A84C6" w14:textId="24F9B9C0" w:rsidR="00876B88" w:rsidRDefault="00EA2441" w:rsidP="00EA2441">
      <w:pPr>
        <w:ind w:left="709" w:hanging="709"/>
        <w:jc w:val="both"/>
      </w:pPr>
      <w:proofErr w:type="spellStart"/>
      <w:r>
        <w:t>G</w:t>
      </w:r>
      <w:r w:rsidR="00047E60">
        <w:t>l</w:t>
      </w:r>
      <w:proofErr w:type="spellEnd"/>
      <w:r w:rsidR="00047E60">
        <w:t>: Graus de liberdade; IC: Intervalo de confiança.</w:t>
      </w:r>
    </w:p>
    <w:p w14:paraId="731455E0" w14:textId="3C13CB76" w:rsidR="00876B88" w:rsidRDefault="00047E60" w:rsidP="00EA2441">
      <w:pPr>
        <w:ind w:left="709" w:hanging="709"/>
        <w:jc w:val="both"/>
      </w:pPr>
      <w:r>
        <w:t>Fonte:</w:t>
      </w:r>
      <w:r>
        <w:rPr>
          <w:b/>
        </w:rPr>
        <w:t xml:space="preserve"> </w:t>
      </w:r>
      <w:r>
        <w:t>Autores,</w:t>
      </w:r>
      <w:r w:rsidR="00B7556A">
        <w:t xml:space="preserve"> </w:t>
      </w:r>
      <w:r>
        <w:t>2025.</w:t>
      </w:r>
    </w:p>
    <w:p w14:paraId="6E2F6A2F" w14:textId="77777777" w:rsidR="00876B88" w:rsidRDefault="00876B88">
      <w:pPr>
        <w:spacing w:line="360" w:lineRule="auto"/>
        <w:jc w:val="both"/>
        <w:rPr>
          <w:sz w:val="24"/>
          <w:szCs w:val="24"/>
        </w:rPr>
      </w:pPr>
    </w:p>
    <w:p w14:paraId="09FD58CA" w14:textId="77777777" w:rsidR="00EA2441" w:rsidRDefault="00047E60" w:rsidP="00EA244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diferença observada entre as posições da semente no fruto, pode estar relacionada a fatores morfológicos e estruturais próprios dos frutos e sementes, uma vez que a distribuição das sementes ao longo do fruto pode resultar em microambientes distintos de desenvolvimento, influenciando o desempenho das mudas nos estágios iniciais. Pequenas variações no tamanho e na forma das sementes podem refletir diretamente no vigor e no crescimento inicial das mudas, especialmente em espécies florestais de germinação hipógea, conforme discutido por Carvalho e Nakagawa (2012).</w:t>
      </w:r>
    </w:p>
    <w:p w14:paraId="6BD6F9F8" w14:textId="7DA6FB23" w:rsidR="00876B88" w:rsidRPr="00EA2441" w:rsidRDefault="00047E60" w:rsidP="00EA244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Os </w:t>
      </w:r>
      <w:proofErr w:type="spellStart"/>
      <w:r w:rsidRPr="00FC2E4E">
        <w:rPr>
          <w:i/>
          <w:sz w:val="24"/>
          <w:szCs w:val="24"/>
        </w:rPr>
        <w:t>boxplots</w:t>
      </w:r>
      <w:proofErr w:type="spellEnd"/>
      <w:r>
        <w:rPr>
          <w:sz w:val="24"/>
          <w:szCs w:val="24"/>
        </w:rPr>
        <w:t xml:space="preserve"> (Figuras </w:t>
      </w:r>
      <w:r w:rsidR="00031FBE">
        <w:rPr>
          <w:sz w:val="24"/>
          <w:szCs w:val="24"/>
        </w:rPr>
        <w:t>2</w:t>
      </w:r>
      <w:r>
        <w:rPr>
          <w:sz w:val="24"/>
          <w:szCs w:val="24"/>
        </w:rPr>
        <w:t xml:space="preserve"> e </w:t>
      </w:r>
      <w:r w:rsidR="00031FBE">
        <w:rPr>
          <w:sz w:val="24"/>
          <w:szCs w:val="24"/>
        </w:rPr>
        <w:t>3</w:t>
      </w:r>
      <w:r>
        <w:rPr>
          <w:sz w:val="24"/>
          <w:szCs w:val="24"/>
        </w:rPr>
        <w:t>) reforçam as</w:t>
      </w:r>
      <w:r w:rsidR="00031FBE">
        <w:rPr>
          <w:sz w:val="24"/>
          <w:szCs w:val="24"/>
        </w:rPr>
        <w:t xml:space="preserve"> </w:t>
      </w:r>
      <w:r w:rsidR="00357498">
        <w:rPr>
          <w:sz w:val="24"/>
          <w:szCs w:val="24"/>
        </w:rPr>
        <w:t>observações</w:t>
      </w:r>
      <w:r>
        <w:rPr>
          <w:sz w:val="24"/>
          <w:szCs w:val="24"/>
        </w:rPr>
        <w:t xml:space="preserve"> sobre o desempenho diferenciado das posições em relação a análise das mudas, evidenciando maior mediana e menor dispersão dos valores nas sementes distais, o que sugere maior uniformidade de crescimento entre as mudas. Essa uniformidade é desejável em sistemas de produção de mudas, pois facilita o manejo e reduz perdas durante a fase de viveiro (BRASIL, 2013).</w:t>
      </w:r>
    </w:p>
    <w:p w14:paraId="2B70C2A6" w14:textId="77777777" w:rsidR="00B7556A" w:rsidRDefault="00B7556A" w:rsidP="00B7556A">
      <w:pPr>
        <w:spacing w:line="360" w:lineRule="auto"/>
        <w:ind w:right="3405"/>
        <w:jc w:val="both"/>
      </w:pPr>
    </w:p>
    <w:p w14:paraId="3C76A9CE" w14:textId="77777777" w:rsidR="00B7556A" w:rsidRDefault="00B7556A" w:rsidP="00B7556A">
      <w:pPr>
        <w:spacing w:line="360" w:lineRule="auto"/>
        <w:ind w:right="3405"/>
        <w:jc w:val="both"/>
      </w:pPr>
    </w:p>
    <w:p w14:paraId="1F852756" w14:textId="77777777" w:rsidR="00B7556A" w:rsidRDefault="00B7556A" w:rsidP="00B7556A">
      <w:pPr>
        <w:spacing w:line="360" w:lineRule="auto"/>
        <w:ind w:right="3405"/>
        <w:jc w:val="both"/>
      </w:pPr>
    </w:p>
    <w:p w14:paraId="686FE619" w14:textId="77777777" w:rsidR="00B7556A" w:rsidRDefault="00B7556A" w:rsidP="00B7556A">
      <w:pPr>
        <w:spacing w:line="360" w:lineRule="auto"/>
        <w:ind w:right="3405"/>
        <w:jc w:val="both"/>
      </w:pPr>
    </w:p>
    <w:p w14:paraId="1EAD2F2F" w14:textId="77777777" w:rsidR="00B7556A" w:rsidRDefault="00B7556A" w:rsidP="00B7556A">
      <w:pPr>
        <w:spacing w:line="360" w:lineRule="auto"/>
        <w:ind w:right="3405"/>
        <w:jc w:val="both"/>
      </w:pPr>
    </w:p>
    <w:p w14:paraId="632BD483" w14:textId="77777777" w:rsidR="00B7556A" w:rsidRDefault="00B7556A" w:rsidP="00B7556A">
      <w:pPr>
        <w:spacing w:line="360" w:lineRule="auto"/>
        <w:ind w:right="3405"/>
        <w:jc w:val="both"/>
      </w:pPr>
    </w:p>
    <w:p w14:paraId="3032CCF1" w14:textId="77777777" w:rsidR="00B7556A" w:rsidRDefault="00B7556A" w:rsidP="00B7556A">
      <w:pPr>
        <w:spacing w:line="360" w:lineRule="auto"/>
        <w:ind w:right="3405"/>
        <w:jc w:val="both"/>
      </w:pPr>
    </w:p>
    <w:p w14:paraId="494220B6" w14:textId="77777777" w:rsidR="00B7556A" w:rsidRDefault="00B7556A" w:rsidP="00B7556A">
      <w:pPr>
        <w:spacing w:line="360" w:lineRule="auto"/>
        <w:ind w:right="3405"/>
        <w:jc w:val="both"/>
      </w:pPr>
    </w:p>
    <w:p w14:paraId="259ED805" w14:textId="77777777" w:rsidR="00B7556A" w:rsidRDefault="00B7556A" w:rsidP="00B7556A">
      <w:pPr>
        <w:spacing w:line="360" w:lineRule="auto"/>
        <w:ind w:right="3405"/>
        <w:jc w:val="both"/>
      </w:pPr>
    </w:p>
    <w:p w14:paraId="1606C58D" w14:textId="423BDFBC" w:rsidR="00876B88" w:rsidRDefault="00047E60" w:rsidP="00A10DC9">
      <w:pPr>
        <w:jc w:val="center"/>
      </w:pPr>
      <w:r w:rsidRPr="00A10DC9">
        <w:rPr>
          <w:bCs/>
        </w:rPr>
        <w:t xml:space="preserve">Figura </w:t>
      </w:r>
      <w:r w:rsidR="00357498" w:rsidRPr="00A10DC9">
        <w:rPr>
          <w:bCs/>
        </w:rPr>
        <w:t>2</w:t>
      </w:r>
      <w:r w:rsidRPr="00A10DC9">
        <w:rPr>
          <w:bCs/>
        </w:rPr>
        <w:t xml:space="preserve"> –</w:t>
      </w:r>
      <w:r>
        <w:t xml:space="preserve"> Altura média das mudas de pau-preto em função da posição da</w:t>
      </w:r>
      <w:r w:rsidR="00EA2441">
        <w:t xml:space="preserve"> </w:t>
      </w:r>
      <w:r>
        <w:t>semente no fruto (distal e proximal). As letras distintas indicam diferença significativa pelo teste t (p &lt; 0,05).</w:t>
      </w:r>
    </w:p>
    <w:p w14:paraId="1CD56A92" w14:textId="77777777" w:rsidR="00876B88" w:rsidRDefault="00876B88" w:rsidP="00B7556A">
      <w:pPr>
        <w:spacing w:line="360" w:lineRule="auto"/>
        <w:jc w:val="center"/>
      </w:pPr>
    </w:p>
    <w:p w14:paraId="42662D4B" w14:textId="77777777" w:rsidR="00876B88" w:rsidRDefault="00047E6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19E4635F" wp14:editId="282985D6">
            <wp:extent cx="4461164" cy="2872510"/>
            <wp:effectExtent l="0" t="0" r="0" b="4445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293" cy="2885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B56D47" w14:textId="77777777" w:rsidR="00876B88" w:rsidRDefault="00047E60" w:rsidP="00B7556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highlight w:val="white"/>
        </w:rPr>
        <w:t xml:space="preserve">Fonte: Autores, 2025. </w:t>
      </w:r>
    </w:p>
    <w:p w14:paraId="198F30C5" w14:textId="77777777" w:rsidR="00876B88" w:rsidRDefault="00876B88" w:rsidP="00B7556A">
      <w:pPr>
        <w:rPr>
          <w:b/>
        </w:rPr>
      </w:pPr>
    </w:p>
    <w:p w14:paraId="69080234" w14:textId="77777777" w:rsidR="00B7556A" w:rsidRDefault="00B7556A" w:rsidP="00B7556A">
      <w:pPr>
        <w:rPr>
          <w:b/>
        </w:rPr>
      </w:pPr>
    </w:p>
    <w:p w14:paraId="3BC0207B" w14:textId="77777777" w:rsidR="00177DE9" w:rsidRDefault="00177DE9" w:rsidP="00B7556A">
      <w:pPr>
        <w:rPr>
          <w:b/>
        </w:rPr>
      </w:pPr>
    </w:p>
    <w:p w14:paraId="54AAE407" w14:textId="77777777" w:rsidR="00177DE9" w:rsidRDefault="00177DE9" w:rsidP="00B7556A">
      <w:pPr>
        <w:rPr>
          <w:b/>
        </w:rPr>
      </w:pPr>
    </w:p>
    <w:p w14:paraId="3AFAB61D" w14:textId="77777777" w:rsidR="00177DE9" w:rsidRDefault="00177DE9" w:rsidP="00B7556A">
      <w:pPr>
        <w:rPr>
          <w:b/>
        </w:rPr>
      </w:pPr>
    </w:p>
    <w:p w14:paraId="3F293AA5" w14:textId="77777777" w:rsidR="00177DE9" w:rsidRDefault="00177DE9" w:rsidP="00B7556A">
      <w:pPr>
        <w:rPr>
          <w:b/>
        </w:rPr>
      </w:pPr>
    </w:p>
    <w:p w14:paraId="2BBBAA0E" w14:textId="77777777" w:rsidR="00177DE9" w:rsidRDefault="00177DE9" w:rsidP="00B7556A">
      <w:pPr>
        <w:rPr>
          <w:b/>
        </w:rPr>
      </w:pPr>
    </w:p>
    <w:p w14:paraId="597793F5" w14:textId="77777777" w:rsidR="00177DE9" w:rsidRDefault="00177DE9" w:rsidP="00B7556A">
      <w:pPr>
        <w:rPr>
          <w:b/>
        </w:rPr>
      </w:pPr>
    </w:p>
    <w:p w14:paraId="5B73F2AC" w14:textId="77777777" w:rsidR="00177DE9" w:rsidRDefault="00177DE9" w:rsidP="00B7556A">
      <w:pPr>
        <w:rPr>
          <w:b/>
        </w:rPr>
      </w:pPr>
    </w:p>
    <w:p w14:paraId="0A319411" w14:textId="77777777" w:rsidR="00177DE9" w:rsidRDefault="00177DE9" w:rsidP="00B7556A">
      <w:pPr>
        <w:rPr>
          <w:b/>
        </w:rPr>
      </w:pPr>
    </w:p>
    <w:p w14:paraId="2B0A1303" w14:textId="77777777" w:rsidR="00177DE9" w:rsidRDefault="00177DE9" w:rsidP="00B7556A">
      <w:pPr>
        <w:rPr>
          <w:b/>
        </w:rPr>
      </w:pPr>
    </w:p>
    <w:p w14:paraId="3C8834D4" w14:textId="77777777" w:rsidR="00177DE9" w:rsidRDefault="00177DE9" w:rsidP="00B7556A">
      <w:pPr>
        <w:rPr>
          <w:b/>
        </w:rPr>
      </w:pPr>
    </w:p>
    <w:p w14:paraId="505F8195" w14:textId="77777777" w:rsidR="00177DE9" w:rsidRDefault="00177DE9" w:rsidP="00B7556A">
      <w:pPr>
        <w:rPr>
          <w:b/>
        </w:rPr>
      </w:pPr>
    </w:p>
    <w:p w14:paraId="7AFAFF6D" w14:textId="77777777" w:rsidR="00177DE9" w:rsidRDefault="00177DE9" w:rsidP="00B7556A">
      <w:pPr>
        <w:rPr>
          <w:b/>
        </w:rPr>
      </w:pPr>
    </w:p>
    <w:p w14:paraId="0A25F1AF" w14:textId="77777777" w:rsidR="00177DE9" w:rsidRDefault="00177DE9" w:rsidP="00B7556A">
      <w:pPr>
        <w:rPr>
          <w:b/>
        </w:rPr>
      </w:pPr>
    </w:p>
    <w:p w14:paraId="6CB58E6E" w14:textId="77777777" w:rsidR="00177DE9" w:rsidRDefault="00177DE9" w:rsidP="00B7556A">
      <w:pPr>
        <w:rPr>
          <w:b/>
        </w:rPr>
      </w:pPr>
    </w:p>
    <w:p w14:paraId="0C25F339" w14:textId="77777777" w:rsidR="00177DE9" w:rsidRDefault="00177DE9" w:rsidP="00B7556A">
      <w:pPr>
        <w:rPr>
          <w:b/>
        </w:rPr>
      </w:pPr>
    </w:p>
    <w:p w14:paraId="26F07C7E" w14:textId="77777777" w:rsidR="00177DE9" w:rsidRDefault="00177DE9" w:rsidP="00B7556A">
      <w:pPr>
        <w:rPr>
          <w:b/>
        </w:rPr>
      </w:pPr>
    </w:p>
    <w:p w14:paraId="72E4BCBF" w14:textId="77777777" w:rsidR="00177DE9" w:rsidRDefault="00177DE9" w:rsidP="00B7556A">
      <w:pPr>
        <w:rPr>
          <w:b/>
        </w:rPr>
      </w:pPr>
    </w:p>
    <w:p w14:paraId="4C29D675" w14:textId="77777777" w:rsidR="00177DE9" w:rsidRDefault="00177DE9" w:rsidP="00B7556A">
      <w:pPr>
        <w:rPr>
          <w:b/>
        </w:rPr>
      </w:pPr>
    </w:p>
    <w:p w14:paraId="7C153612" w14:textId="77777777" w:rsidR="00177DE9" w:rsidRDefault="00177DE9" w:rsidP="00B7556A">
      <w:pPr>
        <w:rPr>
          <w:b/>
        </w:rPr>
      </w:pPr>
    </w:p>
    <w:p w14:paraId="54C83C23" w14:textId="77777777" w:rsidR="00177DE9" w:rsidRDefault="00177DE9" w:rsidP="00B7556A">
      <w:pPr>
        <w:rPr>
          <w:b/>
        </w:rPr>
      </w:pPr>
    </w:p>
    <w:p w14:paraId="0BB3FC7C" w14:textId="77777777" w:rsidR="00876B88" w:rsidRDefault="00876B88" w:rsidP="00B7556A">
      <w:pPr>
        <w:rPr>
          <w:b/>
        </w:rPr>
      </w:pPr>
    </w:p>
    <w:p w14:paraId="12E9E53C" w14:textId="483BC597" w:rsidR="00876B88" w:rsidRDefault="00047E60" w:rsidP="00A10DC9">
      <w:pPr>
        <w:jc w:val="center"/>
      </w:pPr>
      <w:r w:rsidRPr="00A10DC9">
        <w:rPr>
          <w:bCs/>
        </w:rPr>
        <w:t xml:space="preserve">Figura </w:t>
      </w:r>
      <w:r w:rsidR="00357498" w:rsidRPr="00A10DC9">
        <w:rPr>
          <w:bCs/>
        </w:rPr>
        <w:t>3</w:t>
      </w:r>
      <w:r w:rsidRPr="00A10DC9">
        <w:rPr>
          <w:bCs/>
        </w:rPr>
        <w:t xml:space="preserve"> – Diâmetro</w:t>
      </w:r>
      <w:r>
        <w:t xml:space="preserve"> médio das mudas de pau-preto</w:t>
      </w:r>
      <w:r w:rsidR="00EA2441">
        <w:t xml:space="preserve"> </w:t>
      </w:r>
      <w:r>
        <w:t>em função da posição da semente no fruto (distal e proximal). As letras distintas indicam diferença significativa pelo teste t (p &lt; 0,05).</w:t>
      </w:r>
    </w:p>
    <w:p w14:paraId="320BED83" w14:textId="77777777" w:rsidR="00876B88" w:rsidRDefault="00876B88">
      <w:pPr>
        <w:ind w:left="1701" w:right="1987"/>
      </w:pPr>
    </w:p>
    <w:p w14:paraId="0EA395B5" w14:textId="77777777" w:rsidR="00876B88" w:rsidRDefault="00047E60">
      <w:pPr>
        <w:jc w:val="center"/>
      </w:pPr>
      <w:r>
        <w:rPr>
          <w:noProof/>
        </w:rPr>
        <w:drawing>
          <wp:inline distT="0" distB="0" distL="0" distR="0" wp14:anchorId="4200C808" wp14:editId="16B028FD">
            <wp:extent cx="4572000" cy="3084946"/>
            <wp:effectExtent l="0" t="0" r="0" b="127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6914" cy="3101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B2EF6F" w14:textId="62F8578F" w:rsidR="00876B88" w:rsidRDefault="00047E60" w:rsidP="00B7556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highlight w:val="white"/>
        </w:rPr>
        <w:t xml:space="preserve">Fonte: Autores, 2025. </w:t>
      </w:r>
    </w:p>
    <w:p w14:paraId="0CB94CB3" w14:textId="77777777" w:rsidR="00177DE9" w:rsidRDefault="00177DE9" w:rsidP="00B7556A">
      <w:pPr>
        <w:spacing w:line="360" w:lineRule="auto"/>
        <w:ind w:firstLine="709"/>
        <w:jc w:val="both"/>
        <w:rPr>
          <w:sz w:val="24"/>
          <w:szCs w:val="24"/>
        </w:rPr>
      </w:pPr>
    </w:p>
    <w:p w14:paraId="73ECA99C" w14:textId="77777777" w:rsidR="00876B88" w:rsidRDefault="00047E60" w:rsidP="00B7556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dados obtidos sugerem que sementes provenientes da porção distal do fruto tendem a originar mudas com crescimento mais expressivo e uniforme, o que pode contribuir para a melhoria dos procedimentos de seleção de sementes e formação de lotes mais homogêneos em programas de produção de mudas de espécies florestais nativas. Mais do que demonstrar variação morfológica, os resultados destacam o papel da posição da semente como um fator de relevância prática na etapa de produção de mudas. Compreender essas variações auxilia na definição de estratégias de seleção e manejo de sementes, contribuindo para a formação de lotes mais vigorosos e uniformes. </w:t>
      </w:r>
    </w:p>
    <w:p w14:paraId="5933C81F" w14:textId="77777777" w:rsidR="00876B88" w:rsidRDefault="00876B88">
      <w:pPr>
        <w:widowControl/>
        <w:spacing w:after="160" w:line="259" w:lineRule="auto"/>
        <w:jc w:val="center"/>
        <w:rPr>
          <w:b/>
        </w:rPr>
      </w:pPr>
    </w:p>
    <w:p w14:paraId="3291303E" w14:textId="77777777" w:rsidR="00876B88" w:rsidRDefault="00047E60">
      <w:pPr>
        <w:widowControl/>
        <w:tabs>
          <w:tab w:val="left" w:pos="1290"/>
        </w:tabs>
        <w:spacing w:after="160"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CONCLUSÃO </w:t>
      </w:r>
    </w:p>
    <w:p w14:paraId="06F49258" w14:textId="20B7DE43" w:rsidR="00876B88" w:rsidRDefault="00047E6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estudo evidenciou que diferenças internas entre sementes de </w:t>
      </w:r>
      <w:r>
        <w:rPr>
          <w:i/>
          <w:color w:val="000000"/>
          <w:sz w:val="24"/>
          <w:szCs w:val="24"/>
        </w:rPr>
        <w:t xml:space="preserve">Cenostigma tocantinum </w:t>
      </w:r>
      <w:proofErr w:type="spellStart"/>
      <w:r w:rsidRPr="00B7556A">
        <w:rPr>
          <w:iCs/>
          <w:color w:val="000000"/>
          <w:sz w:val="24"/>
          <w:szCs w:val="24"/>
        </w:rPr>
        <w:t>Ducke</w:t>
      </w:r>
      <w:proofErr w:type="spellEnd"/>
      <w:r>
        <w:rPr>
          <w:color w:val="000000"/>
          <w:sz w:val="24"/>
          <w:szCs w:val="24"/>
        </w:rPr>
        <w:t xml:space="preserve"> podem refletir em distintos padrões de crescimento nas fases iniciais de viveiro.</w:t>
      </w:r>
      <w:r w:rsidR="00177DE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Os resultados reforçam a importância de estudos que integrem aspectos morfológicos e </w:t>
      </w:r>
      <w:r>
        <w:rPr>
          <w:color w:val="000000"/>
          <w:sz w:val="24"/>
          <w:szCs w:val="24"/>
        </w:rPr>
        <w:lastRenderedPageBreak/>
        <w:t>fisiológicos à propagação de espécies nativas amazônicas, fortalecendo ações voltadas à conservação e restauração de ecossistemas florestais.</w:t>
      </w:r>
    </w:p>
    <w:p w14:paraId="6F9EE8F2" w14:textId="77777777" w:rsidR="00876B88" w:rsidRDefault="00876B88">
      <w:pPr>
        <w:widowControl/>
        <w:tabs>
          <w:tab w:val="left" w:pos="1290"/>
        </w:tabs>
        <w:spacing w:after="160" w:line="259" w:lineRule="auto"/>
        <w:jc w:val="both"/>
        <w:rPr>
          <w:b/>
          <w:sz w:val="24"/>
          <w:szCs w:val="24"/>
        </w:rPr>
      </w:pPr>
    </w:p>
    <w:p w14:paraId="3E5B87D9" w14:textId="77777777" w:rsidR="00876B88" w:rsidRDefault="00047E60">
      <w:pPr>
        <w:widowControl/>
        <w:tabs>
          <w:tab w:val="left" w:pos="1290"/>
        </w:tabs>
        <w:spacing w:after="160" w:line="259" w:lineRule="auto"/>
        <w:jc w:val="both"/>
        <w:rPr>
          <w:b/>
          <w:sz w:val="24"/>
          <w:szCs w:val="24"/>
          <w:lang w:val="en-US"/>
        </w:rPr>
      </w:pPr>
      <w:r w:rsidRPr="009F2EC2">
        <w:rPr>
          <w:b/>
          <w:sz w:val="24"/>
          <w:szCs w:val="24"/>
          <w:lang w:val="en-US"/>
        </w:rPr>
        <w:t xml:space="preserve">REFERÊNCIAS </w:t>
      </w:r>
    </w:p>
    <w:p w14:paraId="5D68882C" w14:textId="77777777" w:rsidR="00B7556A" w:rsidRPr="009F2EC2" w:rsidRDefault="00B7556A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  <w:lang w:val="en-US"/>
        </w:rPr>
      </w:pPr>
    </w:p>
    <w:p w14:paraId="58775417" w14:textId="77777777" w:rsidR="00876B88" w:rsidRDefault="00047E60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bookmarkStart w:id="1" w:name="_heading=h.5rqpbz3cqix3" w:colFirst="0" w:colLast="0"/>
      <w:bookmarkEnd w:id="1"/>
      <w:r w:rsidRPr="00B7556A">
        <w:rPr>
          <w:color w:val="000000"/>
          <w:sz w:val="24"/>
          <w:szCs w:val="24"/>
          <w:lang w:val="en-US"/>
        </w:rPr>
        <w:t>BEWLEY, J. D.; BRADFORD, K. J.; HILHORST, H. W. M.; NONOGAKI,</w:t>
      </w:r>
      <w:r w:rsidRPr="00B7556A">
        <w:rPr>
          <w:b/>
          <w:color w:val="000000"/>
          <w:sz w:val="24"/>
          <w:szCs w:val="24"/>
          <w:lang w:val="en-US"/>
        </w:rPr>
        <w:t xml:space="preserve"> H.</w:t>
      </w:r>
      <w:r w:rsidRPr="00B7556A">
        <w:rPr>
          <w:color w:val="000000"/>
          <w:sz w:val="24"/>
          <w:szCs w:val="24"/>
          <w:lang w:val="en-US"/>
        </w:rPr>
        <w:t xml:space="preserve"> </w:t>
      </w:r>
      <w:r w:rsidRPr="00B7556A">
        <w:rPr>
          <w:b/>
          <w:color w:val="000000"/>
          <w:sz w:val="24"/>
          <w:szCs w:val="24"/>
          <w:lang w:val="en-US"/>
        </w:rPr>
        <w:t>Seeds: Physiology of Development, Germination and Dormancy.</w:t>
      </w:r>
      <w:r w:rsidRPr="00B7556A">
        <w:rPr>
          <w:color w:val="000000"/>
          <w:sz w:val="24"/>
          <w:szCs w:val="24"/>
          <w:lang w:val="en-US"/>
        </w:rPr>
        <w:t xml:space="preserve"> </w:t>
      </w:r>
      <w:r w:rsidRPr="00B7556A">
        <w:rPr>
          <w:color w:val="000000"/>
          <w:sz w:val="24"/>
          <w:szCs w:val="24"/>
        </w:rPr>
        <w:t>3. ed. New York: Springer, 2013. DOI: 10.1007/978-1-4614-4693-4;</w:t>
      </w:r>
    </w:p>
    <w:p w14:paraId="23C83FF2" w14:textId="77777777" w:rsidR="00B7556A" w:rsidRPr="00B7556A" w:rsidRDefault="00B7556A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4E1E266" w14:textId="77777777" w:rsidR="00876B88" w:rsidRDefault="00047E60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B7556A">
        <w:rPr>
          <w:color w:val="000000"/>
          <w:sz w:val="24"/>
          <w:szCs w:val="24"/>
        </w:rPr>
        <w:t>CARVALHO, N. M.; NAKAGAWA,</w:t>
      </w:r>
      <w:r w:rsidRPr="00B7556A">
        <w:rPr>
          <w:b/>
          <w:color w:val="000000"/>
          <w:sz w:val="24"/>
          <w:szCs w:val="24"/>
        </w:rPr>
        <w:t xml:space="preserve"> J.</w:t>
      </w:r>
      <w:r w:rsidRPr="00B7556A">
        <w:rPr>
          <w:color w:val="000000"/>
          <w:sz w:val="24"/>
          <w:szCs w:val="24"/>
        </w:rPr>
        <w:t xml:space="preserve"> </w:t>
      </w:r>
      <w:r w:rsidRPr="00B7556A">
        <w:rPr>
          <w:b/>
          <w:color w:val="000000"/>
          <w:sz w:val="24"/>
          <w:szCs w:val="24"/>
        </w:rPr>
        <w:t>Sementes: ciência, tecnologia e produção</w:t>
      </w:r>
      <w:r w:rsidRPr="00B7556A">
        <w:rPr>
          <w:i/>
          <w:color w:val="000000"/>
          <w:sz w:val="24"/>
          <w:szCs w:val="24"/>
        </w:rPr>
        <w:t>.</w:t>
      </w:r>
      <w:r w:rsidRPr="00B7556A">
        <w:rPr>
          <w:color w:val="000000"/>
          <w:sz w:val="24"/>
          <w:szCs w:val="24"/>
        </w:rPr>
        <w:t xml:space="preserve"> 5. ed. Jaboticabal: FUNEP, 2012;</w:t>
      </w:r>
    </w:p>
    <w:p w14:paraId="31A4F07B" w14:textId="77777777" w:rsidR="00B7556A" w:rsidRPr="00B7556A" w:rsidRDefault="00B7556A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18B7606A" w14:textId="6A6E37E2" w:rsidR="00876B88" w:rsidRDefault="00047E60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B7556A">
        <w:rPr>
          <w:color w:val="000000"/>
          <w:sz w:val="24"/>
          <w:szCs w:val="24"/>
        </w:rPr>
        <w:t>FREITAS, T. P. et al. Morfologia e caracterização da germinação em função da posição das sementes no fruto de sabiá. </w:t>
      </w:r>
      <w:proofErr w:type="spellStart"/>
      <w:r w:rsidRPr="00B7556A">
        <w:rPr>
          <w:b/>
          <w:color w:val="000000"/>
          <w:sz w:val="24"/>
          <w:szCs w:val="24"/>
        </w:rPr>
        <w:t>Scientia</w:t>
      </w:r>
      <w:proofErr w:type="spellEnd"/>
      <w:r w:rsidRPr="00B7556A">
        <w:rPr>
          <w:b/>
          <w:color w:val="000000"/>
          <w:sz w:val="24"/>
          <w:szCs w:val="24"/>
        </w:rPr>
        <w:t xml:space="preserve"> Plena</w:t>
      </w:r>
      <w:r w:rsidRPr="00B7556A">
        <w:rPr>
          <w:color w:val="000000"/>
          <w:sz w:val="24"/>
          <w:szCs w:val="24"/>
        </w:rPr>
        <w:t>, v. 9, n. 3, 2013</w:t>
      </w:r>
      <w:r w:rsidR="00B7556A">
        <w:rPr>
          <w:color w:val="000000"/>
          <w:sz w:val="24"/>
          <w:szCs w:val="24"/>
        </w:rPr>
        <w:t>;</w:t>
      </w:r>
    </w:p>
    <w:p w14:paraId="6603F05B" w14:textId="77777777" w:rsidR="00B7556A" w:rsidRPr="00B7556A" w:rsidRDefault="00B7556A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DFA71A3" w14:textId="77777777" w:rsidR="00876B88" w:rsidRDefault="00047E60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B7556A">
        <w:rPr>
          <w:color w:val="000000"/>
          <w:sz w:val="24"/>
          <w:szCs w:val="24"/>
        </w:rPr>
        <w:t xml:space="preserve">GARCIA, L. C. et </w:t>
      </w:r>
      <w:proofErr w:type="spellStart"/>
      <w:proofErr w:type="gramStart"/>
      <w:r w:rsidRPr="00B7556A">
        <w:rPr>
          <w:color w:val="000000"/>
          <w:sz w:val="24"/>
          <w:szCs w:val="24"/>
        </w:rPr>
        <w:t>al.;Determinação</w:t>
      </w:r>
      <w:proofErr w:type="spellEnd"/>
      <w:proofErr w:type="gramEnd"/>
      <w:r w:rsidRPr="00B7556A">
        <w:rPr>
          <w:color w:val="000000"/>
          <w:sz w:val="24"/>
          <w:szCs w:val="24"/>
        </w:rPr>
        <w:t xml:space="preserve"> do grau crítico de umidade em sementes de </w:t>
      </w:r>
      <w:r w:rsidRPr="00B7556A">
        <w:rPr>
          <w:i/>
          <w:color w:val="000000"/>
          <w:sz w:val="24"/>
          <w:szCs w:val="24"/>
        </w:rPr>
        <w:t>Cenostigma tocantinum</w:t>
      </w:r>
      <w:r w:rsidRPr="00B7556A">
        <w:rPr>
          <w:color w:val="000000"/>
          <w:sz w:val="24"/>
          <w:szCs w:val="24"/>
        </w:rPr>
        <w:t xml:space="preserve"> </w:t>
      </w:r>
      <w:proofErr w:type="spellStart"/>
      <w:r w:rsidRPr="00B7556A">
        <w:rPr>
          <w:color w:val="000000"/>
          <w:sz w:val="24"/>
          <w:szCs w:val="24"/>
        </w:rPr>
        <w:t>Ducke</w:t>
      </w:r>
      <w:proofErr w:type="spellEnd"/>
      <w:r w:rsidRPr="00B7556A">
        <w:rPr>
          <w:color w:val="000000"/>
          <w:sz w:val="24"/>
          <w:szCs w:val="24"/>
        </w:rPr>
        <w:t xml:space="preserve">. </w:t>
      </w:r>
      <w:r w:rsidRPr="00B7556A">
        <w:rPr>
          <w:b/>
          <w:color w:val="000000"/>
          <w:sz w:val="24"/>
          <w:szCs w:val="24"/>
        </w:rPr>
        <w:t>Revista Brasileira de Sementes</w:t>
      </w:r>
      <w:r w:rsidRPr="00B7556A">
        <w:rPr>
          <w:color w:val="000000"/>
          <w:sz w:val="24"/>
          <w:szCs w:val="24"/>
        </w:rPr>
        <w:t>, v. 30, n. 3, p. 172–176, 2008;</w:t>
      </w:r>
    </w:p>
    <w:p w14:paraId="73BD0261" w14:textId="77777777" w:rsidR="00B7556A" w:rsidRPr="00B7556A" w:rsidRDefault="00B7556A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1BE65DB9" w14:textId="77777777" w:rsidR="00876B88" w:rsidRDefault="00047E60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US"/>
        </w:rPr>
      </w:pPr>
      <w:r w:rsidRPr="00B7556A">
        <w:rPr>
          <w:color w:val="000000"/>
          <w:sz w:val="24"/>
          <w:szCs w:val="24"/>
        </w:rPr>
        <w:t xml:space="preserve">LORENZI, H. </w:t>
      </w:r>
      <w:r w:rsidRPr="00B7556A">
        <w:rPr>
          <w:b/>
          <w:color w:val="000000"/>
          <w:sz w:val="24"/>
          <w:szCs w:val="24"/>
        </w:rPr>
        <w:t>Árvores brasileiras: manual de identificação e cultivo de plantas arbóreas do Brasil</w:t>
      </w:r>
      <w:r w:rsidRPr="00B7556A">
        <w:rPr>
          <w:i/>
          <w:color w:val="000000"/>
          <w:sz w:val="24"/>
          <w:szCs w:val="24"/>
        </w:rPr>
        <w:t>.</w:t>
      </w:r>
      <w:r w:rsidRPr="00B7556A">
        <w:rPr>
          <w:color w:val="000000"/>
          <w:sz w:val="24"/>
          <w:szCs w:val="24"/>
        </w:rPr>
        <w:t xml:space="preserve"> </w:t>
      </w:r>
      <w:r w:rsidRPr="00B7556A">
        <w:rPr>
          <w:color w:val="000000"/>
          <w:sz w:val="24"/>
          <w:szCs w:val="24"/>
          <w:lang w:val="en-US"/>
        </w:rPr>
        <w:t>5. ed. Nova Odessa: Instituto Plantarum, 2016;</w:t>
      </w:r>
    </w:p>
    <w:p w14:paraId="702D30A0" w14:textId="77777777" w:rsidR="00B7556A" w:rsidRPr="00B7556A" w:rsidRDefault="00B7556A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US"/>
        </w:rPr>
      </w:pPr>
    </w:p>
    <w:p w14:paraId="6FA63E12" w14:textId="77777777" w:rsidR="00876B88" w:rsidRPr="00014495" w:rsidRDefault="00047E60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US"/>
        </w:rPr>
      </w:pPr>
      <w:r w:rsidRPr="00B7556A">
        <w:rPr>
          <w:color w:val="000000"/>
          <w:sz w:val="24"/>
          <w:szCs w:val="24"/>
          <w:lang w:val="en-US"/>
        </w:rPr>
        <w:t xml:space="preserve">R CORE TEAM. </w:t>
      </w:r>
      <w:r w:rsidRPr="00B7556A">
        <w:rPr>
          <w:b/>
          <w:i/>
          <w:color w:val="000000"/>
          <w:sz w:val="24"/>
          <w:szCs w:val="24"/>
          <w:lang w:val="en-US"/>
        </w:rPr>
        <w:t>R:</w:t>
      </w:r>
      <w:r w:rsidRPr="00B7556A">
        <w:rPr>
          <w:i/>
          <w:color w:val="000000"/>
          <w:sz w:val="24"/>
          <w:szCs w:val="24"/>
          <w:lang w:val="en-US"/>
        </w:rPr>
        <w:t xml:space="preserve"> </w:t>
      </w:r>
      <w:r w:rsidRPr="00B7556A">
        <w:rPr>
          <w:b/>
          <w:color w:val="000000"/>
          <w:sz w:val="24"/>
          <w:szCs w:val="24"/>
          <w:lang w:val="en-US"/>
        </w:rPr>
        <w:t>A language and environment for statistical computing</w:t>
      </w:r>
      <w:r w:rsidRPr="00B7556A">
        <w:rPr>
          <w:i/>
          <w:color w:val="000000"/>
          <w:sz w:val="24"/>
          <w:szCs w:val="24"/>
          <w:lang w:val="en-US"/>
        </w:rPr>
        <w:t>.</w:t>
      </w:r>
      <w:r w:rsidRPr="00B7556A">
        <w:rPr>
          <w:color w:val="000000"/>
          <w:sz w:val="24"/>
          <w:szCs w:val="24"/>
          <w:lang w:val="en-US"/>
        </w:rPr>
        <w:t xml:space="preserve"> </w:t>
      </w:r>
      <w:r w:rsidRPr="00014495">
        <w:rPr>
          <w:color w:val="000000"/>
          <w:sz w:val="24"/>
          <w:szCs w:val="24"/>
          <w:lang w:val="en-US"/>
        </w:rPr>
        <w:t>Vienna: R Foundation for Statistical Computing, 2024;</w:t>
      </w:r>
    </w:p>
    <w:p w14:paraId="336117EB" w14:textId="77777777" w:rsidR="00B7556A" w:rsidRPr="00014495" w:rsidRDefault="00B7556A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US"/>
        </w:rPr>
      </w:pPr>
    </w:p>
    <w:p w14:paraId="57A83DC3" w14:textId="77777777" w:rsidR="00876B88" w:rsidRDefault="00047E60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B7556A">
        <w:rPr>
          <w:color w:val="000000"/>
          <w:sz w:val="24"/>
          <w:szCs w:val="24"/>
        </w:rPr>
        <w:t xml:space="preserve">REFLORA BRASIL. </w:t>
      </w:r>
      <w:r w:rsidRPr="00B7556A">
        <w:rPr>
          <w:b/>
          <w:color w:val="000000"/>
          <w:sz w:val="24"/>
          <w:szCs w:val="24"/>
        </w:rPr>
        <w:t>Flora e Funga do Brasil</w:t>
      </w:r>
      <w:r w:rsidRPr="00B7556A">
        <w:rPr>
          <w:i/>
          <w:color w:val="000000"/>
          <w:sz w:val="24"/>
          <w:szCs w:val="24"/>
        </w:rPr>
        <w:t>.</w:t>
      </w:r>
      <w:r w:rsidRPr="00B7556A">
        <w:rPr>
          <w:color w:val="000000"/>
          <w:sz w:val="24"/>
          <w:szCs w:val="24"/>
        </w:rPr>
        <w:t xml:space="preserve"> Jardim Botânico do Rio de Janeiro, 2024. Disponível em: </w:t>
      </w:r>
      <w:hyperlink r:id="rId11">
        <w:r w:rsidRPr="00B7556A">
          <w:rPr>
            <w:color w:val="0000FF"/>
            <w:sz w:val="24"/>
            <w:szCs w:val="24"/>
            <w:u w:val="single"/>
          </w:rPr>
          <w:t>http://floradobrasil.jbrj.gov.br/</w:t>
        </w:r>
      </w:hyperlink>
      <w:r w:rsidRPr="00B7556A">
        <w:rPr>
          <w:color w:val="000000"/>
          <w:sz w:val="24"/>
          <w:szCs w:val="24"/>
        </w:rPr>
        <w:t>. Acesso em: 24 out. 2025;</w:t>
      </w:r>
    </w:p>
    <w:p w14:paraId="4A27DDBB" w14:textId="77777777" w:rsidR="00B7556A" w:rsidRPr="00B7556A" w:rsidRDefault="00B7556A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C563A2E" w14:textId="77777777" w:rsidR="00876B88" w:rsidRDefault="00047E60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US"/>
        </w:rPr>
      </w:pPr>
      <w:r w:rsidRPr="00014495">
        <w:rPr>
          <w:color w:val="000000"/>
          <w:sz w:val="24"/>
          <w:szCs w:val="24"/>
          <w:lang w:val="es-419"/>
        </w:rPr>
        <w:t xml:space="preserve">SANTOS, M. C. et al. </w:t>
      </w:r>
      <w:r w:rsidRPr="00B7556A">
        <w:rPr>
          <w:color w:val="000000"/>
          <w:sz w:val="24"/>
          <w:szCs w:val="24"/>
          <w:lang w:val="en-US"/>
        </w:rPr>
        <w:t xml:space="preserve">Seed position and influences on </w:t>
      </w:r>
      <w:r w:rsidRPr="00B7556A">
        <w:rPr>
          <w:i/>
          <w:color w:val="000000"/>
          <w:sz w:val="24"/>
          <w:szCs w:val="24"/>
          <w:lang w:val="en-US"/>
        </w:rPr>
        <w:t>Caesalpinia pulcherrima</w:t>
      </w:r>
      <w:r w:rsidRPr="00B7556A">
        <w:rPr>
          <w:color w:val="000000"/>
          <w:sz w:val="24"/>
          <w:szCs w:val="24"/>
          <w:lang w:val="en-US"/>
        </w:rPr>
        <w:t xml:space="preserve"> germination and reserve proteins. </w:t>
      </w:r>
      <w:r w:rsidRPr="00B7556A">
        <w:rPr>
          <w:b/>
          <w:color w:val="000000"/>
          <w:sz w:val="24"/>
          <w:szCs w:val="24"/>
          <w:lang w:val="en-US"/>
        </w:rPr>
        <w:t>Journal of Seed Science</w:t>
      </w:r>
      <w:r w:rsidRPr="00B7556A">
        <w:rPr>
          <w:color w:val="000000"/>
          <w:sz w:val="24"/>
          <w:szCs w:val="24"/>
          <w:lang w:val="en-US"/>
        </w:rPr>
        <w:t>, v. 41, n. 3, p. 269–278, 2019;</w:t>
      </w:r>
    </w:p>
    <w:p w14:paraId="163F5256" w14:textId="77777777" w:rsidR="00B7556A" w:rsidRPr="00B7556A" w:rsidRDefault="00B7556A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US"/>
        </w:rPr>
      </w:pPr>
    </w:p>
    <w:p w14:paraId="4302D678" w14:textId="77777777" w:rsidR="00876B88" w:rsidRDefault="00047E60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US"/>
        </w:rPr>
      </w:pPr>
      <w:r w:rsidRPr="00B7556A">
        <w:rPr>
          <w:color w:val="000000"/>
          <w:sz w:val="24"/>
          <w:szCs w:val="24"/>
          <w:lang w:val="en-US"/>
        </w:rPr>
        <w:t xml:space="preserve">SILVA, T. I. S. et al. Morphology of fruit and seed and germination on </w:t>
      </w:r>
      <w:proofErr w:type="spellStart"/>
      <w:r w:rsidRPr="00B7556A">
        <w:rPr>
          <w:i/>
          <w:color w:val="000000"/>
          <w:sz w:val="24"/>
          <w:szCs w:val="24"/>
          <w:lang w:val="en-US"/>
        </w:rPr>
        <w:t>Poincianella</w:t>
      </w:r>
      <w:proofErr w:type="spellEnd"/>
      <w:r w:rsidRPr="00B7556A">
        <w:rPr>
          <w:i/>
          <w:color w:val="000000"/>
          <w:sz w:val="24"/>
          <w:szCs w:val="24"/>
          <w:lang w:val="en-US"/>
        </w:rPr>
        <w:t xml:space="preserve"> pyramidalis</w:t>
      </w:r>
      <w:r w:rsidRPr="00B7556A">
        <w:rPr>
          <w:color w:val="000000"/>
          <w:sz w:val="24"/>
          <w:szCs w:val="24"/>
          <w:lang w:val="en-US"/>
        </w:rPr>
        <w:t xml:space="preserve"> (Tul.) L. P. Queiroz comb. </w:t>
      </w:r>
      <w:proofErr w:type="spellStart"/>
      <w:r w:rsidRPr="00B7556A">
        <w:rPr>
          <w:color w:val="000000"/>
          <w:sz w:val="24"/>
          <w:szCs w:val="24"/>
          <w:lang w:val="en-US"/>
        </w:rPr>
        <w:t>nov.</w:t>
      </w:r>
      <w:proofErr w:type="spellEnd"/>
      <w:r w:rsidRPr="00B7556A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B7556A">
        <w:rPr>
          <w:b/>
          <w:color w:val="000000"/>
          <w:sz w:val="24"/>
          <w:szCs w:val="24"/>
          <w:lang w:val="en-US"/>
        </w:rPr>
        <w:t>Revista</w:t>
      </w:r>
      <w:proofErr w:type="spellEnd"/>
      <w:r w:rsidRPr="00B7556A">
        <w:rPr>
          <w:b/>
          <w:color w:val="000000"/>
          <w:sz w:val="24"/>
          <w:szCs w:val="24"/>
          <w:lang w:val="en-US"/>
        </w:rPr>
        <w:t xml:space="preserve"> Caatinga</w:t>
      </w:r>
      <w:r w:rsidRPr="00B7556A">
        <w:rPr>
          <w:color w:val="000000"/>
          <w:sz w:val="24"/>
          <w:szCs w:val="24"/>
          <w:lang w:val="en-US"/>
        </w:rPr>
        <w:t>, v. 29, n. 4, p. 902–909, 2016;</w:t>
      </w:r>
    </w:p>
    <w:p w14:paraId="24E2458D" w14:textId="77777777" w:rsidR="00B7556A" w:rsidRPr="00B7556A" w:rsidRDefault="00B7556A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US"/>
        </w:rPr>
      </w:pPr>
    </w:p>
    <w:p w14:paraId="5EEA98D3" w14:textId="77777777" w:rsidR="00876B88" w:rsidRDefault="00047E60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US"/>
        </w:rPr>
      </w:pPr>
      <w:r w:rsidRPr="00B7556A">
        <w:rPr>
          <w:color w:val="000000"/>
          <w:sz w:val="24"/>
          <w:szCs w:val="24"/>
          <w:lang w:val="en-US"/>
        </w:rPr>
        <w:t>TER STEEGE, H. et al</w:t>
      </w:r>
      <w:r w:rsidRPr="00B7556A">
        <w:rPr>
          <w:b/>
          <w:color w:val="000000"/>
          <w:sz w:val="24"/>
          <w:szCs w:val="24"/>
          <w:lang w:val="en-US"/>
        </w:rPr>
        <w:t>.</w:t>
      </w:r>
      <w:r w:rsidRPr="00B7556A">
        <w:rPr>
          <w:color w:val="000000"/>
          <w:sz w:val="24"/>
          <w:szCs w:val="24"/>
          <w:lang w:val="en-US"/>
        </w:rPr>
        <w:t xml:space="preserve"> Biased-corrected richness estimates for the Amazonian tree flora. </w:t>
      </w:r>
      <w:r w:rsidRPr="00B7556A">
        <w:rPr>
          <w:b/>
          <w:color w:val="000000"/>
          <w:sz w:val="24"/>
          <w:szCs w:val="24"/>
          <w:lang w:val="en-US"/>
        </w:rPr>
        <w:t>Scientific Reports</w:t>
      </w:r>
      <w:r w:rsidRPr="00B7556A">
        <w:rPr>
          <w:color w:val="000000"/>
          <w:sz w:val="24"/>
          <w:szCs w:val="24"/>
          <w:lang w:val="en-US"/>
        </w:rPr>
        <w:t>, v. 10, n. 1, p. 10130, 2020;</w:t>
      </w:r>
    </w:p>
    <w:p w14:paraId="7E625D91" w14:textId="77777777" w:rsidR="00B7556A" w:rsidRPr="00B7556A" w:rsidRDefault="00B7556A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US"/>
        </w:rPr>
      </w:pPr>
    </w:p>
    <w:p w14:paraId="68F5D1AF" w14:textId="4BBC1DFA" w:rsidR="00876B88" w:rsidRPr="00B7556A" w:rsidRDefault="00047E60" w:rsidP="006E1C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B7556A">
        <w:rPr>
          <w:color w:val="000000"/>
          <w:sz w:val="24"/>
          <w:szCs w:val="24"/>
          <w:lang w:val="en-US"/>
        </w:rPr>
        <w:t xml:space="preserve">WARWICK, M. C.; LEWIS, G. P. A revision of </w:t>
      </w:r>
      <w:r w:rsidRPr="00B7556A">
        <w:rPr>
          <w:i/>
          <w:color w:val="000000"/>
          <w:sz w:val="24"/>
          <w:szCs w:val="24"/>
          <w:lang w:val="en-US"/>
        </w:rPr>
        <w:t>Cenostigma</w:t>
      </w:r>
      <w:r w:rsidRPr="00B7556A">
        <w:rPr>
          <w:color w:val="000000"/>
          <w:sz w:val="24"/>
          <w:szCs w:val="24"/>
          <w:lang w:val="en-US"/>
        </w:rPr>
        <w:t xml:space="preserve"> (Leguminosae – </w:t>
      </w:r>
      <w:proofErr w:type="spellStart"/>
      <w:r w:rsidRPr="00B7556A">
        <w:rPr>
          <w:color w:val="000000"/>
          <w:sz w:val="24"/>
          <w:szCs w:val="24"/>
          <w:lang w:val="en-US"/>
        </w:rPr>
        <w:t>Caesalpinioideae</w:t>
      </w:r>
      <w:proofErr w:type="spellEnd"/>
      <w:r w:rsidRPr="00B7556A">
        <w:rPr>
          <w:color w:val="000000"/>
          <w:sz w:val="24"/>
          <w:szCs w:val="24"/>
          <w:lang w:val="en-US"/>
        </w:rPr>
        <w:t xml:space="preserve"> – </w:t>
      </w:r>
      <w:proofErr w:type="spellStart"/>
      <w:r w:rsidRPr="00B7556A">
        <w:rPr>
          <w:color w:val="000000"/>
          <w:sz w:val="24"/>
          <w:szCs w:val="24"/>
          <w:lang w:val="en-US"/>
        </w:rPr>
        <w:t>Caesalpinieae</w:t>
      </w:r>
      <w:proofErr w:type="spellEnd"/>
      <w:r w:rsidRPr="00B7556A">
        <w:rPr>
          <w:color w:val="000000"/>
          <w:sz w:val="24"/>
          <w:szCs w:val="24"/>
          <w:lang w:val="en-US"/>
        </w:rPr>
        <w:t xml:space="preserve">), a genus endemic to Brazil. </w:t>
      </w:r>
      <w:r w:rsidRPr="00B7556A">
        <w:rPr>
          <w:b/>
          <w:color w:val="000000"/>
          <w:sz w:val="24"/>
          <w:szCs w:val="24"/>
        </w:rPr>
        <w:t>Kew Bulletin</w:t>
      </w:r>
      <w:r w:rsidRPr="00B7556A">
        <w:rPr>
          <w:color w:val="000000"/>
          <w:sz w:val="24"/>
          <w:szCs w:val="24"/>
        </w:rPr>
        <w:t>, v. 64, n. 1, p. 135–146, 2009</w:t>
      </w:r>
      <w:r w:rsidR="001711F6" w:rsidRPr="00B7556A">
        <w:rPr>
          <w:color w:val="000000"/>
          <w:sz w:val="24"/>
          <w:szCs w:val="24"/>
        </w:rPr>
        <w:t>.</w:t>
      </w:r>
    </w:p>
    <w:p w14:paraId="397A0A28" w14:textId="77777777" w:rsidR="00876B88" w:rsidRPr="00B7556A" w:rsidRDefault="00876B88" w:rsidP="006E1CE7">
      <w:pPr>
        <w:jc w:val="both"/>
        <w:rPr>
          <w:sz w:val="24"/>
          <w:szCs w:val="24"/>
        </w:rPr>
      </w:pPr>
    </w:p>
    <w:sectPr w:rsidR="00876B88" w:rsidRPr="00B7556A">
      <w:headerReference w:type="default" r:id="rId12"/>
      <w:footerReference w:type="default" r:id="rId13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E270E" w14:textId="77777777" w:rsidR="00DF26C8" w:rsidRDefault="00DF26C8">
      <w:r>
        <w:separator/>
      </w:r>
    </w:p>
  </w:endnote>
  <w:endnote w:type="continuationSeparator" w:id="0">
    <w:p w14:paraId="25F633C7" w14:textId="77777777" w:rsidR="00DF26C8" w:rsidRDefault="00DF2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F910AD8-0993-4D00-B5E3-B5DD1CFAE4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93523FB-7397-4AB3-AE3F-924ECAC5E6A4}"/>
    <w:embedItalic r:id="rId3" w:fontKey="{9769089F-607D-4285-B5A1-831B882CB01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2A1DD5E9-8980-4DF8-BCF8-68BC5BFD57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68CF08-0E0E-4294-B28D-9A0693A8CB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5555EFE-BB50-406F-B349-2E65D0D874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5C518" w14:textId="77777777" w:rsidR="00876B88" w:rsidRDefault="00047E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DE0A084" wp14:editId="0D7ADAAC">
          <wp:simplePos x="0" y="0"/>
          <wp:positionH relativeFrom="column">
            <wp:posOffset>2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D23AF7B" wp14:editId="1D0FE7F7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1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6429FE3" wp14:editId="44FC80EF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17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5EB36E1" wp14:editId="4BA51859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7A3FA88" wp14:editId="08CEF1FA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1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0625AAA3" wp14:editId="6E0FE623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16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7034C" w14:textId="77777777" w:rsidR="00DF26C8" w:rsidRDefault="00DF26C8">
      <w:r>
        <w:separator/>
      </w:r>
    </w:p>
  </w:footnote>
  <w:footnote w:type="continuationSeparator" w:id="0">
    <w:p w14:paraId="08ECE697" w14:textId="77777777" w:rsidR="00DF26C8" w:rsidRDefault="00DF2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1FCB9" w14:textId="77777777" w:rsidR="00876B88" w:rsidRDefault="00047E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77706FB" wp14:editId="6C53974F">
          <wp:extent cx="3253105" cy="1610360"/>
          <wp:effectExtent l="0" t="0" r="0" b="0"/>
          <wp:docPr id="13" name="image5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6B88"/>
    <w:rsid w:val="00014495"/>
    <w:rsid w:val="00031FBE"/>
    <w:rsid w:val="00047E60"/>
    <w:rsid w:val="001216C3"/>
    <w:rsid w:val="001711F6"/>
    <w:rsid w:val="00177DE9"/>
    <w:rsid w:val="002374ED"/>
    <w:rsid w:val="00357498"/>
    <w:rsid w:val="00410A1D"/>
    <w:rsid w:val="004D578D"/>
    <w:rsid w:val="005010F3"/>
    <w:rsid w:val="00684A72"/>
    <w:rsid w:val="00686BC3"/>
    <w:rsid w:val="006E1CE7"/>
    <w:rsid w:val="007E468B"/>
    <w:rsid w:val="00876B88"/>
    <w:rsid w:val="008F0A6E"/>
    <w:rsid w:val="009F2EC2"/>
    <w:rsid w:val="00A10DC9"/>
    <w:rsid w:val="00A561EB"/>
    <w:rsid w:val="00A71B43"/>
    <w:rsid w:val="00AF0515"/>
    <w:rsid w:val="00B7556A"/>
    <w:rsid w:val="00BC465D"/>
    <w:rsid w:val="00DF26C8"/>
    <w:rsid w:val="00E519F9"/>
    <w:rsid w:val="00EA2441"/>
    <w:rsid w:val="00EB3B47"/>
    <w:rsid w:val="00FC2E4E"/>
    <w:rsid w:val="00FE2D8A"/>
    <w:rsid w:val="00FE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03DD1"/>
  <w15:docId w15:val="{AE792A50-CB96-493E-8273-AAA88CC69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48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48A9"/>
    <w:rPr>
      <w:rFonts w:ascii="Tahoma" w:eastAsia="Times New Roman" w:hAnsi="Tahoma" w:cs="Tahoma"/>
      <w:sz w:val="16"/>
      <w:szCs w:val="16"/>
      <w:lang w:val="pt-PT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D623C6"/>
    <w:pPr>
      <w:widowControl/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623C6"/>
    <w:rPr>
      <w:i/>
      <w:iCs/>
    </w:rPr>
  </w:style>
  <w:style w:type="character" w:styleId="Forte">
    <w:name w:val="Strong"/>
    <w:basedOn w:val="Fontepargpadro"/>
    <w:uiPriority w:val="22"/>
    <w:qFormat/>
    <w:rsid w:val="00124165"/>
    <w:rPr>
      <w:b/>
      <w:bCs/>
    </w:rPr>
  </w:style>
  <w:style w:type="paragraph" w:customStyle="1" w:styleId="paragraph">
    <w:name w:val="paragraph"/>
    <w:basedOn w:val="Normal"/>
    <w:rsid w:val="00A9039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Fontepargpadro"/>
    <w:rsid w:val="00A90390"/>
  </w:style>
  <w:style w:type="character" w:customStyle="1" w:styleId="eop">
    <w:name w:val="eop"/>
    <w:basedOn w:val="Fontepargpadro"/>
    <w:rsid w:val="00A90390"/>
  </w:style>
  <w:style w:type="character" w:styleId="Hyperlink">
    <w:name w:val="Hyperlink"/>
    <w:basedOn w:val="Fontepargpadro"/>
    <w:uiPriority w:val="99"/>
    <w:semiHidden/>
    <w:unhideWhenUsed/>
    <w:rsid w:val="00BD0D0C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F803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03A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03A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03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03AE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4D578D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loradobrasil.jbrj.gov.br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+XmelrrnkdpbCMm8/VD1U0MlOA==">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8BEF0B2-781F-44A7-9744-AC0EEB580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1917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GIOVANNA  DIAS GONÇALVES</cp:lastModifiedBy>
  <cp:revision>6</cp:revision>
  <cp:lastPrinted>2025-10-28T18:12:00Z</cp:lastPrinted>
  <dcterms:created xsi:type="dcterms:W3CDTF">2025-10-28T22:03:00Z</dcterms:created>
  <dcterms:modified xsi:type="dcterms:W3CDTF">2025-10-29T13:22:00Z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