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53A2F" w14:textId="77777777" w:rsidR="0027675B" w:rsidRPr="0027675B" w:rsidRDefault="0027675B" w:rsidP="0027675B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en-US"/>
        </w:rPr>
      </w:pPr>
      <w:bookmarkStart w:id="0" w:name="_GoBack"/>
      <w:bookmarkEnd w:id="0"/>
      <w:r w:rsidRPr="0027675B">
        <w:rPr>
          <w:rFonts w:ascii="Arial" w:hAnsi="Arial" w:cs="Arial"/>
          <w:b/>
          <w:lang w:eastAsia="en-US"/>
        </w:rPr>
        <w:t xml:space="preserve">PROSPECÇÃO DE TÉCNICAS DE CARACTERIZAÇÃO DE </w:t>
      </w:r>
      <w:r w:rsidRPr="0027675B">
        <w:rPr>
          <w:rFonts w:ascii="Arial" w:hAnsi="Arial" w:cs="Arial"/>
          <w:b/>
          <w:i/>
          <w:iCs/>
          <w:lang w:eastAsia="en-US"/>
        </w:rPr>
        <w:t>SCAFFOLDS</w:t>
      </w:r>
      <w:r w:rsidRPr="0027675B">
        <w:rPr>
          <w:rFonts w:ascii="Arial" w:hAnsi="Arial" w:cs="Arial"/>
          <w:b/>
          <w:lang w:eastAsia="en-US"/>
        </w:rPr>
        <w:t xml:space="preserve"> APLICADOS EM ENGENHARIA DE TECIDO</w:t>
      </w:r>
    </w:p>
    <w:p w14:paraId="44C79EDC" w14:textId="77777777" w:rsidR="00BB522F" w:rsidRDefault="00BB522F">
      <w:pPr>
        <w:spacing w:after="0" w:line="240" w:lineRule="auto"/>
        <w:rPr>
          <w:rFonts w:ascii="Arial" w:eastAsia="Arial" w:hAnsi="Arial" w:cs="Arial"/>
          <w:sz w:val="20"/>
          <w:szCs w:val="20"/>
          <w:highlight w:val="yellow"/>
        </w:rPr>
      </w:pPr>
    </w:p>
    <w:p w14:paraId="39262D59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2D8C2F2B" w14:textId="77777777" w:rsidR="0027675B" w:rsidRPr="0027675B" w:rsidRDefault="0027675B" w:rsidP="0027675B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27675B">
        <w:rPr>
          <w:rFonts w:ascii="Arial" w:hAnsi="Arial" w:cs="Arial"/>
          <w:b/>
          <w:sz w:val="20"/>
          <w:szCs w:val="20"/>
          <w:lang w:eastAsia="en-US"/>
        </w:rPr>
        <w:t>Marco Aurélio Silveira</w:t>
      </w:r>
      <w:r w:rsidRPr="0027675B">
        <w:rPr>
          <w:rFonts w:ascii="Arial" w:hAnsi="Arial" w:cs="Arial"/>
          <w:b/>
          <w:sz w:val="20"/>
          <w:szCs w:val="20"/>
          <w:vertAlign w:val="superscript"/>
          <w:lang w:eastAsia="en-US"/>
        </w:rPr>
        <w:t>1</w:t>
      </w:r>
      <w:r w:rsidRPr="0027675B">
        <w:rPr>
          <w:rFonts w:ascii="Arial" w:hAnsi="Arial" w:cs="Arial"/>
          <w:sz w:val="20"/>
          <w:szCs w:val="20"/>
          <w:lang w:eastAsia="en-US"/>
        </w:rPr>
        <w:t>; Ana Paula Bispo Gonçalves</w:t>
      </w:r>
      <w:r w:rsidRPr="0027675B">
        <w:rPr>
          <w:rFonts w:ascii="Arial" w:hAnsi="Arial" w:cs="Arial"/>
          <w:sz w:val="20"/>
          <w:szCs w:val="20"/>
          <w:vertAlign w:val="superscript"/>
          <w:lang w:eastAsia="en-US"/>
        </w:rPr>
        <w:t>2</w:t>
      </w:r>
      <w:r w:rsidRPr="0027675B">
        <w:rPr>
          <w:rFonts w:ascii="Arial" w:hAnsi="Arial" w:cs="Arial"/>
          <w:sz w:val="20"/>
          <w:szCs w:val="20"/>
          <w:lang w:eastAsia="en-US"/>
        </w:rPr>
        <w:t>; Jaqueline Leite Vieira</w:t>
      </w:r>
      <w:r w:rsidRPr="0027675B">
        <w:rPr>
          <w:rFonts w:ascii="Arial" w:hAnsi="Arial" w:cs="Arial"/>
          <w:sz w:val="20"/>
          <w:szCs w:val="20"/>
          <w:vertAlign w:val="superscript"/>
          <w:lang w:eastAsia="en-US"/>
        </w:rPr>
        <w:t>2</w:t>
      </w:r>
      <w:r w:rsidRPr="0027675B">
        <w:rPr>
          <w:rFonts w:ascii="Arial" w:hAnsi="Arial" w:cs="Arial"/>
          <w:sz w:val="20"/>
          <w:szCs w:val="20"/>
          <w:lang w:eastAsia="en-US"/>
        </w:rPr>
        <w:t>; Willams Teles Barbosa</w:t>
      </w:r>
      <w:r w:rsidRPr="0027675B">
        <w:rPr>
          <w:rFonts w:ascii="Arial" w:hAnsi="Arial" w:cs="Arial"/>
          <w:sz w:val="20"/>
          <w:szCs w:val="20"/>
          <w:vertAlign w:val="superscript"/>
          <w:lang w:eastAsia="en-US"/>
        </w:rPr>
        <w:t>3</w:t>
      </w:r>
      <w:r w:rsidRPr="0027675B">
        <w:rPr>
          <w:rFonts w:ascii="Arial" w:hAnsi="Arial" w:cs="Arial"/>
          <w:sz w:val="20"/>
          <w:szCs w:val="20"/>
          <w:lang w:eastAsia="en-US"/>
        </w:rPr>
        <w:t>;</w:t>
      </w:r>
      <w:r w:rsidRPr="0027675B">
        <w:rPr>
          <w:rFonts w:ascii="Arial" w:hAnsi="Arial" w:cs="Arial"/>
          <w:color w:val="000000"/>
          <w:sz w:val="20"/>
          <w:szCs w:val="20"/>
          <w:shd w:val="clear" w:color="auto" w:fill="FFFFFF"/>
          <w:lang w:eastAsia="en-US"/>
        </w:rPr>
        <w:t xml:space="preserve"> Milena Botelho Pereira Soares</w:t>
      </w:r>
      <w:r w:rsidRPr="0027675B">
        <w:rPr>
          <w:rFonts w:ascii="Arial" w:hAnsi="Arial" w:cs="Arial"/>
          <w:color w:val="000000"/>
          <w:sz w:val="16"/>
          <w:szCs w:val="16"/>
          <w:shd w:val="clear" w:color="auto" w:fill="FFFFFF"/>
          <w:vertAlign w:val="superscript"/>
          <w:lang w:eastAsia="en-US"/>
        </w:rPr>
        <w:t>3</w:t>
      </w:r>
      <w:r w:rsidRPr="0027675B">
        <w:rPr>
          <w:rFonts w:ascii="Arial" w:hAnsi="Arial" w:cs="Arial"/>
          <w:sz w:val="20"/>
          <w:szCs w:val="20"/>
          <w:lang w:eastAsia="en-US"/>
        </w:rPr>
        <w:t>; Josiane Dantas Viana Barbosa</w:t>
      </w:r>
      <w:r w:rsidRPr="0027675B">
        <w:rPr>
          <w:rFonts w:ascii="Arial" w:hAnsi="Arial" w:cs="Arial"/>
          <w:sz w:val="20"/>
          <w:szCs w:val="20"/>
          <w:vertAlign w:val="superscript"/>
          <w:lang w:eastAsia="en-US"/>
        </w:rPr>
        <w:t>3</w:t>
      </w:r>
    </w:p>
    <w:p w14:paraId="75FA511F" w14:textId="77777777" w:rsidR="0027675B" w:rsidRPr="0027675B" w:rsidRDefault="0027675B" w:rsidP="0027675B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27675B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1 </w:t>
      </w:r>
      <w:r w:rsidRPr="0027675B">
        <w:rPr>
          <w:rFonts w:ascii="Arial" w:hAnsi="Arial" w:cs="Arial"/>
          <w:sz w:val="20"/>
          <w:szCs w:val="20"/>
          <w:lang w:eastAsia="en-US"/>
        </w:rPr>
        <w:t>Bolsista; Iniciação científica - CNPq; marcos.silveira@aln.senaicimatec.edu.br</w:t>
      </w:r>
    </w:p>
    <w:p w14:paraId="1F06FD90" w14:textId="77777777" w:rsidR="0027675B" w:rsidRPr="0027675B" w:rsidRDefault="0027675B" w:rsidP="0027675B">
      <w:pPr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  <w:r w:rsidRPr="0027675B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2 </w:t>
      </w:r>
      <w:r w:rsidRPr="0027675B">
        <w:rPr>
          <w:rFonts w:ascii="Arial" w:hAnsi="Arial" w:cs="Arial"/>
          <w:sz w:val="20"/>
          <w:szCs w:val="20"/>
          <w:lang w:eastAsia="en-US"/>
        </w:rPr>
        <w:t xml:space="preserve">Instituto Gonçalo Moniz, Fundação Oswaldo Cruz, FIOCRUZ, Salvador-BA. </w:t>
      </w:r>
    </w:p>
    <w:p w14:paraId="6A3A34FB" w14:textId="77777777" w:rsidR="0027675B" w:rsidRPr="0027675B" w:rsidRDefault="0027675B" w:rsidP="0027675B">
      <w:pPr>
        <w:spacing w:after="0" w:line="240" w:lineRule="auto"/>
        <w:rPr>
          <w:rFonts w:ascii="Arial" w:hAnsi="Arial" w:cs="Arial"/>
          <w:sz w:val="20"/>
          <w:szCs w:val="20"/>
          <w:lang w:eastAsia="en-US"/>
        </w:rPr>
      </w:pPr>
      <w:r w:rsidRPr="0027675B">
        <w:rPr>
          <w:rFonts w:ascii="Arial" w:hAnsi="Arial" w:cs="Arial"/>
          <w:sz w:val="20"/>
          <w:szCs w:val="20"/>
          <w:vertAlign w:val="superscript"/>
          <w:lang w:eastAsia="en-US"/>
        </w:rPr>
        <w:t>3</w:t>
      </w:r>
      <w:r w:rsidRPr="0027675B">
        <w:rPr>
          <w:rFonts w:ascii="Arial" w:hAnsi="Arial" w:cs="Arial"/>
          <w:sz w:val="20"/>
          <w:szCs w:val="20"/>
          <w:lang w:eastAsia="en-US"/>
        </w:rPr>
        <w:t xml:space="preserve"> Centro Universitário SENAI CIMATEC; Salvador-BA; josianedantas@fieb.org.br</w:t>
      </w:r>
    </w:p>
    <w:p w14:paraId="442DFEB6" w14:textId="77777777" w:rsidR="00BB522F" w:rsidRDefault="00BB522F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391595F" w14:textId="77777777" w:rsidR="00BB522F" w:rsidRDefault="00E41632">
      <w:pPr>
        <w:tabs>
          <w:tab w:val="left" w:pos="2364"/>
        </w:tabs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6A1E4F66" w14:textId="77777777" w:rsidR="00BB522F" w:rsidRDefault="00E41632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0"/>
          <w:szCs w:val="20"/>
        </w:rPr>
        <w:t>RESUMO</w:t>
      </w:r>
    </w:p>
    <w:p w14:paraId="27D8FD9C" w14:textId="77777777" w:rsidR="00BB522F" w:rsidRDefault="00BB522F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57C22917" w14:textId="77777777" w:rsidR="00356C77" w:rsidRPr="00356C77" w:rsidRDefault="00356C77" w:rsidP="00356C77">
      <w:pPr>
        <w:spacing w:after="0" w:line="240" w:lineRule="auto"/>
        <w:jc w:val="both"/>
        <w:rPr>
          <w:rFonts w:ascii="Arial" w:hAnsi="Arial" w:cs="Arial"/>
          <w:color w:val="FF0000"/>
          <w:sz w:val="18"/>
          <w:szCs w:val="18"/>
          <w:lang w:eastAsia="en-US"/>
        </w:rPr>
      </w:pPr>
      <w:r w:rsidRPr="00356C77">
        <w:rPr>
          <w:rFonts w:ascii="Arial" w:hAnsi="Arial" w:cs="Arial"/>
          <w:sz w:val="18"/>
          <w:szCs w:val="18"/>
          <w:lang w:eastAsia="en-US"/>
        </w:rPr>
        <w:t xml:space="preserve">Os </w:t>
      </w:r>
      <w:r w:rsidRPr="00356C77">
        <w:rPr>
          <w:rFonts w:ascii="Arial" w:hAnsi="Arial" w:cs="Arial"/>
          <w:i/>
          <w:sz w:val="18"/>
          <w:szCs w:val="18"/>
          <w:lang w:eastAsia="en-US"/>
        </w:rPr>
        <w:t>scaffolds</w:t>
      </w:r>
      <w:r w:rsidRPr="00356C77">
        <w:rPr>
          <w:rFonts w:ascii="Arial" w:hAnsi="Arial" w:cs="Arial"/>
          <w:sz w:val="18"/>
          <w:szCs w:val="18"/>
          <w:lang w:eastAsia="en-US"/>
        </w:rPr>
        <w:t xml:space="preserve"> são estruturas temporárias utilizadas na engenharia de tecidos para fornecer suporte para o crescimento de células e tecidos, permitindo a regeneração de tecidos danificados. A caracterização desses </w:t>
      </w:r>
      <w:r w:rsidRPr="00356C77">
        <w:rPr>
          <w:rFonts w:ascii="Arial" w:hAnsi="Arial" w:cs="Arial"/>
          <w:i/>
          <w:sz w:val="18"/>
          <w:szCs w:val="18"/>
          <w:lang w:eastAsia="en-US"/>
        </w:rPr>
        <w:t>scaffolds</w:t>
      </w:r>
      <w:r w:rsidRPr="00356C77">
        <w:rPr>
          <w:rFonts w:ascii="Arial" w:hAnsi="Arial" w:cs="Arial"/>
          <w:sz w:val="18"/>
          <w:szCs w:val="18"/>
          <w:lang w:eastAsia="en-US"/>
        </w:rPr>
        <w:t xml:space="preserve"> é fundamental para garantir a segurança e eficácia do processo de regeneração. Diante disso, este estudo tem como objetivo realizar um levantamento bibliográfico sobre técnicas de caracterização de </w:t>
      </w:r>
      <w:r w:rsidRPr="00356C77">
        <w:rPr>
          <w:rFonts w:ascii="Arial" w:hAnsi="Arial" w:cs="Arial"/>
          <w:i/>
          <w:iCs/>
          <w:sz w:val="18"/>
          <w:szCs w:val="18"/>
          <w:lang w:eastAsia="en-US"/>
        </w:rPr>
        <w:t>scaffolds</w:t>
      </w:r>
      <w:r w:rsidRPr="00356C77">
        <w:rPr>
          <w:rFonts w:ascii="Arial" w:hAnsi="Arial" w:cs="Arial"/>
          <w:sz w:val="18"/>
          <w:szCs w:val="18"/>
          <w:lang w:eastAsia="en-US"/>
        </w:rPr>
        <w:t xml:space="preserve"> aplicados na engenharia de tecidos e assim definir os melhores parâmetros para caracterização dos </w:t>
      </w:r>
      <w:r w:rsidRPr="00356C77">
        <w:rPr>
          <w:rFonts w:ascii="Arial" w:hAnsi="Arial" w:cs="Arial"/>
          <w:i/>
          <w:iCs/>
          <w:sz w:val="18"/>
          <w:szCs w:val="18"/>
          <w:lang w:eastAsia="en-US"/>
        </w:rPr>
        <w:t>scaffolds</w:t>
      </w:r>
      <w:r w:rsidRPr="00356C77">
        <w:rPr>
          <w:rFonts w:ascii="Arial" w:hAnsi="Arial" w:cs="Arial"/>
          <w:sz w:val="18"/>
          <w:szCs w:val="18"/>
          <w:lang w:eastAsia="en-US"/>
        </w:rPr>
        <w:t xml:space="preserve"> que serão desenvolvidos futuramente no ISI SAS. De acordo com documentos retornados na </w:t>
      </w:r>
      <w:r w:rsidRPr="00356C77">
        <w:rPr>
          <w:rFonts w:ascii="Arial" w:hAnsi="Arial" w:cs="Arial"/>
          <w:i/>
          <w:iCs/>
          <w:sz w:val="18"/>
          <w:szCs w:val="18"/>
          <w:lang w:eastAsia="en-US"/>
        </w:rPr>
        <w:t>Web of Science</w:t>
      </w:r>
      <w:r w:rsidRPr="00356C77">
        <w:rPr>
          <w:rFonts w:ascii="Arial" w:hAnsi="Arial" w:cs="Arial"/>
          <w:sz w:val="18"/>
          <w:szCs w:val="18"/>
          <w:lang w:eastAsia="en-US"/>
        </w:rPr>
        <w:t xml:space="preserve">, duas técnicas comumente utilizadas para caracterização de </w:t>
      </w:r>
      <w:r w:rsidRPr="00356C77">
        <w:rPr>
          <w:rFonts w:ascii="Arial" w:hAnsi="Arial" w:cs="Arial"/>
          <w:i/>
          <w:sz w:val="18"/>
          <w:szCs w:val="18"/>
          <w:lang w:eastAsia="en-US"/>
        </w:rPr>
        <w:t>scaffolds</w:t>
      </w:r>
      <w:r w:rsidRPr="00356C77">
        <w:rPr>
          <w:rFonts w:ascii="Arial" w:hAnsi="Arial" w:cs="Arial"/>
          <w:sz w:val="18"/>
          <w:szCs w:val="18"/>
          <w:lang w:eastAsia="en-US"/>
        </w:rPr>
        <w:t xml:space="preserve"> são o ensaio mecânico de compressão e a análise morfológica por MEV (Microscopia Eletrônica de Varredura).</w:t>
      </w:r>
    </w:p>
    <w:p w14:paraId="11A0C8BB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</w:rPr>
      </w:pPr>
    </w:p>
    <w:p w14:paraId="651B83FA" w14:textId="77777777" w:rsidR="00356C77" w:rsidRPr="00356C77" w:rsidRDefault="00E41632" w:rsidP="00356C77">
      <w:pPr>
        <w:spacing w:after="0" w:line="240" w:lineRule="auto"/>
        <w:jc w:val="both"/>
        <w:rPr>
          <w:rFonts w:ascii="Arial" w:hAnsi="Arial" w:cs="Arial"/>
          <w:sz w:val="18"/>
          <w:lang w:eastAsia="en-US"/>
        </w:rPr>
      </w:pPr>
      <w:r>
        <w:rPr>
          <w:rFonts w:ascii="Arial" w:eastAsia="Arial" w:hAnsi="Arial" w:cs="Arial"/>
          <w:b/>
          <w:sz w:val="18"/>
          <w:szCs w:val="18"/>
        </w:rPr>
        <w:t>PALAVRAS-CHAVE: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356C77" w:rsidRPr="00356C77">
        <w:rPr>
          <w:rFonts w:ascii="Arial" w:hAnsi="Arial" w:cs="Arial"/>
          <w:i/>
          <w:sz w:val="18"/>
          <w:lang w:eastAsia="en-US"/>
        </w:rPr>
        <w:t>Scaffolds</w:t>
      </w:r>
      <w:r w:rsidR="00356C77" w:rsidRPr="00356C77">
        <w:rPr>
          <w:rFonts w:ascii="Arial" w:hAnsi="Arial" w:cs="Arial"/>
          <w:sz w:val="18"/>
          <w:lang w:eastAsia="en-US"/>
        </w:rPr>
        <w:t>; MEV; ensaio de compressão; Engenharia de Tecido.</w:t>
      </w:r>
    </w:p>
    <w:p w14:paraId="4687F339" w14:textId="1A37AE04" w:rsidR="00BB522F" w:rsidRDefault="00BB522F">
      <w:pPr>
        <w:spacing w:after="0" w:line="240" w:lineRule="auto"/>
        <w:jc w:val="both"/>
        <w:rPr>
          <w:rFonts w:ascii="Arial" w:eastAsia="Arial" w:hAnsi="Arial" w:cs="Arial"/>
        </w:rPr>
      </w:pPr>
    </w:p>
    <w:p w14:paraId="688AAA6C" w14:textId="77777777" w:rsidR="00BB522F" w:rsidRDefault="00E41632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INTRODUÇÃO</w:t>
      </w:r>
    </w:p>
    <w:p w14:paraId="2AB8CD79" w14:textId="77777777" w:rsidR="00BB522F" w:rsidRDefault="00E41632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5C25804" w14:textId="77777777" w:rsidR="00356C77" w:rsidRPr="00356C77" w:rsidRDefault="00E41632" w:rsidP="00356C77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eastAsia="Arial" w:hAnsi="Arial" w:cs="Arial"/>
          <w:sz w:val="20"/>
          <w:szCs w:val="20"/>
        </w:rPr>
        <w:tab/>
      </w:r>
      <w:r w:rsidR="00356C77" w:rsidRPr="00356C77">
        <w:rPr>
          <w:rFonts w:ascii="Arial" w:hAnsi="Arial" w:cs="Arial"/>
          <w:i/>
          <w:iCs/>
          <w:sz w:val="20"/>
          <w:szCs w:val="20"/>
          <w:lang w:eastAsia="en-US"/>
        </w:rPr>
        <w:t>Scaffolds</w:t>
      </w:r>
      <w:r w:rsidR="00356C77" w:rsidRPr="00356C77">
        <w:rPr>
          <w:rFonts w:ascii="Arial" w:hAnsi="Arial" w:cs="Arial"/>
          <w:sz w:val="20"/>
          <w:szCs w:val="20"/>
          <w:lang w:eastAsia="en-US"/>
        </w:rPr>
        <w:t xml:space="preserve"> para engenharia de tecidos são estruturas projetadas para mimetizarem a matriz extracelular, servindo de suporte para o crescimento celular e a proliferação após a implantação local no tecido lesionado ou doente.</w:t>
      </w:r>
      <w:r w:rsidR="00356C77"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1</w:t>
      </w:r>
      <w:r w:rsidR="00356C77" w:rsidRPr="00356C77">
        <w:rPr>
          <w:rFonts w:ascii="Arial" w:hAnsi="Arial" w:cs="Arial"/>
          <w:sz w:val="20"/>
          <w:szCs w:val="20"/>
          <w:lang w:eastAsia="en-US"/>
        </w:rPr>
        <w:t xml:space="preserve"> </w:t>
      </w:r>
      <w:r w:rsidR="00356C77" w:rsidRPr="00356C77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 </w:t>
      </w:r>
      <w:r w:rsidR="00356C77" w:rsidRPr="00356C77">
        <w:rPr>
          <w:rFonts w:ascii="Arial" w:hAnsi="Arial" w:cs="Arial"/>
          <w:sz w:val="20"/>
          <w:szCs w:val="20"/>
          <w:lang w:eastAsia="en-US"/>
        </w:rPr>
        <w:t>Essas estruturas devem ser feitas de modo a mimetizar as características físico-químicas e mecânicas do tecido original, para que haja uma correta distribuição de carga mantendo ainda as propriedades biológicas que permitam a viabilidade celular no novo ambiente.</w:t>
      </w:r>
    </w:p>
    <w:p w14:paraId="0BB7417C" w14:textId="77777777" w:rsidR="00356C77" w:rsidRPr="00356C77" w:rsidRDefault="00356C77" w:rsidP="00356C77">
      <w:pPr>
        <w:spacing w:after="0" w:line="240" w:lineRule="auto"/>
        <w:ind w:firstLine="706"/>
        <w:jc w:val="both"/>
        <w:rPr>
          <w:rFonts w:ascii="Arial" w:hAnsi="Arial" w:cs="Arial"/>
          <w:sz w:val="20"/>
          <w:szCs w:val="20"/>
          <w:lang w:eastAsia="en-US"/>
        </w:rPr>
      </w:pP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ab/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A "caracterização do material" é uma área da ciência responsável por prever o comportamento ou elucidar fenômenos físicos, químicos ou biológicos característicos de cada material. Por esse motivo, é necessário estudar quais os tipos ideais de testes que devem ser realizados nos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 xml:space="preserve">scaffolds </w:t>
      </w:r>
      <w:r w:rsidRPr="00356C77">
        <w:rPr>
          <w:rFonts w:ascii="Arial" w:hAnsi="Arial" w:cs="Arial"/>
          <w:iCs/>
          <w:sz w:val="20"/>
          <w:szCs w:val="20"/>
          <w:lang w:eastAsia="en-US"/>
        </w:rPr>
        <w:t xml:space="preserve">para garantir a sua adequação com o tecido de interesse a ser mimetizado, </w:t>
      </w:r>
      <w:r w:rsidRPr="00356C77">
        <w:rPr>
          <w:rFonts w:ascii="Arial" w:hAnsi="Arial" w:cs="Arial"/>
          <w:sz w:val="20"/>
          <w:szCs w:val="20"/>
          <w:lang w:eastAsia="en-US"/>
        </w:rPr>
        <w:t>assim agilizando e diminuindo gastos com testes desnecessários.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2 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Vários métodos analíticos têm sido usados para caracterizar as propriedades físico-químicas, mecânicas e biológicas dos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em seus diferentes formatos. Esses métodos geralmente são baseados em padrões internacionais (American Society for Testing and Materials – ASTM) e incluem técnicas analíticas conhecidas.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3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Duas técnicas comumente utilizadas para caracterização de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são a análise morfológica por MEV (Microscopia Eletrônica de Varredura) e o ensaio mecânico de compressão.</w:t>
      </w:r>
    </w:p>
    <w:p w14:paraId="1057F616" w14:textId="77777777" w:rsidR="00356C77" w:rsidRPr="00356C77" w:rsidRDefault="00356C77" w:rsidP="00356C77">
      <w:pPr>
        <w:spacing w:after="0" w:line="240" w:lineRule="auto"/>
        <w:ind w:firstLine="706"/>
        <w:jc w:val="both"/>
        <w:rPr>
          <w:rFonts w:ascii="Arial" w:hAnsi="Arial" w:cs="Arial"/>
          <w:sz w:val="20"/>
          <w:szCs w:val="20"/>
          <w:lang w:eastAsia="en-US"/>
        </w:rPr>
      </w:pPr>
      <w:r w:rsidRPr="00356C77">
        <w:rPr>
          <w:rFonts w:ascii="Arial" w:hAnsi="Arial" w:cs="Arial"/>
          <w:sz w:val="20"/>
          <w:szCs w:val="20"/>
          <w:lang w:eastAsia="en-US"/>
        </w:rPr>
        <w:t xml:space="preserve">Na análise morfológica de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por MEV, uma amostra do material é preparada e colocada na câmara de vácuo do microscópio.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4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O feixe de elétrons é então direcionado para a superfície da amostra, produzindo uma imagem em tempo real da morfologia do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>. Através dessa imagem, é possível analisar características como tamanho, forma, porosidade, rugosidade e distribuição dos poros.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4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</w:t>
      </w:r>
    </w:p>
    <w:p w14:paraId="19885AC6" w14:textId="77777777" w:rsidR="00356C77" w:rsidRPr="00356C77" w:rsidRDefault="00356C77" w:rsidP="00356C77">
      <w:pPr>
        <w:spacing w:after="0" w:line="240" w:lineRule="auto"/>
        <w:ind w:firstLine="706"/>
        <w:jc w:val="both"/>
        <w:rPr>
          <w:rFonts w:ascii="Arial" w:hAnsi="Arial" w:cs="Arial"/>
          <w:sz w:val="20"/>
          <w:szCs w:val="20"/>
          <w:vertAlign w:val="superscript"/>
          <w:lang w:eastAsia="en-US"/>
        </w:rPr>
      </w:pPr>
      <w:r w:rsidRPr="00356C77">
        <w:rPr>
          <w:rFonts w:ascii="Arial" w:hAnsi="Arial" w:cs="Arial"/>
          <w:sz w:val="20"/>
          <w:szCs w:val="20"/>
          <w:lang w:eastAsia="en-US"/>
        </w:rPr>
        <w:t xml:space="preserve">No teste de compressão do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, uma amostra do material é posicionada entre as placas da máquina de teste, de modo que as placas estejam alinhadas com a superfície superior e inferior do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>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5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Em seguida, é aplicada uma carga de compressão crescente, geralmente a uma taxa constante, até que ocorra uma deformação ou falha no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. Durante o teste, é medida a força aplicada ao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e a deformação resultante. A partir desses dados, é possível determinar as propriedades mecânicas do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>, como a resistência à compressão, o módulo de elasticidade e o limite de deformação.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5</w:t>
      </w:r>
    </w:p>
    <w:p w14:paraId="1F0F1AEC" w14:textId="77777777" w:rsidR="00356C77" w:rsidRPr="00356C77" w:rsidRDefault="00356C77" w:rsidP="00356C77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356C77">
        <w:rPr>
          <w:rFonts w:ascii="Arial" w:hAnsi="Arial" w:cs="Arial"/>
          <w:sz w:val="20"/>
          <w:szCs w:val="20"/>
          <w:lang w:eastAsia="en-US"/>
        </w:rPr>
        <w:t xml:space="preserve">Nas técnicas supracitadas é possível variar parâmetros de acordo com o tipo de amostra. Para o MEV os parâmetros a serem variados são: ampliação, resolução e contraste da imagem. No ensaio de compressão pode ser variado a célula de carga e velocidade de deslocamento. A combinação dessas duas técnicas de caracterização é essencial para garantir a eficácia e certificação dos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aplicados na engenharia de tecidos. A escolha do método mais adequado para cada aplicação específica depende das propriedades desejadas para a regeneração do tecido e das características do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>.</w:t>
      </w:r>
    </w:p>
    <w:p w14:paraId="2188A408" w14:textId="77777777" w:rsidR="00356C77" w:rsidRPr="00356C77" w:rsidRDefault="00356C77" w:rsidP="00356C77">
      <w:pPr>
        <w:spacing w:after="0" w:line="240" w:lineRule="auto"/>
        <w:ind w:firstLine="706"/>
        <w:jc w:val="both"/>
        <w:rPr>
          <w:rFonts w:ascii="Arial" w:hAnsi="Arial" w:cs="Arial"/>
          <w:sz w:val="20"/>
          <w:szCs w:val="20"/>
          <w:lang w:eastAsia="en-US"/>
        </w:rPr>
      </w:pPr>
      <w:r w:rsidRPr="00356C77">
        <w:rPr>
          <w:rFonts w:ascii="Arial" w:hAnsi="Arial" w:cs="Arial"/>
          <w:sz w:val="20"/>
          <w:szCs w:val="20"/>
          <w:lang w:eastAsia="en-US"/>
        </w:rPr>
        <w:t xml:space="preserve">Portanto, o objetivo deste trabalho é trazer informações a partir da revisão bibliográfica sobre as principais técnicas de caracterização de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aplicados na engenharia de tecidos, dentre elas a análise mecânica por compressão e morfologia por MEV. Os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 xml:space="preserve">scaffolds </w:t>
      </w:r>
      <w:r w:rsidRPr="00356C77">
        <w:rPr>
          <w:rFonts w:ascii="Arial" w:hAnsi="Arial" w:cs="Arial"/>
          <w:iCs/>
          <w:sz w:val="20"/>
          <w:szCs w:val="20"/>
          <w:lang w:eastAsia="en-US"/>
        </w:rPr>
        <w:t>a serem caracterizados serão produzidos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r w:rsidRPr="00356C77">
        <w:rPr>
          <w:rFonts w:ascii="Arial" w:hAnsi="Arial" w:cs="Arial"/>
          <w:sz w:val="20"/>
          <w:szCs w:val="20"/>
          <w:lang w:eastAsia="en-US"/>
        </w:rPr>
        <w:t>por bioimpressão 3D e eletrofiação para aplicação na engenharia de tecidos. Atualmente este estudo encontra-</w:t>
      </w:r>
      <w:r w:rsidRPr="00356C77">
        <w:rPr>
          <w:rFonts w:ascii="Arial" w:hAnsi="Arial" w:cs="Arial"/>
          <w:sz w:val="20"/>
          <w:szCs w:val="20"/>
          <w:lang w:eastAsia="en-US"/>
        </w:rPr>
        <w:lastRenderedPageBreak/>
        <w:t xml:space="preserve">se na fase de revisão bibliográfica e definição das principais propriedades dos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que serão desenvolvidos no ISI SAS do SENAI CIMATEC.</w:t>
      </w:r>
    </w:p>
    <w:p w14:paraId="38A31176" w14:textId="7A7215FC" w:rsidR="00BB522F" w:rsidRDefault="00BB522F" w:rsidP="00356C7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2E1AA04" w14:textId="77777777" w:rsidR="00BB522F" w:rsidRDefault="00E41632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2. METODOLOGIA</w:t>
      </w:r>
    </w:p>
    <w:p w14:paraId="0644469B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A86245C" w14:textId="42AAA87E" w:rsidR="00356C77" w:rsidRPr="00356C77" w:rsidRDefault="00E41632" w:rsidP="00356C77">
      <w:pPr>
        <w:spacing w:after="0" w:line="240" w:lineRule="auto"/>
        <w:ind w:firstLine="706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eastAsia="Arial" w:hAnsi="Arial" w:cs="Arial"/>
          <w:sz w:val="20"/>
          <w:szCs w:val="20"/>
        </w:rPr>
        <w:tab/>
      </w:r>
      <w:r w:rsidR="00356C77" w:rsidRPr="00356C77">
        <w:rPr>
          <w:rFonts w:ascii="Arial" w:hAnsi="Arial" w:cs="Arial"/>
          <w:sz w:val="20"/>
          <w:lang w:eastAsia="en-US"/>
        </w:rPr>
        <w:t xml:space="preserve">Para a revisão bibliográfica foi utilizada a base de dados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Web of Science</w:t>
      </w:r>
      <w:r w:rsidR="00356C77" w:rsidRPr="00356C77">
        <w:rPr>
          <w:rFonts w:ascii="Arial" w:hAnsi="Arial" w:cs="Arial"/>
          <w:sz w:val="20"/>
          <w:lang w:eastAsia="en-US"/>
        </w:rPr>
        <w:t xml:space="preserve">, foram utilizadas as seguintes palavras-chave: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scaffolds</w:t>
      </w:r>
      <w:r w:rsidR="00356C77" w:rsidRPr="00356C77">
        <w:rPr>
          <w:rFonts w:ascii="Arial" w:hAnsi="Arial" w:cs="Arial"/>
          <w:sz w:val="20"/>
          <w:lang w:eastAsia="en-US"/>
        </w:rPr>
        <w:t xml:space="preserve">,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tissue engineering</w:t>
      </w:r>
      <w:r w:rsidR="00356C77" w:rsidRPr="00356C77">
        <w:rPr>
          <w:rFonts w:ascii="Arial" w:hAnsi="Arial" w:cs="Arial"/>
          <w:sz w:val="20"/>
          <w:lang w:eastAsia="en-US"/>
        </w:rPr>
        <w:t xml:space="preserve"> e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characterization techniques</w:t>
      </w:r>
      <w:r w:rsidR="00356C77" w:rsidRPr="00356C77">
        <w:rPr>
          <w:rFonts w:ascii="Arial" w:hAnsi="Arial" w:cs="Arial"/>
          <w:sz w:val="20"/>
          <w:lang w:eastAsia="en-US"/>
        </w:rPr>
        <w:t xml:space="preserve">. De acordo com os documentos retornados na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Web of Science</w:t>
      </w:r>
      <w:r w:rsidR="00356C77" w:rsidRPr="00356C77">
        <w:rPr>
          <w:rFonts w:ascii="Arial" w:hAnsi="Arial" w:cs="Arial"/>
          <w:sz w:val="20"/>
          <w:lang w:eastAsia="en-US"/>
        </w:rPr>
        <w:t xml:space="preserve">, duas técnicas comumente utilizadas para caracterização de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scaffolds</w:t>
      </w:r>
      <w:r w:rsidR="00356C77" w:rsidRPr="00356C77">
        <w:rPr>
          <w:rFonts w:ascii="Arial" w:hAnsi="Arial" w:cs="Arial"/>
          <w:sz w:val="20"/>
          <w:lang w:eastAsia="en-US"/>
        </w:rPr>
        <w:t xml:space="preserve"> são o ensaio mecânico de compressão e a análise morfológica por MEV (Microscopia Eletrônica de Varredura). O ensaio mecânico de compressão é utilizado para avaliar a resistência do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scaffold</w:t>
      </w:r>
      <w:r w:rsidR="00356C77" w:rsidRPr="00356C77">
        <w:rPr>
          <w:rFonts w:ascii="Arial" w:hAnsi="Arial" w:cs="Arial"/>
          <w:sz w:val="20"/>
          <w:lang w:eastAsia="en-US"/>
        </w:rPr>
        <w:t xml:space="preserve">, garantindo que este seja capaz de suportar os esforços mecânicos previstos. Já a análise por MEV permite a observação da morfologia do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scaffold</w:t>
      </w:r>
      <w:r w:rsidR="00356C77" w:rsidRPr="00356C77">
        <w:rPr>
          <w:rFonts w:ascii="Arial" w:hAnsi="Arial" w:cs="Arial"/>
          <w:sz w:val="20"/>
          <w:lang w:eastAsia="en-US"/>
        </w:rPr>
        <w:t xml:space="preserve"> em nível microscópico, permitindo a análise da porosidade, tamanho de poros e interconectividade, dentre outras características. Essas técnicas fornecem informações detalhadas sobre as propriedades do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scaffold</w:t>
      </w:r>
      <w:r w:rsidR="00356C77" w:rsidRPr="00356C77">
        <w:rPr>
          <w:rFonts w:ascii="Arial" w:hAnsi="Arial" w:cs="Arial"/>
          <w:sz w:val="20"/>
          <w:lang w:eastAsia="en-US"/>
        </w:rPr>
        <w:t xml:space="preserve"> e ajuda na definição dos parâmetros de fabricação dessas estruturas. Os </w:t>
      </w:r>
      <w:r w:rsidR="00356C77" w:rsidRPr="00356C77">
        <w:rPr>
          <w:rFonts w:ascii="Arial" w:hAnsi="Arial" w:cs="Arial"/>
          <w:i/>
          <w:sz w:val="20"/>
          <w:lang w:eastAsia="en-US"/>
        </w:rPr>
        <w:t>scaffolds</w:t>
      </w:r>
      <w:r w:rsidR="00356C77" w:rsidRPr="00356C77">
        <w:rPr>
          <w:rFonts w:ascii="Arial" w:hAnsi="Arial" w:cs="Arial"/>
          <w:sz w:val="20"/>
          <w:lang w:eastAsia="en-US"/>
        </w:rPr>
        <w:t xml:space="preserve"> a serem analisados serão produzidos pela técnica de bioimpressão 3D e por eletrofiação. Diferentes matrizes vão ser empregadas em ambas as técnicas na construção dos </w:t>
      </w:r>
      <w:r w:rsidR="00356C77" w:rsidRPr="00356C77">
        <w:rPr>
          <w:rFonts w:ascii="Arial" w:hAnsi="Arial" w:cs="Arial"/>
          <w:i/>
          <w:sz w:val="20"/>
          <w:lang w:eastAsia="en-US"/>
        </w:rPr>
        <w:t>scaffolds</w:t>
      </w:r>
      <w:r w:rsidR="00356C77" w:rsidRPr="00356C77">
        <w:rPr>
          <w:rFonts w:ascii="Arial" w:hAnsi="Arial" w:cs="Arial"/>
          <w:sz w:val="20"/>
          <w:lang w:eastAsia="en-US"/>
        </w:rPr>
        <w:t>, dependendo do tecido final de interesse, como polímeros termoplásticos, como o poli</w:t>
      </w:r>
      <w:r w:rsidR="00D162DB">
        <w:rPr>
          <w:rFonts w:ascii="Arial" w:hAnsi="Arial" w:cs="Arial"/>
          <w:sz w:val="20"/>
          <w:lang w:eastAsia="en-US"/>
        </w:rPr>
        <w:t>-</w:t>
      </w:r>
      <w:r w:rsidR="00D162DB" w:rsidRPr="00356C77">
        <w:rPr>
          <w:rFonts w:ascii="Arial" w:hAnsi="Arial" w:cs="Arial"/>
          <w:sz w:val="20"/>
          <w:lang w:eastAsia="en-US"/>
        </w:rPr>
        <w:t>(</w:t>
      </w:r>
      <w:r w:rsidR="00356C77" w:rsidRPr="00356C77">
        <w:rPr>
          <w:rFonts w:ascii="Arial" w:hAnsi="Arial" w:cs="Arial"/>
          <w:sz w:val="20"/>
          <w:lang w:eastAsia="en-US"/>
        </w:rPr>
        <w:t xml:space="preserve">ácido láctico) (PLA) e a policaprolactona (PCL) para a produção de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scaffolds</w:t>
      </w:r>
      <w:r w:rsidR="00356C77" w:rsidRPr="00356C77">
        <w:rPr>
          <w:rFonts w:ascii="Arial" w:hAnsi="Arial" w:cs="Arial"/>
          <w:sz w:val="20"/>
          <w:lang w:eastAsia="en-US"/>
        </w:rPr>
        <w:t xml:space="preserve"> mais rígidos, mimetizando o tecido ósseo. Outros polímeros com menores propriedades mecânicas utilizados na produção de hidrogéis, como o ácido hialurônico e a gelatina, utilizados na reconstrução de tecidos cartilaginosos, por exemplo.</w:t>
      </w:r>
    </w:p>
    <w:p w14:paraId="0455520C" w14:textId="372DD60F" w:rsidR="00BB522F" w:rsidRDefault="00356C77" w:rsidP="00356C77">
      <w:pPr>
        <w:spacing w:after="0" w:line="240" w:lineRule="auto"/>
        <w:jc w:val="both"/>
        <w:rPr>
          <w:rFonts w:ascii="Arial" w:hAnsi="Arial" w:cs="Arial"/>
          <w:sz w:val="20"/>
          <w:lang w:eastAsia="en-US"/>
        </w:rPr>
      </w:pPr>
      <w:r w:rsidRPr="00356C77">
        <w:rPr>
          <w:rFonts w:ascii="Arial" w:hAnsi="Arial" w:cs="Arial"/>
          <w:sz w:val="20"/>
          <w:lang w:eastAsia="en-US"/>
        </w:rPr>
        <w:t>Para a análise por MEV será utilizado um microscópio eletrônico de varredura</w:t>
      </w:r>
      <w:r w:rsidRPr="00356C77">
        <w:rPr>
          <w:rFonts w:cs="Times New Roman"/>
          <w:lang w:eastAsia="en-US"/>
        </w:rPr>
        <w:t xml:space="preserve"> </w:t>
      </w:r>
      <w:r w:rsidRPr="00356C77">
        <w:rPr>
          <w:rFonts w:ascii="Arial" w:hAnsi="Arial" w:cs="Arial"/>
          <w:sz w:val="20"/>
          <w:lang w:eastAsia="en-US"/>
        </w:rPr>
        <w:t>da JEOL, modelo Carry Scopy JSM-6510LV da JEOL, com uma tensão de aceleração de 20kV (Figura 1 (a)). As amostras serão fixadas em porta amostra de alumínio e recobertas com ouro por um equipamento de metalização por evaporação marca Denton Vacuum, modelo DESK V. Para o ensaio mecânico será utilizado uma máquina universal de ensaio mecânicos da Emic, modelo DL 2000 (Figura 2 (b)).</w:t>
      </w:r>
    </w:p>
    <w:p w14:paraId="7479C1DB" w14:textId="2B7C53D7" w:rsidR="00356C77" w:rsidRDefault="00356C77" w:rsidP="00356C7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5BA922B0" wp14:editId="02A4B400">
            <wp:extent cx="4376420" cy="1767840"/>
            <wp:effectExtent l="0" t="0" r="5080" b="381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95081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9D23CE8" w14:textId="2CC32021" w:rsidR="00BB522F" w:rsidRDefault="00E41632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</w:t>
      </w:r>
      <w:r w:rsidR="00356C77">
        <w:rPr>
          <w:rFonts w:ascii="Arial" w:eastAsia="Arial" w:hAnsi="Arial" w:cs="Arial"/>
          <w:b/>
          <w:sz w:val="20"/>
          <w:szCs w:val="20"/>
        </w:rPr>
        <w:t>FUNDAMENTAÇÃO TEÓRICA</w:t>
      </w:r>
    </w:p>
    <w:p w14:paraId="0177542C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3EB0623" w14:textId="77777777" w:rsidR="00356C77" w:rsidRPr="00356C77" w:rsidRDefault="00E41632" w:rsidP="00356C77">
      <w:pPr>
        <w:spacing w:after="0" w:line="240" w:lineRule="auto"/>
        <w:jc w:val="both"/>
        <w:rPr>
          <w:rFonts w:ascii="Arial" w:hAnsi="Arial" w:cs="Arial"/>
          <w:sz w:val="20"/>
          <w:lang w:eastAsia="en-US"/>
        </w:rPr>
      </w:pPr>
      <w:r>
        <w:rPr>
          <w:rFonts w:ascii="Arial" w:eastAsia="Arial" w:hAnsi="Arial" w:cs="Arial"/>
          <w:sz w:val="20"/>
          <w:szCs w:val="20"/>
        </w:rPr>
        <w:tab/>
      </w:r>
      <w:r w:rsidR="00356C77" w:rsidRPr="00356C77">
        <w:rPr>
          <w:rFonts w:ascii="Arial" w:hAnsi="Arial" w:cs="Arial"/>
          <w:sz w:val="20"/>
          <w:lang w:eastAsia="en-US"/>
        </w:rPr>
        <w:t xml:space="preserve">Os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scaffold</w:t>
      </w:r>
      <w:r w:rsidR="00356C77" w:rsidRPr="00356C77">
        <w:rPr>
          <w:rFonts w:ascii="Arial" w:hAnsi="Arial" w:cs="Arial"/>
          <w:sz w:val="20"/>
          <w:lang w:eastAsia="en-US"/>
        </w:rPr>
        <w:t xml:space="preserve">s, são suportes específicos que apresentam estruturas de acordo com o tecido o qual visa mimetizar, sendo possível produzir moldes com diferentes porosidades, estruturas e geometrias. Estes são desenvolvidos para se obter sustentação mecânica para suportar esforços temporariamente. Uma característica importante em um </w:t>
      </w:r>
      <w:r w:rsidR="00356C77" w:rsidRPr="00356C77">
        <w:rPr>
          <w:rFonts w:ascii="Arial" w:hAnsi="Arial" w:cs="Arial"/>
          <w:i/>
          <w:iCs/>
          <w:sz w:val="20"/>
          <w:lang w:eastAsia="en-US"/>
        </w:rPr>
        <w:t>scaffold</w:t>
      </w:r>
      <w:r w:rsidR="00356C77" w:rsidRPr="00356C77">
        <w:rPr>
          <w:rFonts w:ascii="Arial" w:hAnsi="Arial" w:cs="Arial"/>
          <w:sz w:val="20"/>
          <w:lang w:eastAsia="en-US"/>
        </w:rPr>
        <w:t xml:space="preserve"> é a presença de poros, para favorecer a integração e a vascularização do tecido, uma das formas de observar esses poros é através da microscopia eletrônica de varredura.</w:t>
      </w:r>
      <w:r w:rsidR="00356C77" w:rsidRPr="00356C77">
        <w:rPr>
          <w:rFonts w:ascii="Arial" w:hAnsi="Arial" w:cs="Arial"/>
          <w:sz w:val="20"/>
          <w:vertAlign w:val="superscript"/>
          <w:lang w:eastAsia="en-US"/>
        </w:rPr>
        <w:t>1</w:t>
      </w:r>
      <w:r w:rsidR="00356C77" w:rsidRPr="00356C77">
        <w:rPr>
          <w:rFonts w:ascii="Arial" w:hAnsi="Arial" w:cs="Arial"/>
          <w:sz w:val="20"/>
          <w:lang w:eastAsia="en-US"/>
        </w:rPr>
        <w:t xml:space="preserve"> </w:t>
      </w:r>
    </w:p>
    <w:p w14:paraId="5A5744AE" w14:textId="77777777" w:rsidR="00356C77" w:rsidRPr="00356C77" w:rsidRDefault="00356C77" w:rsidP="00356C77">
      <w:pPr>
        <w:spacing w:after="0" w:line="240" w:lineRule="auto"/>
        <w:ind w:firstLine="706"/>
        <w:jc w:val="both"/>
        <w:rPr>
          <w:rFonts w:ascii="Arial" w:hAnsi="Arial" w:cs="Arial"/>
          <w:i/>
          <w:iCs/>
          <w:sz w:val="20"/>
          <w:lang w:eastAsia="en-US"/>
        </w:rPr>
      </w:pPr>
      <w:r w:rsidRPr="00356C77">
        <w:rPr>
          <w:rFonts w:ascii="Arial" w:hAnsi="Arial" w:cs="Arial"/>
          <w:sz w:val="20"/>
          <w:lang w:eastAsia="en-US"/>
        </w:rPr>
        <w:t>Além da característica mencionada anteriormente, é necessário, que o mesmo seja feito de material biocompatível, biodegradável e bioreabsorvivel, que apresente propriedades físico-químicas, mecânicas e biológicas semelhantes ao local que será implantado.</w:t>
      </w:r>
      <w:r w:rsidRPr="00356C77">
        <w:rPr>
          <w:rFonts w:ascii="Arial" w:hAnsi="Arial" w:cs="Arial"/>
          <w:sz w:val="20"/>
          <w:vertAlign w:val="subscript"/>
          <w:lang w:eastAsia="en-US"/>
        </w:rPr>
        <w:t xml:space="preserve"> </w:t>
      </w:r>
      <w:r w:rsidRPr="00356C77">
        <w:rPr>
          <w:rFonts w:ascii="Arial" w:hAnsi="Arial" w:cs="Arial"/>
          <w:sz w:val="20"/>
          <w:lang w:eastAsia="en-US"/>
        </w:rPr>
        <w:t xml:space="preserve">Boa parte da sinalização passada para o crescimento, adesão e proliferação celular é proveniente do material que é escolhido para dar origem ao </w:t>
      </w:r>
      <w:r w:rsidRPr="00356C77">
        <w:rPr>
          <w:rFonts w:ascii="Arial" w:hAnsi="Arial" w:cs="Arial"/>
          <w:i/>
          <w:iCs/>
          <w:sz w:val="20"/>
          <w:lang w:eastAsia="en-US"/>
        </w:rPr>
        <w:t>scaffold</w:t>
      </w:r>
      <w:r w:rsidRPr="00356C77">
        <w:rPr>
          <w:rFonts w:ascii="Arial" w:hAnsi="Arial" w:cs="Arial"/>
          <w:sz w:val="20"/>
          <w:lang w:eastAsia="en-US"/>
        </w:rPr>
        <w:t>.</w:t>
      </w:r>
      <w:r w:rsidRPr="00356C77">
        <w:rPr>
          <w:rFonts w:ascii="Arial" w:hAnsi="Arial" w:cs="Arial"/>
          <w:sz w:val="20"/>
          <w:vertAlign w:val="superscript"/>
          <w:lang w:eastAsia="en-US"/>
        </w:rPr>
        <w:t>1</w:t>
      </w:r>
    </w:p>
    <w:p w14:paraId="60F2AA7D" w14:textId="77777777" w:rsidR="00356C77" w:rsidRPr="00356C77" w:rsidRDefault="00356C77" w:rsidP="00356C77">
      <w:pPr>
        <w:spacing w:after="0" w:line="240" w:lineRule="auto"/>
        <w:ind w:firstLine="706"/>
        <w:jc w:val="both"/>
        <w:rPr>
          <w:rFonts w:ascii="Arial" w:hAnsi="Arial" w:cs="Arial"/>
          <w:sz w:val="20"/>
          <w:szCs w:val="20"/>
          <w:lang w:eastAsia="en-US"/>
        </w:rPr>
      </w:pPr>
      <w:r w:rsidRPr="00356C77">
        <w:rPr>
          <w:rFonts w:ascii="Arial" w:hAnsi="Arial" w:cs="Arial"/>
          <w:sz w:val="20"/>
          <w:szCs w:val="20"/>
          <w:lang w:eastAsia="en-US"/>
        </w:rPr>
        <w:t xml:space="preserve">Para determinar a morfologia do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(porosidade, tamanho dos poros, interconectividade e rugosidade). Os métodos mais comuns incluem gravimetria, porosimetria por mercúrio, microscopia óptica (MO) e microscopia eletrônica de varredura (MEV).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6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As propriedades mecânicas avaliadas nos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geralmente envolvem testes relacionados a tensões e deformações ou que mostram a resposta desses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à aplicação de uma força física. Os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devem ser avaliados em condições que simulem a aplicação pretendida. Além disso, pode ser necessária uma montagem especial dos corpos de prova avaliados dependendo do tamanho e formato do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e do equipamento utilizado. Os testes mecânicos incluem compressão, tração, flexão, cisalhamento e deformação realizados em equipamentos servo-hidráulicos e podem ser realizados em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secos ou úmidos para simular condições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in vivo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. Os parâmetros geralmente medidos são o módulo de elasticidade (módulo de Young) e o módulo de cisalhamento que indica a rigidez do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>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3</w:t>
      </w:r>
    </w:p>
    <w:p w14:paraId="58837119" w14:textId="77777777" w:rsidR="00356C77" w:rsidRPr="00356C77" w:rsidRDefault="00356C77" w:rsidP="00356C77">
      <w:pPr>
        <w:spacing w:after="0" w:line="240" w:lineRule="auto"/>
        <w:ind w:firstLine="706"/>
        <w:jc w:val="both"/>
        <w:rPr>
          <w:rFonts w:ascii="Arial" w:hAnsi="Arial" w:cs="Arial"/>
          <w:sz w:val="20"/>
          <w:szCs w:val="20"/>
          <w:lang w:eastAsia="en-US"/>
        </w:rPr>
      </w:pPr>
      <w:r w:rsidRPr="00356C77">
        <w:rPr>
          <w:rFonts w:ascii="Arial" w:hAnsi="Arial" w:cs="Arial"/>
          <w:sz w:val="20"/>
          <w:szCs w:val="20"/>
          <w:lang w:eastAsia="en-US"/>
        </w:rPr>
        <w:t xml:space="preserve">A microscopia eletrônica de varredura (MEV) é uma técnica de imagem de alta resolução que permite observar a estrutura e morfologia de materiais em uma escala micrométrica. A MEV funciona através da emissão de elétrons que interagem com a superfície do material, produzindo imagens tridimensionais de alta resolução. A análise morfológica de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por MEV é uma ferramenta relevante para a caracterização desses materiais em engenharia tecidual, permitindo a avaliação e visualização dos poros e sua distribuição.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2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Vale ressaltar que assim para os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scaffolds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feitos de materiais poliméricos, a análise de MEV pode ser utilizada também na caracterização de metais e cerâmicos.</w:t>
      </w:r>
    </w:p>
    <w:p w14:paraId="4596B74E" w14:textId="77777777" w:rsidR="00356C77" w:rsidRPr="00356C77" w:rsidRDefault="00356C77" w:rsidP="00356C77">
      <w:pPr>
        <w:spacing w:after="0" w:line="240" w:lineRule="auto"/>
        <w:jc w:val="both"/>
        <w:rPr>
          <w:rFonts w:ascii="Arial" w:hAnsi="Arial" w:cs="Arial"/>
          <w:sz w:val="20"/>
          <w:szCs w:val="20"/>
          <w:vertAlign w:val="superscript"/>
          <w:lang w:eastAsia="en-US"/>
        </w:rPr>
      </w:pPr>
      <w:r w:rsidRPr="00356C77">
        <w:rPr>
          <w:rFonts w:ascii="Arial" w:hAnsi="Arial" w:cs="Arial"/>
          <w:sz w:val="20"/>
          <w:szCs w:val="20"/>
          <w:lang w:eastAsia="en-US"/>
        </w:rPr>
        <w:t xml:space="preserve">O teste de compressão para 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>scaffold</w:t>
      </w:r>
      <w:r w:rsidRPr="00356C77">
        <w:rPr>
          <w:rFonts w:ascii="Arial" w:hAnsi="Arial" w:cs="Arial"/>
          <w:sz w:val="20"/>
          <w:szCs w:val="20"/>
          <w:lang w:eastAsia="en-US"/>
        </w:rPr>
        <w:t xml:space="preserve"> é um procedimento utilizado para avaliar a resistência do equipamento de acesso em relação à carga vertical que pode suportar. Este teste é realizado colocando-se um peso sobre o </w:t>
      </w:r>
      <w:r w:rsidRPr="00356C77">
        <w:rPr>
          <w:rFonts w:ascii="Arial" w:hAnsi="Arial" w:cs="Arial"/>
          <w:i/>
          <w:iCs/>
          <w:sz w:val="20"/>
          <w:szCs w:val="20"/>
          <w:lang w:eastAsia="en-US"/>
        </w:rPr>
        <w:t xml:space="preserve">scaffold </w:t>
      </w:r>
      <w:r w:rsidRPr="00356C77">
        <w:rPr>
          <w:rFonts w:ascii="Arial" w:hAnsi="Arial" w:cs="Arial"/>
          <w:sz w:val="20"/>
          <w:szCs w:val="20"/>
          <w:lang w:eastAsia="en-US"/>
        </w:rPr>
        <w:t>para verificar se ele é capaz de suportar a carga máxima prevista. Esse peso é gradualmente aumentado até que se alcance a carga máxima de trabalho. Durante o teste, são verificados a deformação e a resistência a compressão do</w:t>
      </w:r>
      <w:r w:rsidRPr="00356C77">
        <w:rPr>
          <w:rFonts w:ascii="Arial" w:hAnsi="Arial" w:cs="Arial"/>
          <w:i/>
          <w:sz w:val="20"/>
          <w:szCs w:val="20"/>
          <w:lang w:eastAsia="en-US"/>
        </w:rPr>
        <w:t xml:space="preserve"> scaffold</w:t>
      </w:r>
      <w:r w:rsidRPr="00356C77">
        <w:rPr>
          <w:rFonts w:ascii="Arial" w:hAnsi="Arial" w:cs="Arial"/>
          <w:sz w:val="20"/>
          <w:szCs w:val="20"/>
          <w:lang w:eastAsia="en-US"/>
        </w:rPr>
        <w:t>.</w:t>
      </w:r>
      <w:r w:rsidRPr="00356C77">
        <w:rPr>
          <w:rFonts w:ascii="Arial" w:hAnsi="Arial" w:cs="Arial"/>
          <w:sz w:val="20"/>
          <w:szCs w:val="20"/>
          <w:vertAlign w:val="superscript"/>
          <w:lang w:eastAsia="en-US"/>
        </w:rPr>
        <w:t>7</w:t>
      </w:r>
    </w:p>
    <w:p w14:paraId="75F4AD63" w14:textId="356D0F26" w:rsidR="00BB522F" w:rsidRDefault="00BB522F" w:rsidP="00356C7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6AC970A" w14:textId="77777777" w:rsidR="00BB522F" w:rsidRDefault="00E41632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CONSIDERAÇÕES FINAIS</w:t>
      </w:r>
    </w:p>
    <w:p w14:paraId="662B4002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217CDB7" w14:textId="77777777" w:rsidR="00356C77" w:rsidRPr="00356C77" w:rsidRDefault="00E41632" w:rsidP="00356C77">
      <w:pPr>
        <w:spacing w:after="0" w:line="240" w:lineRule="auto"/>
        <w:ind w:firstLine="708"/>
        <w:jc w:val="both"/>
        <w:rPr>
          <w:rFonts w:ascii="Arial" w:hAnsi="Arial" w:cs="Arial"/>
          <w:sz w:val="20"/>
          <w:lang w:eastAsia="en-US"/>
        </w:rPr>
      </w:pPr>
      <w:r>
        <w:rPr>
          <w:rFonts w:ascii="Arial" w:eastAsia="Arial" w:hAnsi="Arial" w:cs="Arial"/>
          <w:sz w:val="20"/>
          <w:szCs w:val="20"/>
        </w:rPr>
        <w:tab/>
      </w:r>
      <w:r w:rsidR="00356C77" w:rsidRPr="00356C77">
        <w:rPr>
          <w:rFonts w:ascii="Arial" w:hAnsi="Arial" w:cs="Arial"/>
          <w:sz w:val="20"/>
          <w:lang w:eastAsia="en-US"/>
        </w:rPr>
        <w:t xml:space="preserve">Com o levantamento bibliográfico e estudo sobre as técnicas para análise mecânica por compressão e morfológica por MEV de </w:t>
      </w:r>
      <w:r w:rsidR="00356C77" w:rsidRPr="00356C77">
        <w:rPr>
          <w:rFonts w:ascii="Arial" w:hAnsi="Arial" w:cs="Arial"/>
          <w:i/>
          <w:sz w:val="20"/>
          <w:lang w:eastAsia="en-US"/>
        </w:rPr>
        <w:t>scaffolds</w:t>
      </w:r>
      <w:r w:rsidR="00356C77" w:rsidRPr="00356C77">
        <w:rPr>
          <w:rFonts w:ascii="Arial" w:hAnsi="Arial" w:cs="Arial"/>
          <w:sz w:val="20"/>
          <w:lang w:eastAsia="en-US"/>
        </w:rPr>
        <w:t xml:space="preserve">, espera-se obter conhecimentos prévios sobre as principais propriedades a serem analisadas. Bem como, definir os parâmetros de análise para uma caracterização assertiva dos </w:t>
      </w:r>
      <w:r w:rsidR="00356C77" w:rsidRPr="00356C77">
        <w:rPr>
          <w:rFonts w:ascii="Arial" w:hAnsi="Arial" w:cs="Arial"/>
          <w:i/>
          <w:sz w:val="20"/>
          <w:lang w:eastAsia="en-US"/>
        </w:rPr>
        <w:t xml:space="preserve">scaffolds </w:t>
      </w:r>
      <w:r w:rsidR="00356C77" w:rsidRPr="00356C77">
        <w:rPr>
          <w:rFonts w:ascii="Arial" w:hAnsi="Arial" w:cs="Arial"/>
          <w:iCs/>
          <w:sz w:val="20"/>
          <w:lang w:eastAsia="en-US"/>
        </w:rPr>
        <w:t>que serão produzidos pela técnica de bioimpressão 3D e eletrofiação</w:t>
      </w:r>
      <w:r w:rsidR="00356C77" w:rsidRPr="00356C77">
        <w:rPr>
          <w:rFonts w:ascii="Arial" w:hAnsi="Arial" w:cs="Arial"/>
          <w:sz w:val="20"/>
          <w:lang w:eastAsia="en-US"/>
        </w:rPr>
        <w:t>. Ao final será possível realizar a interpretação das informações, fornecendo dados como a utilização do material e viabilidade de aplicação.</w:t>
      </w:r>
    </w:p>
    <w:p w14:paraId="43E14261" w14:textId="341B3046" w:rsidR="00BB522F" w:rsidRDefault="00BB522F" w:rsidP="00356C7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3BC69AB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E2E8436" w14:textId="77777777" w:rsidR="00BB522F" w:rsidRDefault="00E41632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Agradecimentos</w:t>
      </w:r>
    </w:p>
    <w:p w14:paraId="3992E336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4D4C85A3" w14:textId="77777777" w:rsidR="00356C77" w:rsidRPr="00356C77" w:rsidRDefault="00E41632" w:rsidP="00356C77">
      <w:pPr>
        <w:spacing w:after="0" w:line="240" w:lineRule="auto"/>
        <w:ind w:firstLine="708"/>
        <w:jc w:val="both"/>
        <w:rPr>
          <w:rFonts w:ascii="Arial" w:hAnsi="Arial" w:cs="Arial"/>
          <w:sz w:val="20"/>
          <w:lang w:eastAsia="en-US"/>
        </w:rPr>
      </w:pPr>
      <w:r>
        <w:rPr>
          <w:rFonts w:ascii="Arial" w:eastAsia="Arial" w:hAnsi="Arial" w:cs="Arial"/>
          <w:b/>
          <w:sz w:val="20"/>
          <w:szCs w:val="20"/>
        </w:rPr>
        <w:tab/>
      </w:r>
      <w:r w:rsidR="00356C77" w:rsidRPr="00356C77">
        <w:rPr>
          <w:rFonts w:ascii="Arial" w:hAnsi="Arial" w:cs="Arial"/>
          <w:sz w:val="20"/>
          <w:lang w:eastAsia="en-US"/>
        </w:rPr>
        <w:t xml:space="preserve">Os autores agradecem ao CNPq, CAPES e FIOCRUZ pela da concessão da bolsa de estudos. E ao SENAI CIMATEC pela infraestrutura disponibilizada. </w:t>
      </w:r>
    </w:p>
    <w:p w14:paraId="0C9CAE05" w14:textId="305BD022" w:rsidR="00BB522F" w:rsidRDefault="00BB522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1CCB8CD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55DA7925" w14:textId="77777777" w:rsidR="00BB522F" w:rsidRDefault="00E41632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REFERÊNCIAS</w:t>
      </w:r>
    </w:p>
    <w:p w14:paraId="39667734" w14:textId="77777777" w:rsidR="00BB522F" w:rsidRDefault="00BB522F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673F799" w14:textId="77777777" w:rsidR="00A10D5F" w:rsidRPr="00A10D5F" w:rsidRDefault="00A10D5F" w:rsidP="00A10D5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 w:eastAsia="en-US"/>
        </w:rPr>
      </w:pPr>
      <w:proofErr w:type="gramStart"/>
      <w:r w:rsidRPr="00A10D5F">
        <w:rPr>
          <w:rFonts w:ascii="Arial" w:hAnsi="Arial" w:cs="Arial"/>
          <w:sz w:val="20"/>
          <w:szCs w:val="20"/>
          <w:vertAlign w:val="superscript"/>
          <w:lang w:val="en-US" w:eastAsia="en-US"/>
        </w:rPr>
        <w:t>1</w:t>
      </w:r>
      <w:proofErr w:type="gramEnd"/>
      <w:r w:rsidRPr="00A10D5F">
        <w:rPr>
          <w:rFonts w:ascii="Arial" w:hAnsi="Arial" w:cs="Arial"/>
          <w:sz w:val="20"/>
          <w:szCs w:val="20"/>
          <w:vertAlign w:val="superscript"/>
          <w:lang w:val="en-US" w:eastAsia="en-US"/>
        </w:rPr>
        <w:t xml:space="preserve"> </w:t>
      </w:r>
      <w:r w:rsidRPr="00A10D5F">
        <w:rPr>
          <w:rFonts w:ascii="Arial" w:hAnsi="Arial" w:cs="Arial"/>
          <w:sz w:val="20"/>
          <w:szCs w:val="20"/>
          <w:lang w:val="en-US" w:eastAsia="en-US"/>
        </w:rPr>
        <w:t xml:space="preserve">BELLAND, Brian R. </w:t>
      </w:r>
      <w:r w:rsidRPr="00A10D5F">
        <w:rPr>
          <w:rFonts w:ascii="Arial" w:hAnsi="Arial" w:cs="Arial"/>
          <w:b/>
          <w:bCs/>
          <w:sz w:val="20"/>
          <w:szCs w:val="20"/>
          <w:lang w:val="en-US" w:eastAsia="en-US"/>
        </w:rPr>
        <w:t>Scaffolding: Definition, current debates, and future directions</w:t>
      </w:r>
      <w:r w:rsidRPr="00A10D5F">
        <w:rPr>
          <w:rFonts w:ascii="Arial" w:hAnsi="Arial" w:cs="Arial"/>
          <w:sz w:val="20"/>
          <w:szCs w:val="20"/>
          <w:lang w:val="en-US" w:eastAsia="en-US"/>
        </w:rPr>
        <w:t>. Handbook of research on educational communications and technology, p. 505-518, 2014.</w:t>
      </w:r>
    </w:p>
    <w:p w14:paraId="29EE4A00" w14:textId="77777777" w:rsidR="00A10D5F" w:rsidRPr="00A10D5F" w:rsidRDefault="00A10D5F" w:rsidP="00A10D5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 w:eastAsia="en-US"/>
        </w:rPr>
      </w:pPr>
      <w:proofErr w:type="gramStart"/>
      <w:r w:rsidRPr="00A10D5F">
        <w:rPr>
          <w:rFonts w:ascii="Arial" w:hAnsi="Arial" w:cs="Arial"/>
          <w:sz w:val="20"/>
          <w:szCs w:val="20"/>
          <w:vertAlign w:val="superscript"/>
          <w:lang w:val="en-US" w:eastAsia="en-US"/>
        </w:rPr>
        <w:t>2</w:t>
      </w:r>
      <w:proofErr w:type="gramEnd"/>
      <w:r w:rsidRPr="00A10D5F">
        <w:rPr>
          <w:rFonts w:ascii="Arial" w:hAnsi="Arial" w:cs="Arial"/>
          <w:sz w:val="20"/>
          <w:szCs w:val="20"/>
          <w:lang w:val="en-US" w:eastAsia="en-US"/>
        </w:rPr>
        <w:t xml:space="preserve"> POLO-CORRALES, Liliana; LATORRE-ESTEVES, Magda; RAMIREZ-VICK, Jaime E. </w:t>
      </w:r>
      <w:r w:rsidRPr="00A10D5F">
        <w:rPr>
          <w:rFonts w:ascii="Arial" w:hAnsi="Arial" w:cs="Arial"/>
          <w:b/>
          <w:bCs/>
          <w:sz w:val="20"/>
          <w:szCs w:val="20"/>
          <w:lang w:val="en-US" w:eastAsia="en-US"/>
        </w:rPr>
        <w:t>Scaffold design for bone regeneration</w:t>
      </w:r>
      <w:r w:rsidRPr="00A10D5F">
        <w:rPr>
          <w:rFonts w:ascii="Arial" w:hAnsi="Arial" w:cs="Arial"/>
          <w:sz w:val="20"/>
          <w:szCs w:val="20"/>
          <w:lang w:val="en-US" w:eastAsia="en-US"/>
        </w:rPr>
        <w:t>. Journal of nanoscience and nanotechnology, v. 14, n. 1, p. 15-56, 2014.</w:t>
      </w:r>
    </w:p>
    <w:p w14:paraId="3599BC4A" w14:textId="77777777" w:rsidR="00A10D5F" w:rsidRPr="00A10D5F" w:rsidRDefault="00A10D5F" w:rsidP="00A10D5F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5A73EE">
        <w:rPr>
          <w:rFonts w:ascii="Arial" w:hAnsi="Arial" w:cs="Arial"/>
          <w:sz w:val="20"/>
          <w:szCs w:val="20"/>
          <w:vertAlign w:val="superscript"/>
          <w:lang w:eastAsia="en-US"/>
        </w:rPr>
        <w:t>3</w:t>
      </w:r>
      <w:r w:rsidRPr="005A73EE">
        <w:rPr>
          <w:rFonts w:ascii="Arial" w:hAnsi="Arial" w:cs="Arial"/>
          <w:color w:val="222222"/>
          <w:sz w:val="20"/>
          <w:szCs w:val="20"/>
          <w:shd w:val="clear" w:color="auto" w:fill="FFFFFF"/>
          <w:lang w:eastAsia="en-US"/>
        </w:rPr>
        <w:t xml:space="preserve"> SHIMOJO, Andréa Arruda Martins et al. </w:t>
      </w:r>
      <w:r w:rsidRPr="00A10D5F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  <w:lang w:val="en-US" w:eastAsia="en-US"/>
        </w:rPr>
        <w:t>Scaffolds for tissue engineering: A state-of-the-art review concerning types, properties, materials, processing, and characterization</w:t>
      </w:r>
      <w:r w:rsidRPr="00A10D5F">
        <w:rPr>
          <w:rFonts w:ascii="Arial" w:hAnsi="Arial" w:cs="Arial"/>
          <w:color w:val="222222"/>
          <w:sz w:val="20"/>
          <w:szCs w:val="20"/>
          <w:shd w:val="clear" w:color="auto" w:fill="FFFFFF"/>
          <w:lang w:val="en-US" w:eastAsia="en-US"/>
        </w:rPr>
        <w:t>. Racing for the surface: Antimicrobial and Interface tissue engineering, p. 647-676, 2020.</w:t>
      </w:r>
    </w:p>
    <w:p w14:paraId="65D93800" w14:textId="77777777" w:rsidR="00A10D5F" w:rsidRPr="00A10D5F" w:rsidRDefault="00A10D5F" w:rsidP="00A10D5F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A10D5F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4 </w:t>
      </w:r>
      <w:r w:rsidRPr="00A10D5F">
        <w:rPr>
          <w:rFonts w:ascii="Arial" w:hAnsi="Arial" w:cs="Arial"/>
          <w:sz w:val="20"/>
          <w:szCs w:val="20"/>
          <w:lang w:eastAsia="en-US"/>
        </w:rPr>
        <w:t xml:space="preserve">COCO, AMANDA MARIA ALMEIDA. A. </w:t>
      </w:r>
      <w:r w:rsidRPr="00A10D5F">
        <w:rPr>
          <w:rFonts w:ascii="Arial" w:hAnsi="Arial" w:cs="Arial"/>
          <w:b/>
          <w:bCs/>
          <w:sz w:val="20"/>
          <w:szCs w:val="20"/>
          <w:lang w:eastAsia="en-US"/>
        </w:rPr>
        <w:t xml:space="preserve">Síntese e caracterização de </w:t>
      </w:r>
      <w:proofErr w:type="spellStart"/>
      <w:r w:rsidRPr="00A10D5F">
        <w:rPr>
          <w:rFonts w:ascii="Arial" w:hAnsi="Arial" w:cs="Arial"/>
          <w:b/>
          <w:bCs/>
          <w:sz w:val="20"/>
          <w:szCs w:val="20"/>
          <w:lang w:eastAsia="en-US"/>
        </w:rPr>
        <w:t>scaffolds</w:t>
      </w:r>
      <w:proofErr w:type="spellEnd"/>
      <w:r w:rsidRPr="00A10D5F">
        <w:rPr>
          <w:rFonts w:ascii="Arial" w:hAnsi="Arial" w:cs="Arial"/>
          <w:b/>
          <w:bCs/>
          <w:sz w:val="20"/>
          <w:szCs w:val="20"/>
          <w:lang w:eastAsia="en-US"/>
        </w:rPr>
        <w:t xml:space="preserve"> de </w:t>
      </w:r>
      <w:proofErr w:type="spellStart"/>
      <w:r w:rsidRPr="00A10D5F">
        <w:rPr>
          <w:rFonts w:ascii="Arial" w:hAnsi="Arial" w:cs="Arial"/>
          <w:b/>
          <w:bCs/>
          <w:sz w:val="20"/>
          <w:szCs w:val="20"/>
          <w:lang w:eastAsia="en-US"/>
        </w:rPr>
        <w:t>hidroxiapatita</w:t>
      </w:r>
      <w:proofErr w:type="spellEnd"/>
      <w:r w:rsidRPr="00A10D5F">
        <w:rPr>
          <w:rFonts w:ascii="Arial" w:hAnsi="Arial" w:cs="Arial"/>
          <w:b/>
          <w:bCs/>
          <w:sz w:val="20"/>
          <w:szCs w:val="20"/>
          <w:lang w:eastAsia="en-US"/>
        </w:rPr>
        <w:t xml:space="preserve"> para aplicações na regeneração óssea</w:t>
      </w:r>
      <w:r w:rsidRPr="00A10D5F">
        <w:rPr>
          <w:rFonts w:ascii="Arial" w:hAnsi="Arial" w:cs="Arial"/>
          <w:sz w:val="20"/>
          <w:szCs w:val="20"/>
          <w:lang w:eastAsia="en-US"/>
        </w:rPr>
        <w:t>. Engenharia de Materiais, 2018.</w:t>
      </w:r>
    </w:p>
    <w:p w14:paraId="59463F06" w14:textId="77777777" w:rsidR="00A10D5F" w:rsidRPr="00A10D5F" w:rsidRDefault="00A10D5F" w:rsidP="00A10D5F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A10D5F">
        <w:rPr>
          <w:rFonts w:ascii="Arial" w:hAnsi="Arial" w:cs="Arial"/>
          <w:sz w:val="20"/>
          <w:szCs w:val="20"/>
          <w:vertAlign w:val="superscript"/>
          <w:lang w:eastAsia="en-US"/>
        </w:rPr>
        <w:t>5</w:t>
      </w:r>
      <w:r w:rsidRPr="00A10D5F">
        <w:rPr>
          <w:rFonts w:ascii="Arial" w:hAnsi="Arial" w:cs="Arial"/>
          <w:sz w:val="20"/>
          <w:szCs w:val="20"/>
          <w:lang w:eastAsia="en-US"/>
        </w:rPr>
        <w:t xml:space="preserve"> DA CUNHA, Daniel ALV; BRANCIFORTI, Marcia C. </w:t>
      </w:r>
      <w:r w:rsidRPr="00A10D5F">
        <w:rPr>
          <w:rFonts w:ascii="Arial" w:hAnsi="Arial" w:cs="Arial"/>
          <w:b/>
          <w:bCs/>
          <w:sz w:val="20"/>
          <w:szCs w:val="20"/>
          <w:lang w:eastAsia="en-US"/>
        </w:rPr>
        <w:t>Fabricação de scaffolds por manufatura aditiva para aplicação em engenharia tecidual</w:t>
      </w:r>
      <w:r w:rsidRPr="00A10D5F">
        <w:rPr>
          <w:rFonts w:ascii="Arial" w:hAnsi="Arial" w:cs="Arial"/>
          <w:sz w:val="20"/>
          <w:szCs w:val="20"/>
          <w:lang w:eastAsia="en-US"/>
        </w:rPr>
        <w:t>, 2017.</w:t>
      </w:r>
    </w:p>
    <w:p w14:paraId="76ECC003" w14:textId="77777777" w:rsidR="00A10D5F" w:rsidRPr="00A10D5F" w:rsidRDefault="00A10D5F" w:rsidP="00A10D5F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 w:eastAsia="en-US"/>
        </w:rPr>
      </w:pPr>
      <w:proofErr w:type="gramStart"/>
      <w:r w:rsidRPr="00A10D5F">
        <w:rPr>
          <w:rFonts w:ascii="Arial" w:hAnsi="Arial" w:cs="Arial"/>
          <w:sz w:val="20"/>
          <w:szCs w:val="20"/>
          <w:vertAlign w:val="superscript"/>
          <w:lang w:val="en-US" w:eastAsia="en-US"/>
        </w:rPr>
        <w:t>6</w:t>
      </w:r>
      <w:proofErr w:type="gramEnd"/>
      <w:r w:rsidRPr="00A10D5F">
        <w:rPr>
          <w:rFonts w:ascii="Arial" w:hAnsi="Arial" w:cs="Arial"/>
          <w:sz w:val="20"/>
          <w:szCs w:val="20"/>
          <w:vertAlign w:val="superscript"/>
          <w:lang w:val="en-US" w:eastAsia="en-US"/>
        </w:rPr>
        <w:t xml:space="preserve"> </w:t>
      </w:r>
      <w:r w:rsidRPr="00A10D5F">
        <w:rPr>
          <w:rFonts w:ascii="Arial" w:hAnsi="Arial" w:cs="Arial"/>
          <w:sz w:val="20"/>
          <w:szCs w:val="20"/>
          <w:lang w:val="en-US" w:eastAsia="en-US"/>
        </w:rPr>
        <w:t xml:space="preserve">LOH, Qiu Li; CHOONG, Cleo. </w:t>
      </w:r>
      <w:r w:rsidRPr="00A10D5F">
        <w:rPr>
          <w:rFonts w:ascii="Arial" w:hAnsi="Arial" w:cs="Arial"/>
          <w:b/>
          <w:bCs/>
          <w:sz w:val="20"/>
          <w:szCs w:val="20"/>
          <w:lang w:val="en-US" w:eastAsia="en-US"/>
        </w:rPr>
        <w:t>Three-dimensional scaffolds for tissue engineering applications: role of porosity and pore size</w:t>
      </w:r>
      <w:r w:rsidRPr="00A10D5F">
        <w:rPr>
          <w:rFonts w:ascii="Arial" w:hAnsi="Arial" w:cs="Arial"/>
          <w:sz w:val="20"/>
          <w:szCs w:val="20"/>
          <w:lang w:val="en-US" w:eastAsia="en-US"/>
        </w:rPr>
        <w:t>. 2013.</w:t>
      </w:r>
    </w:p>
    <w:p w14:paraId="253B141F" w14:textId="5828508F" w:rsidR="00BB522F" w:rsidRPr="00FA2E53" w:rsidRDefault="00A10D5F" w:rsidP="00A10D5F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5A73EE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7 </w:t>
      </w:r>
      <w:r w:rsidRPr="005A73EE">
        <w:rPr>
          <w:rFonts w:ascii="Arial" w:hAnsi="Arial" w:cs="Arial"/>
          <w:sz w:val="20"/>
          <w:szCs w:val="20"/>
          <w:lang w:eastAsia="en-US"/>
        </w:rPr>
        <w:t xml:space="preserve">MATSUNAKA, ZIMMERMANN, LUIS EDUARDO; FRANTZ, JULIO CESAR. </w:t>
      </w:r>
      <w:r w:rsidRPr="00A10D5F">
        <w:rPr>
          <w:rFonts w:ascii="Arial" w:hAnsi="Arial" w:cs="Arial"/>
          <w:b/>
          <w:bCs/>
          <w:sz w:val="20"/>
          <w:szCs w:val="20"/>
          <w:lang w:val="en-US" w:eastAsia="en-US"/>
        </w:rPr>
        <w:t>Analysis of the compressive strength of scaffolds manufactured by additive manufacturing applied in bone regeneration</w:t>
      </w:r>
      <w:r w:rsidRPr="00A10D5F">
        <w:rPr>
          <w:rFonts w:ascii="Arial" w:hAnsi="Arial" w:cs="Arial"/>
          <w:sz w:val="20"/>
          <w:szCs w:val="20"/>
          <w:lang w:val="en-US" w:eastAsia="en-US"/>
        </w:rPr>
        <w:t xml:space="preserve">. Brazilian Journal of Development, v. </w:t>
      </w:r>
      <w:proofErr w:type="gramStart"/>
      <w:r w:rsidRPr="00A10D5F">
        <w:rPr>
          <w:rFonts w:ascii="Arial" w:hAnsi="Arial" w:cs="Arial"/>
          <w:sz w:val="20"/>
          <w:szCs w:val="20"/>
          <w:lang w:val="en-US" w:eastAsia="en-US"/>
        </w:rPr>
        <w:t>7</w:t>
      </w:r>
      <w:proofErr w:type="gramEnd"/>
      <w:r w:rsidRPr="00A10D5F">
        <w:rPr>
          <w:rFonts w:ascii="Arial" w:hAnsi="Arial" w:cs="Arial"/>
          <w:sz w:val="20"/>
          <w:szCs w:val="20"/>
          <w:lang w:val="en-US" w:eastAsia="en-US"/>
        </w:rPr>
        <w:t>, n. 9, p. 93043-93069, 2021.</w:t>
      </w:r>
    </w:p>
    <w:sectPr w:rsidR="00BB522F" w:rsidRPr="00FA2E53"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F53B6" w14:textId="77777777" w:rsidR="00E63CBE" w:rsidRDefault="00E63CBE">
      <w:pPr>
        <w:spacing w:after="0" w:line="240" w:lineRule="auto"/>
      </w:pPr>
      <w:r>
        <w:separator/>
      </w:r>
    </w:p>
  </w:endnote>
  <w:endnote w:type="continuationSeparator" w:id="0">
    <w:p w14:paraId="0F74C3FC" w14:textId="77777777" w:rsidR="00E63CBE" w:rsidRDefault="00E63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9837D" w14:textId="77777777" w:rsidR="00BB522F" w:rsidRDefault="00E416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ISSN 0805-2010 – </w:t>
    </w:r>
    <w:r>
      <w:rPr>
        <w:i/>
        <w:color w:val="000000"/>
      </w:rPr>
      <w:t>Anuário de resumos expandidos apresentados no VIII SAPCT - SENAI CIMATEC</w:t>
    </w:r>
    <w:r>
      <w:rPr>
        <w:color w:val="000000"/>
      </w:rPr>
      <w:t xml:space="preserve">, </w:t>
    </w:r>
    <w:r>
      <w:rPr>
        <w:b/>
        <w:color w:val="000000"/>
      </w:rPr>
      <w:t>2023</w:t>
    </w:r>
  </w:p>
  <w:p w14:paraId="6AA5FD87" w14:textId="77777777" w:rsidR="00BB522F" w:rsidRDefault="00BB52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B981D" w14:textId="77777777" w:rsidR="00E63CBE" w:rsidRDefault="00E63CBE">
      <w:pPr>
        <w:spacing w:after="0" w:line="240" w:lineRule="auto"/>
      </w:pPr>
      <w:r>
        <w:separator/>
      </w:r>
    </w:p>
  </w:footnote>
  <w:footnote w:type="continuationSeparator" w:id="0">
    <w:p w14:paraId="53E886C9" w14:textId="77777777" w:rsidR="00E63CBE" w:rsidRDefault="00E63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DAB36" w14:textId="77777777" w:rsidR="00BB522F" w:rsidRDefault="00E416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 wp14:anchorId="71D1CAC9" wp14:editId="185D6BF2">
          <wp:simplePos x="0" y="0"/>
          <wp:positionH relativeFrom="column">
            <wp:posOffset>-666749</wp:posOffset>
          </wp:positionH>
          <wp:positionV relativeFrom="paragraph">
            <wp:posOffset>-450214</wp:posOffset>
          </wp:positionV>
          <wp:extent cx="7538720" cy="840105"/>
          <wp:effectExtent l="0" t="0" r="0" b="0"/>
          <wp:wrapTopAndBottom distT="0" dist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720" cy="840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22F"/>
    <w:rsid w:val="000046C8"/>
    <w:rsid w:val="0027675B"/>
    <w:rsid w:val="00356C77"/>
    <w:rsid w:val="005A73EE"/>
    <w:rsid w:val="00835ACA"/>
    <w:rsid w:val="00A10D5F"/>
    <w:rsid w:val="00BB522F"/>
    <w:rsid w:val="00D162DB"/>
    <w:rsid w:val="00E14210"/>
    <w:rsid w:val="00E41632"/>
    <w:rsid w:val="00E63CBE"/>
    <w:rsid w:val="00FA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27E8D"/>
  <w15:docId w15:val="{6B16592C-29A0-489E-8300-C07F1986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B51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1DFD"/>
  </w:style>
  <w:style w:type="paragraph" w:styleId="Rodap">
    <w:name w:val="footer"/>
    <w:basedOn w:val="Normal"/>
    <w:link w:val="RodapChar"/>
    <w:uiPriority w:val="99"/>
    <w:unhideWhenUsed/>
    <w:rsid w:val="00B51D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1DFD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4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IdUlHGciTECDtlGO0UhS2pcGlHw==">AMUW2mVfPcOBumRl/VnPfq3oGeStWyK9oYEbCYVwjLqUAmNCNuh8n0sm4n0s/Rb7u5Lcaqs5uhyhyGfaJj+IqKiY7+4zKrryHjUx/1ocHu0ZLhepdW8XNGw=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1803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Marins da Conceicao</dc:creator>
  <cp:lastModifiedBy>LILIAN Lefol Nani Guarieiro</cp:lastModifiedBy>
  <cp:revision>2</cp:revision>
  <dcterms:created xsi:type="dcterms:W3CDTF">2023-05-24T14:13:00Z</dcterms:created>
  <dcterms:modified xsi:type="dcterms:W3CDTF">2023-05-24T14:13:00Z</dcterms:modified>
</cp:coreProperties>
</file>