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color w:val="002f3c"/>
        </w:rPr>
      </w:pPr>
      <w:bookmarkStart w:colFirst="0" w:colLast="0" w:name="_heading=h.aag80ocwhcx7" w:id="0"/>
      <w:bookmarkEnd w:id="0"/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POR QUE ELES NÃO CONSEGUEM MULTIPLICAR? UM ESTUDO SOBRE DIFICULDADES MATEMÁTICAS NO 6º E 7º ANO DO ENSINO FUNDAMENTAL II NA ESCOLA ESTADUAL REGINA FERNANDES-MANACAPURU/AM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Mara Rejane Ribeiro da Silva – SEDUC/AM – mara.rejane.silva@prof.am.gov.br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Isabelle Soriano Garcia – SEDUC/AM – Ensino Fundamental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Davi da Silva Nunes – SEDUC/AM – Ensino Fundamental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Felipe Miguel Gomes Miranda – SEDUC/AM – Ensino Fundamental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Libson Holanda Pereira – SEDUC/AM – Ensino Fundamental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Eixo 01 1- Inovação, Educação Especial e Inclusão em contextos amazônicos: explorar metodologias; processos educativos inovadores; experiências, práticas; tecnologias em espaços educacionais amazônicos</w:t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Essa pesquisa surgiu a partir das dificuldades enfrentadas com conceitos básicos como a multiplicação nas aulas de matemática com os alunos do 6º e 7º ano do Ensino Fundamental II na E.E. Regina Fernandes, em Manacapuru/AM. Os autores escolhidos foram Kamii (1983), Piaget (2013) e Vygotsky (1991). Essa pesquisa aplicada, de abordagem quali-quantitativa, teve como objetivo discutir a formação mental do número entre na teoria piagetiana. Seus objetivos específicos são: 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i)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 Estudar conceitos matemáticos; 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ii)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 analisar conceitos matemáticos a partir de materiais concretos;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 iii) 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praticar conceitos da matemática por meio de jogos em equipe. O trabalho seguirá 5 etapas: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 a)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 Estudo dos conceitos piagetianos; 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prática da teoria de Piaget da formação do número; 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 estudo da origem da multiplicação; 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d) 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aplicação da multiplicação a partir de jogos concretos; 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e)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 Apresentação e gincana. O trabalho visa melhorar os conhecimentos matemáticos dos estudantes.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 Conceitos básicos matemáticos, formação do número, teoria piagetiana.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METODOLOGIA</w:t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Este projeto seguirá a pesquisa aplicada, de abordagem quali-quantitativa e dar-se-á em 5 etapas. Em primeiro lugar, os alunos pesquisadores junto com a professora coordenadora irão pesquisar e estudar os conceitos básicos piagetianos, cuja parte será mais teórica. Na segunda etapa, o grupo de pesquisa irá estudar a prática da teoria da formação do número mental, baseando-se nos estudos de Kamii (1983). </w:t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Já na terceira etapa os estudantes serão desafiados a estudarem a origem da multiplicação (</w:t>
      </w:r>
      <w:r w:rsidDel="00000000" w:rsidR="00000000" w:rsidRPr="00000000">
        <w:rPr>
          <w:rFonts w:ascii="Arial" w:cs="Arial" w:eastAsia="Arial" w:hAnsi="Arial"/>
          <w:rtl w:val="0"/>
        </w:rPr>
        <w:t xml:space="preserve">WARSI,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2020), enquanto que na quarta etapa irão aplicar jogos concretos matemáticos de multiplicação. A culminância do projeto de pesquisa será a última fase e irá finalizar com uma apresentação do projeto para a comunidade escolar e uma gincana com os alunos do 6º e 7º ano.</w:t>
      </w:r>
    </w:p>
    <w:p w:rsidR="00000000" w:rsidDel="00000000" w:rsidP="00000000" w:rsidRDefault="00000000" w:rsidRPr="00000000" w14:paraId="00000011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DISCUSSÃO</w:t>
      </w:r>
    </w:p>
    <w:p w:rsidR="00000000" w:rsidDel="00000000" w:rsidP="00000000" w:rsidRDefault="00000000" w:rsidRPr="00000000" w14:paraId="00000013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Kamii (1983) fez um estudo aprofundado sobre a teoria de Piaget sobre a formação do número mental desde a mais tenra infância. Se não forem expostas a vivências que estimulem a aprendizagem da linguagem matemática e/ou terem acesso a uma formação básica em matemática, os adolescentes do 6º e 7º ano trazem essas deficiências da sua escolarização. Piaget (2013) fez importantes investigações acerca de como os jogos podem contribuir para a consolidação mental de conceitos matemáticos. </w:t>
      </w:r>
    </w:p>
    <w:p w:rsidR="00000000" w:rsidDel="00000000" w:rsidP="00000000" w:rsidRDefault="00000000" w:rsidRPr="00000000" w14:paraId="00000014">
      <w:pPr>
        <w:spacing w:after="0" w:line="360" w:lineRule="auto"/>
        <w:ind w:firstLine="72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Vygotsky (1991) também muito contribuiu com sua teoria histórico-social ao demonstrar seus estudos sobre a funções psicológicas elementares, as quais são: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atenção involuntária, a memória sensorial e as reações reflexas</w:t>
      </w:r>
      <w:r w:rsidDel="00000000" w:rsidR="00000000" w:rsidRPr="00000000">
        <w:rPr>
          <w:rFonts w:ascii="Arial" w:cs="Arial" w:eastAsia="Arial" w:hAnsi="Arial"/>
          <w:rtl w:val="0"/>
        </w:rPr>
        <w:t xml:space="preserve">, bem como com as funções psicológicas</w:t>
      </w:r>
      <w:r w:rsidDel="00000000" w:rsidR="00000000" w:rsidRPr="00000000">
        <w:rPr>
          <w:rFonts w:ascii="Arial" w:cs="Arial" w:eastAsia="Arial" w:hAnsi="Arial"/>
          <w:rtl w:val="0"/>
        </w:rPr>
        <w:t xml:space="preserve"> superiores, isto é,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pensamento abstrato, </w:t>
      </w:r>
      <w:hyperlink r:id="rId7">
        <w:r w:rsidDel="00000000" w:rsidR="00000000" w:rsidRPr="00000000">
          <w:rPr>
            <w:rFonts w:ascii="Arial" w:cs="Arial" w:eastAsia="Arial" w:hAnsi="Arial"/>
            <w:highlight w:val="white"/>
            <w:rtl w:val="0"/>
          </w:rPr>
          <w:t xml:space="preserve">memória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planejamento estratégico, resolução de problemas complexos e autorregulação. </w:t>
      </w:r>
    </w:p>
    <w:p w:rsidR="00000000" w:rsidDel="00000000" w:rsidP="00000000" w:rsidRDefault="00000000" w:rsidRPr="00000000" w14:paraId="00000015">
      <w:pPr>
        <w:spacing w:after="0" w:line="360" w:lineRule="auto"/>
        <w:ind w:firstLine="72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CONCLUSÕES</w:t>
      </w:r>
    </w:p>
    <w:p w:rsidR="00000000" w:rsidDel="00000000" w:rsidP="00000000" w:rsidRDefault="00000000" w:rsidRPr="00000000" w14:paraId="00000017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Portanto, a presente pesquisa será fundamental para diminuir as desigualdades sociais enfrentadas por alunos que provêm de uma realidade de vulnerabilidade social, cuja comunidade escolar provém da periferia de Manacapuru-AM, bairro da Liberdade. O projeto também terá um impacto pedagógico para estes estudantes, diminuindo e/ou extinguindo as dificuldades matemáticas enfrentadas pelas turmas do 6º e 7º ano do Ensino Fundamental II. </w:t>
      </w:r>
    </w:p>
    <w:p w:rsidR="00000000" w:rsidDel="00000000" w:rsidP="00000000" w:rsidRDefault="00000000" w:rsidRPr="00000000" w14:paraId="00000018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REFERÊNCIAS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KAMII, Constance.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A criança e o número: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Implicações educacionais da teoria de Piaget. 12ª Edição. Editora Papirus,1983.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PIAGET, Jean.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Relações entre a afetividade e a inteligência no desenvolvimento mental da criança.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Rio de Janeiro: Editora Wak, 2014.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VYGOTSKY, Lev S. A formação social da mente: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Internalização das funções psicológicas superiores.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São Paulo: Livraria Martins, 1991.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WARSI, Karl (Org.)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O livro da matemática.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Tradução de Maria da Anunciação Rodrigues. 1ª Edição. Rio de Janeiro: Globo Livros, 2020.</w:t>
      </w:r>
    </w:p>
    <w:sectPr>
      <w:headerReference r:id="rId8" w:type="default"/>
      <w:footerReference r:id="rId9" w:type="default"/>
      <w:pgSz w:h="16838" w:w="11906" w:orient="portrait"/>
      <w:pgMar w:bottom="851" w:top="2552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-1082672</wp:posOffset>
          </wp:positionH>
          <wp:positionV relativeFrom="paragraph">
            <wp:posOffset>-3945683</wp:posOffset>
          </wp:positionV>
          <wp:extent cx="7557831" cy="5150331"/>
          <wp:effectExtent b="0" l="0" r="0" t="0"/>
          <wp:wrapNone/>
          <wp:docPr id="19617049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-1105330</wp:posOffset>
          </wp:positionH>
          <wp:positionV relativeFrom="paragraph">
            <wp:posOffset>-440052</wp:posOffset>
          </wp:positionV>
          <wp:extent cx="7626753" cy="5603132"/>
          <wp:effectExtent b="0" l="0" r="0" t="0"/>
          <wp:wrapNone/>
          <wp:docPr id="1961704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8053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61F1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61F1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61F1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61F1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61F1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61F18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61F1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61F1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61F1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61F1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D61F1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D61F1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61F1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61F1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61F1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61F18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61F1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61F18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61F18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1F1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aphaelpequeno.com/phc-memoria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ywI778x0TIGLFKb+wJe3+ydJQ==">CgMxLjAyDmguYWFnODBvY3doY3g3OAByITFJdnJJOFhEdmlqNFBWT1N1eXBEY2d0dHNvczZ5WEgwRg==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2025-08-06T13:46:00Z</dcterms:created>
  <dc:creator>Thaíssa Gabrielle Ferreira Henrique</dc:creator>
</cp:coreProperties>
</file>