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8B38B4" w14:textId="77777777" w:rsidR="007500EB" w:rsidRDefault="00000000">
      <w:pPr>
        <w:spacing w:line="36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INTEGRAÇÃO DA LÍNGUA INGLESA AO DESENVOLVIMENTO SUSTENTÁVEL DO MUNICÍPIO DE COARI-AM</w:t>
      </w:r>
    </w:p>
    <w:p w14:paraId="710B37E4" w14:textId="77777777" w:rsidR="007500EB" w:rsidRDefault="007500EB">
      <w:pPr>
        <w:spacing w:line="36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566C1240" w14:textId="77777777" w:rsidR="007500EB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Autora: Kezia Faba da Silva – UEA – kfds.lin22@uea.edu.br </w:t>
      </w:r>
    </w:p>
    <w:p w14:paraId="0B04F4CC" w14:textId="77777777" w:rsidR="007500EB" w:rsidRDefault="00000000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Coautora: Claudia </w:t>
      </w:r>
      <w:proofErr w:type="spellStart"/>
      <w:r>
        <w:rPr>
          <w:rFonts w:ascii="Arial" w:eastAsia="Arial" w:hAnsi="Arial" w:cs="Arial"/>
          <w:b/>
          <w:color w:val="002F3C"/>
          <w:sz w:val="20"/>
          <w:szCs w:val="20"/>
        </w:rPr>
        <w:t>Patricia</w:t>
      </w:r>
      <w:proofErr w:type="spellEnd"/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2F3C"/>
          <w:sz w:val="20"/>
          <w:szCs w:val="20"/>
        </w:rPr>
        <w:t>Cadena</w:t>
      </w:r>
      <w:proofErr w:type="spellEnd"/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2F3C"/>
          <w:sz w:val="20"/>
          <w:szCs w:val="20"/>
        </w:rPr>
        <w:t>Montoya  –</w:t>
      </w:r>
      <w:proofErr w:type="gramEnd"/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UEA – cmontoya@uea.edu.br </w:t>
      </w:r>
    </w:p>
    <w:p w14:paraId="582FFDE4" w14:textId="77777777" w:rsidR="007500EB" w:rsidRDefault="007500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442BEE1E" w14:textId="77777777" w:rsidR="007500EB" w:rsidRDefault="007500EB">
      <w:pPr>
        <w:spacing w:after="0" w:line="24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645ACA04" w14:textId="77777777" w:rsidR="007500EB" w:rsidRDefault="007500EB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0A04E27C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b/>
          <w:color w:val="002F3C"/>
          <w:sz w:val="22"/>
          <w:szCs w:val="22"/>
        </w:rPr>
      </w:pPr>
      <w:r>
        <w:rPr>
          <w:rFonts w:ascii="Arial" w:eastAsia="Arial" w:hAnsi="Arial" w:cs="Arial"/>
          <w:b/>
          <w:color w:val="002F3C"/>
          <w:sz w:val="22"/>
          <w:szCs w:val="22"/>
        </w:rPr>
        <w:t>Eixo 02 - Educação, Ciência e Sustentabilidade Social</w:t>
      </w:r>
    </w:p>
    <w:p w14:paraId="78715927" w14:textId="77777777" w:rsidR="007500EB" w:rsidRDefault="007500EB">
      <w:pPr>
        <w:spacing w:line="240" w:lineRule="auto"/>
        <w:jc w:val="right"/>
        <w:rPr>
          <w:rFonts w:ascii="Arial" w:eastAsia="Arial" w:hAnsi="Arial" w:cs="Arial"/>
          <w:b/>
          <w:color w:val="002F3C"/>
        </w:rPr>
      </w:pPr>
    </w:p>
    <w:p w14:paraId="2F763085" w14:textId="77777777" w:rsidR="007500EB" w:rsidRDefault="00000000">
      <w:pPr>
        <w:spacing w:line="240" w:lineRule="auto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RESUMO:</w:t>
      </w:r>
    </w:p>
    <w:p w14:paraId="643021D3" w14:textId="77777777" w:rsidR="007500EB" w:rsidRDefault="00000000">
      <w:pPr>
        <w:spacing w:line="24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color w:val="002F3C"/>
        </w:rPr>
        <w:t xml:space="preserve">Este trabalho, vinculado ao curso de Licenciatura em Letras – Língua Inglesa Mediado por Tecnologia da Universidade do Estado do Amazonas (UEA), apresenta a integração da língua inglesa a práticas de sustentabilidade no município de </w:t>
      </w:r>
      <w:proofErr w:type="spellStart"/>
      <w:r>
        <w:rPr>
          <w:rFonts w:ascii="Arial" w:eastAsia="Arial" w:hAnsi="Arial" w:cs="Arial"/>
          <w:color w:val="002F3C"/>
        </w:rPr>
        <w:t>Coari-AM</w:t>
      </w:r>
      <w:proofErr w:type="spellEnd"/>
      <w:r>
        <w:rPr>
          <w:rFonts w:ascii="Arial" w:eastAsia="Arial" w:hAnsi="Arial" w:cs="Arial"/>
          <w:color w:val="002F3C"/>
        </w:rPr>
        <w:t>. Parte-se da premissa de que o inglês, no contexto amazônico, não deve ser visto como algo distante, mas como recurso de empoderamento cultural e de inserção global. A proposta articula sustentabilidade, educação e artesanato, ressaltando a valorização dos saberes tradicionais e sua projeção em âmbito internacional. O artesanato, expressão viva da identidade amazônica, representa resistência cultural e prática concreta de sustentabilidade. Nesse cenário, a língua inglesa surge como ferramenta estratégica para ampliar a circulação desses saberes, permitindo que comunidades amazônicas comuniquem suas narrativas em escala global, sem perder autenticidade. Conclui-se que a articulação entre língua inglesa, cultura e sustentabilidade fortalece identidades locais e amplia a participação da Amazônia em diálogos globais.</w:t>
      </w:r>
      <w:r>
        <w:rPr>
          <w:rFonts w:ascii="Arial" w:eastAsia="Arial" w:hAnsi="Arial" w:cs="Arial"/>
          <w:b/>
          <w:color w:val="002F3C"/>
        </w:rPr>
        <w:t xml:space="preserve"> </w:t>
      </w:r>
    </w:p>
    <w:p w14:paraId="258E8EBE" w14:textId="77777777" w:rsidR="007500EB" w:rsidRDefault="00000000">
      <w:pPr>
        <w:spacing w:line="240" w:lineRule="auto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</w:rPr>
        <w:t>PALAVRAS CHAVES</w:t>
      </w:r>
      <w:r>
        <w:rPr>
          <w:rFonts w:ascii="Arial" w:eastAsia="Arial" w:hAnsi="Arial" w:cs="Arial"/>
          <w:color w:val="002F3C"/>
        </w:rPr>
        <w:t>:  Sustentabilidade; Artesanato Amazônico; Educação Intercultural; Língua Inglesa; Extensão Universitária.</w:t>
      </w:r>
    </w:p>
    <w:p w14:paraId="6906E8DC" w14:textId="77777777" w:rsidR="007500EB" w:rsidRDefault="007500EB">
      <w:pPr>
        <w:spacing w:after="24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492037F5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b/>
          <w:color w:val="002F3C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INTRODUÇÃO</w:t>
      </w:r>
    </w:p>
    <w:p w14:paraId="740F8B64" w14:textId="77777777" w:rsidR="007500EB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 Amazônia, reconhecida mundialmente como um dos principais biomas do planeta, exige práticas educativas que conciliem preservação ambiental, justiça social e desenvolvimento econômico sustentável (SACHS, 2009; BOFF, 2012). Nesse contexto, o artesanato constitui uma expressão fundamental da identidade cultural amazônica, traduzindo, por meio de técnicas tradicionais, modos de vida que unem </w:t>
      </w:r>
      <w:r>
        <w:rPr>
          <w:rFonts w:ascii="Arial" w:eastAsia="Arial" w:hAnsi="Arial" w:cs="Arial"/>
          <w:color w:val="002F3C"/>
        </w:rPr>
        <w:lastRenderedPageBreak/>
        <w:t>preservação da floresta e geração de renda. Mais do que produto comercializável, é prática de resistência cultural e de sustentabilidade (DIEGUES, 2000).</w:t>
      </w:r>
    </w:p>
    <w:p w14:paraId="13636FEB" w14:textId="77777777" w:rsidR="007500EB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Paralelamente, a língua inglesa assume papel estratégico ao ampliar a circulação desses saberes. Autores como Almeida Filho (1993; 2013) e Anjos (2019) defendem o processo de “</w:t>
      </w:r>
      <w:proofErr w:type="spellStart"/>
      <w:r>
        <w:rPr>
          <w:rFonts w:ascii="Arial" w:eastAsia="Arial" w:hAnsi="Arial" w:cs="Arial"/>
          <w:color w:val="002F3C"/>
        </w:rPr>
        <w:t>desestrangeirização</w:t>
      </w:r>
      <w:proofErr w:type="spellEnd"/>
      <w:r>
        <w:rPr>
          <w:rFonts w:ascii="Arial" w:eastAsia="Arial" w:hAnsi="Arial" w:cs="Arial"/>
          <w:color w:val="002F3C"/>
        </w:rPr>
        <w:t>” do inglês, isto é, sua apropriação como recurso legítimo de expressão cultural. Nessa perspectiva, a integração entre língua inglesa e práticas artesanais amazônicas não apenas fortalece identidades locais, mas também inscreve suas narrativas em espaços multiculturais (JENKINS, 2014; CRYSTAL, 2003).</w:t>
      </w:r>
    </w:p>
    <w:p w14:paraId="68C9561F" w14:textId="77777777" w:rsidR="007500EB" w:rsidRDefault="007500EB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14:paraId="0EF9D59B" w14:textId="77777777" w:rsidR="007500EB" w:rsidRDefault="00000000">
      <w:pPr>
        <w:spacing w:after="240" w:line="360" w:lineRule="auto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METODOLOGIA</w:t>
      </w:r>
    </w:p>
    <w:p w14:paraId="218455D4" w14:textId="77777777" w:rsidR="007500EB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 pesquisa adota abordagem qualitativa (GIL, 2008), voltada à interpretação de significados sociais e culturais, associada à pesquisa bibliográfica (CRESWELL, 2014) para fundamentação teórica. Além disso, valoriza práticas participativas, conforme defende Brandão (2003), priorizando a escuta e o respeito aos saberes comunitários.</w:t>
      </w:r>
    </w:p>
    <w:p w14:paraId="6CDD7A88" w14:textId="77777777" w:rsidR="007500EB" w:rsidRDefault="00000000">
      <w:pPr>
        <w:spacing w:after="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Foram realizadas visitas de campo a comunidades artesãs da região de Coari, com observação participante, registros de anotações e diálogos com moradores. Esse contato possibilitou identificar técnicas, compreender relações entre artesanato, sustentabilidade e identidade cultural, além de mapear vocabulário-chave em português e inglês para futura divulgação. Assim, a metodologia articula bibliografia, observação e práticas dialógicas, garantindo rigor acadêmico e valorização cultural.</w:t>
      </w:r>
    </w:p>
    <w:p w14:paraId="07B2AF6B" w14:textId="77777777" w:rsidR="007500EB" w:rsidRDefault="007500EB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6D0040A9" w14:textId="77777777" w:rsidR="007500EB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DISCUSSÃO</w:t>
      </w:r>
    </w:p>
    <w:p w14:paraId="3DBD745A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As visitas às aldeias evidenciaram a ligação entre a coleta responsável de matérias-primas e a identidade cultural, além do interesse dos jovens em aprender inglês como ferramenta de visibilidade. Em reuniões comunitárias, o diálogo permitiu alinhar expectativas e validar coletivamente decisões sobre a divulgação do artesanato, fortalecendo o protagonismo local.</w:t>
      </w:r>
    </w:p>
    <w:p w14:paraId="28257C56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lastRenderedPageBreak/>
        <w:t>Na feira de artesanato, foi possível mapear tipologias como cestaria, biojoias e entalhes em madeira, observando a cadeia produtiva, a sazonalidade dos insumos e estratégias de precificação. Também se identificou o uso inicial do inglês em etiquetas e descrições de produtos, sinalizando abertura para processos de internacionalização.</w:t>
      </w:r>
    </w:p>
    <w:p w14:paraId="411FA856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No campo da comunicação, elaborou-se um banner com objetivos, resultados e vocabulário bilíngue, favorecendo a circulação dos saberes em ambiente acadêmico e comunitário. Em seguida, criou-se um blog educativo, com perfis de artesãos, boas práticas sustentáveis e descrições bilíngues de produtos. Esses instrumentos ampliam a visibilidade e a autonomia dos participantes, ao mesmo tempo em que consolidam canais de intercâmbio cultural.</w:t>
      </w:r>
    </w:p>
    <w:p w14:paraId="7689D4D0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Assim, a articulação entre bibliografia (CRESWELL, 2014), observação de campo (GIL, 2008) e práticas participativas (BRANDÃO, 2003) demonstrou que o uso crítico da língua inglesa, associado à sustentabilidade e ao artesanato, contribui para empoderar comunidades e projetar suas práticas no cenário global.</w:t>
      </w:r>
    </w:p>
    <w:p w14:paraId="20B62D25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CONCLUSÃO</w:t>
      </w:r>
    </w:p>
    <w:p w14:paraId="07EEA868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Os resultados parciais apontam que a integração entre sustentabilidade, artesanato e língua inglesa fortalece identidades culturais, amplia canais de comunicação e favorece a internacionalização de saberes locais. O blog e o banner já produzidos funcionam como instrumentos de registro, valorização e difusão cultural.</w:t>
      </w:r>
    </w:p>
    <w:p w14:paraId="69BF4797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Os próximos passos incluem oficinas para artesãos e jovens indígenas, voltadas ao uso do inglês aplicado à divulgação de seus produtos, consolidando o idioma como recurso de empoderamento cultural e socioeconômico. Conclui-se que a proposta reafirma a relevância da extensão universitária como elo entre universidade e comunidade, promovendo cidadania global em sintonia com a preservação amazônica.</w:t>
      </w:r>
    </w:p>
    <w:p w14:paraId="6A2A5354" w14:textId="77777777" w:rsidR="007500EB" w:rsidRDefault="007500EB">
      <w:pPr>
        <w:spacing w:after="240" w:line="360" w:lineRule="auto"/>
        <w:jc w:val="both"/>
        <w:rPr>
          <w:rFonts w:ascii="Arial" w:eastAsia="Arial" w:hAnsi="Arial" w:cs="Arial"/>
          <w:color w:val="002F3C"/>
        </w:rPr>
      </w:pPr>
    </w:p>
    <w:p w14:paraId="74CBB7CC" w14:textId="77777777" w:rsidR="007500EB" w:rsidRDefault="00000000">
      <w:pPr>
        <w:spacing w:after="240"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lastRenderedPageBreak/>
        <w:t>REFERÊNCIAS</w:t>
      </w:r>
    </w:p>
    <w:p w14:paraId="4656F7BB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ALMEIDA FILHO, José Carlos Paes de. </w:t>
      </w:r>
      <w:r>
        <w:rPr>
          <w:rFonts w:ascii="Arial" w:eastAsia="Arial" w:hAnsi="Arial" w:cs="Arial"/>
          <w:b/>
          <w:color w:val="002F3C"/>
        </w:rPr>
        <w:t>Dimensões comunicativas no ensino de línguas</w:t>
      </w:r>
      <w:r>
        <w:rPr>
          <w:rFonts w:ascii="Arial" w:eastAsia="Arial" w:hAnsi="Arial" w:cs="Arial"/>
          <w:color w:val="002F3C"/>
        </w:rPr>
        <w:t>. Campinas: Pontes, 1993.</w:t>
      </w:r>
    </w:p>
    <w:p w14:paraId="116AAD0F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ALMEIDA FILHO, José Carlos Paes de. </w:t>
      </w:r>
      <w:r>
        <w:rPr>
          <w:rFonts w:ascii="Arial" w:eastAsia="Arial" w:hAnsi="Arial" w:cs="Arial"/>
          <w:b/>
          <w:color w:val="002F3C"/>
        </w:rPr>
        <w:t>Quatro estações no ensino de línguas</w:t>
      </w:r>
      <w:r>
        <w:rPr>
          <w:rFonts w:ascii="Arial" w:eastAsia="Arial" w:hAnsi="Arial" w:cs="Arial"/>
          <w:color w:val="002F3C"/>
        </w:rPr>
        <w:t>. Campinas: Pontes, 2013.</w:t>
      </w:r>
    </w:p>
    <w:p w14:paraId="447DD00C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ANJOS, Felipe de Lima. </w:t>
      </w:r>
      <w:r>
        <w:rPr>
          <w:rFonts w:ascii="Arial" w:eastAsia="Arial" w:hAnsi="Arial" w:cs="Arial"/>
          <w:b/>
          <w:color w:val="002F3C"/>
        </w:rPr>
        <w:t xml:space="preserve">A </w:t>
      </w:r>
      <w:proofErr w:type="spellStart"/>
      <w:r>
        <w:rPr>
          <w:rFonts w:ascii="Arial" w:eastAsia="Arial" w:hAnsi="Arial" w:cs="Arial"/>
          <w:b/>
          <w:color w:val="002F3C"/>
        </w:rPr>
        <w:t>desestrangeirização</w:t>
      </w:r>
      <w:proofErr w:type="spellEnd"/>
      <w:r>
        <w:rPr>
          <w:rFonts w:ascii="Arial" w:eastAsia="Arial" w:hAnsi="Arial" w:cs="Arial"/>
          <w:b/>
          <w:color w:val="002F3C"/>
        </w:rPr>
        <w:t xml:space="preserve"> do inglês: reflexões sobre ensino e identidade</w:t>
      </w:r>
      <w:r>
        <w:rPr>
          <w:rFonts w:ascii="Arial" w:eastAsia="Arial" w:hAnsi="Arial" w:cs="Arial"/>
          <w:color w:val="002F3C"/>
        </w:rPr>
        <w:t>. Revista X, Curitiba, v. 14, n. 2, p. 1-15, 2019.</w:t>
      </w:r>
    </w:p>
    <w:p w14:paraId="29A32DA9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BOFF, Leonardo. </w:t>
      </w:r>
      <w:r>
        <w:rPr>
          <w:rFonts w:ascii="Arial" w:eastAsia="Arial" w:hAnsi="Arial" w:cs="Arial"/>
          <w:b/>
          <w:color w:val="002F3C"/>
        </w:rPr>
        <w:t>Sustentabilidade</w:t>
      </w:r>
      <w:r>
        <w:rPr>
          <w:rFonts w:ascii="Arial" w:eastAsia="Arial" w:hAnsi="Arial" w:cs="Arial"/>
          <w:color w:val="002F3C"/>
        </w:rPr>
        <w:t xml:space="preserve">: </w:t>
      </w:r>
      <w:r>
        <w:rPr>
          <w:rFonts w:ascii="Arial" w:eastAsia="Arial" w:hAnsi="Arial" w:cs="Arial"/>
          <w:b/>
          <w:color w:val="002F3C"/>
        </w:rPr>
        <w:t>o que é – o que não é</w:t>
      </w:r>
      <w:r>
        <w:rPr>
          <w:rFonts w:ascii="Arial" w:eastAsia="Arial" w:hAnsi="Arial" w:cs="Arial"/>
          <w:color w:val="002F3C"/>
        </w:rPr>
        <w:t>. Petrópolis: Vozes, 2012.</w:t>
      </w:r>
    </w:p>
    <w:p w14:paraId="741B62F1" w14:textId="77777777" w:rsidR="007500EB" w:rsidRPr="009D50CC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  <w:lang w:val="en-US"/>
        </w:rPr>
      </w:pPr>
      <w:r>
        <w:rPr>
          <w:rFonts w:ascii="Arial" w:eastAsia="Arial" w:hAnsi="Arial" w:cs="Arial"/>
          <w:color w:val="002F3C"/>
        </w:rPr>
        <w:t xml:space="preserve">BRANDÃO, Carlos Rodrigues. </w:t>
      </w:r>
      <w:r>
        <w:rPr>
          <w:rFonts w:ascii="Arial" w:eastAsia="Arial" w:hAnsi="Arial" w:cs="Arial"/>
          <w:b/>
          <w:color w:val="002F3C"/>
        </w:rPr>
        <w:t>O que é educação</w:t>
      </w:r>
      <w:r>
        <w:rPr>
          <w:rFonts w:ascii="Arial" w:eastAsia="Arial" w:hAnsi="Arial" w:cs="Arial"/>
          <w:color w:val="002F3C"/>
        </w:rPr>
        <w:t xml:space="preserve">. </w:t>
      </w:r>
      <w:r w:rsidRPr="009D50CC">
        <w:rPr>
          <w:rFonts w:ascii="Arial" w:eastAsia="Arial" w:hAnsi="Arial" w:cs="Arial"/>
          <w:color w:val="002F3C"/>
          <w:lang w:val="en-US"/>
        </w:rPr>
        <w:t>33. ed. São Paulo: Brasiliense, 2007. (2003).</w:t>
      </w:r>
    </w:p>
    <w:p w14:paraId="59AF9A61" w14:textId="77777777" w:rsidR="007500EB" w:rsidRPr="009D50CC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  <w:lang w:val="en-US"/>
        </w:rPr>
      </w:pPr>
      <w:r w:rsidRPr="009D50CC">
        <w:rPr>
          <w:rFonts w:ascii="Arial" w:eastAsia="Arial" w:hAnsi="Arial" w:cs="Arial"/>
          <w:color w:val="002F3C"/>
          <w:lang w:val="en-US"/>
        </w:rPr>
        <w:t xml:space="preserve">CRYSTAL, David. </w:t>
      </w:r>
      <w:r w:rsidRPr="009D50CC">
        <w:rPr>
          <w:rFonts w:ascii="Arial" w:eastAsia="Arial" w:hAnsi="Arial" w:cs="Arial"/>
          <w:b/>
          <w:color w:val="002F3C"/>
          <w:lang w:val="en-US"/>
        </w:rPr>
        <w:t>English as a Global Language</w:t>
      </w:r>
      <w:r w:rsidRPr="009D50CC">
        <w:rPr>
          <w:rFonts w:ascii="Arial" w:eastAsia="Arial" w:hAnsi="Arial" w:cs="Arial"/>
          <w:color w:val="002F3C"/>
          <w:lang w:val="en-US"/>
        </w:rPr>
        <w:t>. 2. ed. Cambridge: Cambridge University Press, 2003.</w:t>
      </w:r>
    </w:p>
    <w:p w14:paraId="40C26B8E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DIEGUES, </w:t>
      </w:r>
      <w:proofErr w:type="spellStart"/>
      <w:r>
        <w:rPr>
          <w:rFonts w:ascii="Arial" w:eastAsia="Arial" w:hAnsi="Arial" w:cs="Arial"/>
          <w:color w:val="002F3C"/>
        </w:rPr>
        <w:t>Antonio</w:t>
      </w:r>
      <w:proofErr w:type="spellEnd"/>
      <w:r>
        <w:rPr>
          <w:rFonts w:ascii="Arial" w:eastAsia="Arial" w:hAnsi="Arial" w:cs="Arial"/>
          <w:color w:val="002F3C"/>
        </w:rPr>
        <w:t xml:space="preserve"> Carlos. </w:t>
      </w:r>
      <w:r>
        <w:rPr>
          <w:rFonts w:ascii="Arial" w:eastAsia="Arial" w:hAnsi="Arial" w:cs="Arial"/>
          <w:b/>
          <w:color w:val="002F3C"/>
        </w:rPr>
        <w:t>O mito moderno da natureza intocada</w:t>
      </w:r>
      <w:r>
        <w:rPr>
          <w:rFonts w:ascii="Arial" w:eastAsia="Arial" w:hAnsi="Arial" w:cs="Arial"/>
          <w:color w:val="002F3C"/>
        </w:rPr>
        <w:t>. São Paulo: Hucitec, 2000.</w:t>
      </w:r>
    </w:p>
    <w:p w14:paraId="7DA50B23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GIL, </w:t>
      </w:r>
      <w:proofErr w:type="spellStart"/>
      <w:r>
        <w:rPr>
          <w:rFonts w:ascii="Arial" w:eastAsia="Arial" w:hAnsi="Arial" w:cs="Arial"/>
          <w:color w:val="002F3C"/>
        </w:rPr>
        <w:t>Antonio</w:t>
      </w:r>
      <w:proofErr w:type="spellEnd"/>
      <w:r>
        <w:rPr>
          <w:rFonts w:ascii="Arial" w:eastAsia="Arial" w:hAnsi="Arial" w:cs="Arial"/>
          <w:color w:val="002F3C"/>
        </w:rPr>
        <w:t xml:space="preserve"> Carlos</w:t>
      </w:r>
      <w:r>
        <w:rPr>
          <w:rFonts w:ascii="Arial" w:eastAsia="Arial" w:hAnsi="Arial" w:cs="Arial"/>
          <w:b/>
          <w:color w:val="002F3C"/>
        </w:rPr>
        <w:t>. Métodos e técnicas de pesquisa social</w:t>
      </w:r>
      <w:r>
        <w:rPr>
          <w:rFonts w:ascii="Arial" w:eastAsia="Arial" w:hAnsi="Arial" w:cs="Arial"/>
          <w:color w:val="002F3C"/>
        </w:rPr>
        <w:t>. 6. ed. São Paulo: Atlas, 2008. </w:t>
      </w:r>
    </w:p>
    <w:p w14:paraId="3FA934C7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 w:rsidRPr="00E014B0">
        <w:rPr>
          <w:rFonts w:ascii="Arial" w:eastAsia="Arial" w:hAnsi="Arial" w:cs="Arial"/>
          <w:color w:val="002F3C"/>
          <w:lang w:val="en-US"/>
        </w:rPr>
        <w:t xml:space="preserve">JENKINS, Jennifer. </w:t>
      </w:r>
      <w:r w:rsidRPr="00E014B0">
        <w:rPr>
          <w:rFonts w:ascii="Arial" w:eastAsia="Arial" w:hAnsi="Arial" w:cs="Arial"/>
          <w:b/>
          <w:color w:val="002F3C"/>
          <w:lang w:val="en-US"/>
        </w:rPr>
        <w:t xml:space="preserve">Global </w:t>
      </w:r>
      <w:proofErr w:type="spellStart"/>
      <w:r w:rsidRPr="00E014B0">
        <w:rPr>
          <w:rFonts w:ascii="Arial" w:eastAsia="Arial" w:hAnsi="Arial" w:cs="Arial"/>
          <w:b/>
          <w:color w:val="002F3C"/>
          <w:lang w:val="en-US"/>
        </w:rPr>
        <w:t>Englishes</w:t>
      </w:r>
      <w:proofErr w:type="spellEnd"/>
      <w:r w:rsidRPr="00E014B0">
        <w:rPr>
          <w:rFonts w:ascii="Arial" w:eastAsia="Arial" w:hAnsi="Arial" w:cs="Arial"/>
          <w:color w:val="002F3C"/>
          <w:lang w:val="en-US"/>
        </w:rPr>
        <w:t xml:space="preserve">: </w:t>
      </w:r>
      <w:r w:rsidRPr="00E014B0">
        <w:rPr>
          <w:rFonts w:ascii="Arial" w:eastAsia="Arial" w:hAnsi="Arial" w:cs="Arial"/>
          <w:b/>
          <w:color w:val="002F3C"/>
          <w:lang w:val="en-US"/>
        </w:rPr>
        <w:t>A resource book for students</w:t>
      </w:r>
      <w:r w:rsidRPr="00E014B0">
        <w:rPr>
          <w:rFonts w:ascii="Arial" w:eastAsia="Arial" w:hAnsi="Arial" w:cs="Arial"/>
          <w:color w:val="002F3C"/>
          <w:lang w:val="en-US"/>
        </w:rPr>
        <w:t xml:space="preserve">. </w:t>
      </w:r>
      <w:r>
        <w:rPr>
          <w:rFonts w:ascii="Arial" w:eastAsia="Arial" w:hAnsi="Arial" w:cs="Arial"/>
          <w:color w:val="002F3C"/>
        </w:rPr>
        <w:t xml:space="preserve">3. ed. London: </w:t>
      </w:r>
      <w:proofErr w:type="spellStart"/>
      <w:r>
        <w:rPr>
          <w:rFonts w:ascii="Arial" w:eastAsia="Arial" w:hAnsi="Arial" w:cs="Arial"/>
          <w:color w:val="002F3C"/>
        </w:rPr>
        <w:t>Routledge</w:t>
      </w:r>
      <w:proofErr w:type="spellEnd"/>
      <w:r>
        <w:rPr>
          <w:rFonts w:ascii="Arial" w:eastAsia="Arial" w:hAnsi="Arial" w:cs="Arial"/>
          <w:color w:val="002F3C"/>
        </w:rPr>
        <w:t>, 2014.</w:t>
      </w:r>
    </w:p>
    <w:p w14:paraId="595A81E5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MONCAYO, </w:t>
      </w:r>
      <w:proofErr w:type="spellStart"/>
      <w:r>
        <w:rPr>
          <w:rFonts w:ascii="Arial" w:eastAsia="Arial" w:hAnsi="Arial" w:cs="Arial"/>
          <w:color w:val="002F3C"/>
        </w:rPr>
        <w:t>Luis</w:t>
      </w:r>
      <w:proofErr w:type="spellEnd"/>
      <w:r>
        <w:rPr>
          <w:rFonts w:ascii="Arial" w:eastAsia="Arial" w:hAnsi="Arial" w:cs="Arial"/>
          <w:color w:val="002F3C"/>
        </w:rPr>
        <w:t xml:space="preserve"> Fernando. </w:t>
      </w:r>
      <w:r>
        <w:rPr>
          <w:rFonts w:ascii="Arial" w:eastAsia="Arial" w:hAnsi="Arial" w:cs="Arial"/>
          <w:b/>
          <w:color w:val="002F3C"/>
        </w:rPr>
        <w:t>Inglês como ferramenta de empoderamento cultural</w:t>
      </w:r>
      <w:r>
        <w:rPr>
          <w:rFonts w:ascii="Arial" w:eastAsia="Arial" w:hAnsi="Arial" w:cs="Arial"/>
          <w:color w:val="002F3C"/>
        </w:rPr>
        <w:t>. Revista Letras, Bogotá, v. 33, n. 2, p. 45-62, 2021.</w:t>
      </w:r>
    </w:p>
    <w:p w14:paraId="00361299" w14:textId="77777777" w:rsidR="007500EB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SACHS, </w:t>
      </w:r>
      <w:proofErr w:type="spellStart"/>
      <w:r>
        <w:rPr>
          <w:rFonts w:ascii="Arial" w:eastAsia="Arial" w:hAnsi="Arial" w:cs="Arial"/>
          <w:color w:val="002F3C"/>
        </w:rPr>
        <w:t>Ignacy</w:t>
      </w:r>
      <w:proofErr w:type="spellEnd"/>
      <w:r>
        <w:rPr>
          <w:rFonts w:ascii="Arial" w:eastAsia="Arial" w:hAnsi="Arial" w:cs="Arial"/>
          <w:color w:val="002F3C"/>
        </w:rPr>
        <w:t xml:space="preserve">. </w:t>
      </w:r>
      <w:r>
        <w:rPr>
          <w:rFonts w:ascii="Arial" w:eastAsia="Arial" w:hAnsi="Arial" w:cs="Arial"/>
          <w:b/>
          <w:color w:val="002F3C"/>
        </w:rPr>
        <w:t>Caminhos para o desenvolvimento sustentável</w:t>
      </w:r>
      <w:r>
        <w:rPr>
          <w:rFonts w:ascii="Arial" w:eastAsia="Arial" w:hAnsi="Arial" w:cs="Arial"/>
          <w:color w:val="002F3C"/>
        </w:rPr>
        <w:t xml:space="preserve">. Rio de Janeiro: </w:t>
      </w:r>
      <w:proofErr w:type="spellStart"/>
      <w:r>
        <w:rPr>
          <w:rFonts w:ascii="Arial" w:eastAsia="Arial" w:hAnsi="Arial" w:cs="Arial"/>
          <w:color w:val="002F3C"/>
        </w:rPr>
        <w:t>Garamond</w:t>
      </w:r>
      <w:proofErr w:type="spellEnd"/>
      <w:r>
        <w:rPr>
          <w:rFonts w:ascii="Arial" w:eastAsia="Arial" w:hAnsi="Arial" w:cs="Arial"/>
          <w:color w:val="002F3C"/>
        </w:rPr>
        <w:t>, 2009.</w:t>
      </w:r>
    </w:p>
    <w:p w14:paraId="35743A58" w14:textId="77777777" w:rsidR="007500EB" w:rsidRDefault="007500EB">
      <w:pPr>
        <w:spacing w:after="0" w:line="360" w:lineRule="auto"/>
        <w:jc w:val="both"/>
        <w:rPr>
          <w:rFonts w:ascii="Arial" w:eastAsia="Arial" w:hAnsi="Arial" w:cs="Arial"/>
          <w:color w:val="002F3C"/>
          <w:sz w:val="28"/>
          <w:szCs w:val="28"/>
        </w:rPr>
      </w:pPr>
    </w:p>
    <w:p w14:paraId="46EF15BD" w14:textId="77777777" w:rsidR="007500EB" w:rsidRDefault="007500EB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sectPr w:rsidR="007500EB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A905" w14:textId="77777777" w:rsidR="00B9365B" w:rsidRDefault="00B9365B">
      <w:pPr>
        <w:spacing w:after="0" w:line="240" w:lineRule="auto"/>
      </w:pPr>
      <w:r>
        <w:separator/>
      </w:r>
    </w:p>
  </w:endnote>
  <w:endnote w:type="continuationSeparator" w:id="0">
    <w:p w14:paraId="44AB9269" w14:textId="77777777" w:rsidR="00B9365B" w:rsidRDefault="00B9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803C" w14:textId="77777777" w:rsidR="007500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8D05F11" wp14:editId="4CDBE5CB">
          <wp:simplePos x="0" y="0"/>
          <wp:positionH relativeFrom="column">
            <wp:posOffset>-1082671</wp:posOffset>
          </wp:positionH>
          <wp:positionV relativeFrom="paragraph">
            <wp:posOffset>-3945682</wp:posOffset>
          </wp:positionV>
          <wp:extent cx="7557831" cy="5150331"/>
          <wp:effectExtent l="0" t="0" r="0" b="0"/>
          <wp:wrapNone/>
          <wp:docPr id="61281538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B63626" w14:textId="77777777" w:rsidR="007500EB" w:rsidRDefault="007500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447F3B1" w14:textId="77777777" w:rsidR="007500EB" w:rsidRDefault="007500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75CCDBB" w14:textId="77777777" w:rsidR="007500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B0B75B0" wp14:editId="71AEABB7">
          <wp:simplePos x="0" y="0"/>
          <wp:positionH relativeFrom="column">
            <wp:posOffset>600075</wp:posOffset>
          </wp:positionH>
          <wp:positionV relativeFrom="paragraph">
            <wp:posOffset>25833181</wp:posOffset>
          </wp:positionV>
          <wp:extent cx="7626753" cy="5603132"/>
          <wp:effectExtent l="0" t="0" r="0" b="0"/>
          <wp:wrapNone/>
          <wp:docPr id="6128153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69" t="1" r="-168" b="48052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BD10" w14:textId="77777777" w:rsidR="00B9365B" w:rsidRDefault="00B9365B">
      <w:pPr>
        <w:spacing w:after="0" w:line="240" w:lineRule="auto"/>
      </w:pPr>
      <w:r>
        <w:separator/>
      </w:r>
    </w:p>
  </w:footnote>
  <w:footnote w:type="continuationSeparator" w:id="0">
    <w:p w14:paraId="431DEFA8" w14:textId="77777777" w:rsidR="00B9365B" w:rsidRDefault="00B9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21AC" w14:textId="12D7D343" w:rsidR="007500EB" w:rsidRDefault="009D50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CD07D17" wp14:editId="0D4BD13F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2B8AC" w14:textId="77777777" w:rsidR="007500EB" w:rsidRDefault="007500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5337B9F" w14:textId="77777777" w:rsidR="007500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F4ECB82" wp14:editId="1CE22287">
          <wp:simplePos x="0" y="0"/>
          <wp:positionH relativeFrom="column">
            <wp:posOffset>-1038224</wp:posOffset>
          </wp:positionH>
          <wp:positionV relativeFrom="paragraph">
            <wp:posOffset>1487214</wp:posOffset>
          </wp:positionV>
          <wp:extent cx="7626753" cy="5603132"/>
          <wp:effectExtent l="0" t="0" r="0" b="0"/>
          <wp:wrapNone/>
          <wp:docPr id="6128153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-8445" t="15018" r="8445" b="3303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5368E4" wp14:editId="5CEBB01E">
          <wp:simplePos x="0" y="0"/>
          <wp:positionH relativeFrom="column">
            <wp:posOffset>-1209674</wp:posOffset>
          </wp:positionH>
          <wp:positionV relativeFrom="paragraph">
            <wp:posOffset>329778</wp:posOffset>
          </wp:positionV>
          <wp:extent cx="7626753" cy="5603132"/>
          <wp:effectExtent l="0" t="0" r="0" b="0"/>
          <wp:wrapNone/>
          <wp:docPr id="612815386" name="image2.png" descr="Tela preta com letras brancas em fundo pre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la preta com letras brancas em fundo preto&#10;&#10;O conteúdo gerado por IA pode estar incorreto."/>
                  <pic:cNvPicPr preferRelativeResize="0"/>
                </pic:nvPicPr>
                <pic:blipFill>
                  <a:blip r:embed="rId4"/>
                  <a:srcRect l="1498" t="18788" r="-1498" b="29266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EB"/>
    <w:rsid w:val="005466DD"/>
    <w:rsid w:val="007500EB"/>
    <w:rsid w:val="009D50CC"/>
    <w:rsid w:val="00B9365B"/>
    <w:rsid w:val="00E0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9FA2C"/>
  <w15:docId w15:val="{B94901D3-6EAE-4490-A176-C89E28A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Owl3vj4+TOfrUWNojwk08d4UQ==">CgMxLjA4AHIhMUpseVdYeUQtUlFtMGVReF9oRUQ1RXRTQXhPQ0E3MGxB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Kezia Faba</cp:lastModifiedBy>
  <cp:revision>3</cp:revision>
  <dcterms:created xsi:type="dcterms:W3CDTF">2025-08-23T21:39:00Z</dcterms:created>
  <dcterms:modified xsi:type="dcterms:W3CDTF">2025-08-23T21:41:00Z</dcterms:modified>
</cp:coreProperties>
</file>