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98E21" w14:textId="77777777" w:rsidR="002817F8" w:rsidRDefault="000663FE">
      <w:pPr>
        <w:pStyle w:val="Normal1"/>
        <w:widowControl w:val="0"/>
        <w:spacing w:line="360" w:lineRule="auto"/>
        <w:ind w:right="-3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 POLÍTICA MIGRATÓRIA BRASILEIRA DIANTE DA PANDEMIA DO COVID-19: Uma análise a partir do pensamento de Giorgio Agamben</w:t>
      </w:r>
    </w:p>
    <w:p w14:paraId="3A9E821D" w14:textId="4C2F5D9A" w:rsidR="002817F8" w:rsidRDefault="161C0F66" w:rsidP="161C0F66">
      <w:pPr>
        <w:pStyle w:val="Normal1"/>
        <w:widowControl w:val="0"/>
        <w:spacing w:line="360" w:lineRule="auto"/>
        <w:ind w:right="-330"/>
        <w:rPr>
          <w:rFonts w:ascii="Times New Roman" w:eastAsia="Times New Roman" w:hAnsi="Times New Roman" w:cs="Times New Roman"/>
          <w:sz w:val="24"/>
          <w:szCs w:val="24"/>
        </w:rPr>
      </w:pPr>
      <w:r w:rsidRPr="161C0F66">
        <w:rPr>
          <w:rFonts w:ascii="Times New Roman" w:eastAsia="Times New Roman" w:hAnsi="Times New Roman" w:cs="Times New Roman"/>
          <w:sz w:val="24"/>
          <w:szCs w:val="24"/>
        </w:rPr>
        <w:t>Biopolítica, Migração, Direitos Humanos</w:t>
      </w:r>
    </w:p>
    <w:p w14:paraId="00C41E48" w14:textId="45B8C13B" w:rsidR="002817F8" w:rsidRDefault="161C0F66">
      <w:pPr>
        <w:pStyle w:val="Normal1"/>
        <w:widowControl w:val="0"/>
        <w:spacing w:before="200" w:line="360" w:lineRule="auto"/>
        <w:ind w:right="-330" w:firstLine="720"/>
        <w:jc w:val="both"/>
        <w:rPr>
          <w:rFonts w:ascii="Times New Roman" w:eastAsia="Times New Roman" w:hAnsi="Times New Roman" w:cs="Times New Roman"/>
          <w:color w:val="222222"/>
          <w:sz w:val="24"/>
          <w:szCs w:val="24"/>
          <w:highlight w:val="white"/>
        </w:rPr>
      </w:pPr>
      <w:r w:rsidRPr="161C0F66">
        <w:rPr>
          <w:rFonts w:ascii="Times New Roman" w:eastAsia="Times New Roman" w:hAnsi="Times New Roman" w:cs="Times New Roman"/>
          <w:sz w:val="24"/>
          <w:szCs w:val="24"/>
        </w:rPr>
        <w:t xml:space="preserve">Segundo relatórios mensais do Observatório das Migrações internacionais (OBMigra), publicados no site do Ministério da Justiça e da Segurança Pública (MJSP), </w:t>
      </w:r>
      <w:r w:rsidRPr="161C0F66">
        <w:rPr>
          <w:rFonts w:ascii="Times New Roman" w:eastAsia="Times New Roman" w:hAnsi="Times New Roman" w:cs="Times New Roman"/>
          <w:color w:val="222222"/>
          <w:sz w:val="24"/>
          <w:szCs w:val="24"/>
          <w:highlight w:val="white"/>
        </w:rPr>
        <w:t xml:space="preserve">foram quase 27.000 (vinte sete mil) solicitações de refúgio durante o período de janeiro a julho de 2020. Analisando os mesmos documentos, após a publicação dos atos normativos que versam sobre a política migratória, ocorreu um decaimento vertiginoso entre o espaço de março e abril, naquele mês foram 5.771 (cinco mil, setecentos e setenta e uma) solicitações e passou no mês seguinte ao número de apenas 609 (seiscentos e nove), diminuição essa que perdurou nos meses seguintes. </w:t>
      </w:r>
    </w:p>
    <w:p w14:paraId="6226208E" w14:textId="1CFA5FBF" w:rsidR="002817F8" w:rsidRDefault="161C0F66">
      <w:pPr>
        <w:pStyle w:val="Normal1"/>
        <w:widowControl w:val="0"/>
        <w:spacing w:before="200" w:line="360" w:lineRule="auto"/>
        <w:ind w:right="-330" w:firstLine="720"/>
        <w:jc w:val="both"/>
        <w:rPr>
          <w:rFonts w:ascii="Times New Roman" w:eastAsia="Times New Roman" w:hAnsi="Times New Roman" w:cs="Times New Roman"/>
          <w:sz w:val="24"/>
          <w:szCs w:val="24"/>
        </w:rPr>
      </w:pPr>
      <w:r w:rsidRPr="161C0F66">
        <w:rPr>
          <w:rFonts w:ascii="Times New Roman" w:eastAsia="Times New Roman" w:hAnsi="Times New Roman" w:cs="Times New Roman"/>
          <w:sz w:val="24"/>
          <w:szCs w:val="24"/>
        </w:rPr>
        <w:t xml:space="preserve">Nesse contexto, é </w:t>
      </w:r>
      <w:r w:rsidRPr="161C0F66">
        <w:rPr>
          <w:rFonts w:ascii="Times New Roman" w:eastAsia="Times New Roman" w:hAnsi="Times New Roman" w:cs="Times New Roman"/>
          <w:color w:val="222222"/>
          <w:sz w:val="24"/>
          <w:szCs w:val="24"/>
          <w:highlight w:val="white"/>
        </w:rPr>
        <w:t xml:space="preserve">importante destacar que </w:t>
      </w:r>
      <w:r w:rsidRPr="161C0F66">
        <w:rPr>
          <w:rFonts w:ascii="Times New Roman" w:eastAsia="Times New Roman" w:hAnsi="Times New Roman" w:cs="Times New Roman"/>
          <w:color w:val="222222"/>
          <w:sz w:val="24"/>
          <w:szCs w:val="24"/>
        </w:rPr>
        <w:t xml:space="preserve">o Estado Brasileiro, ao editar atos normativos que veiculam a política migratória durante a pandemia do Covid-19, adotou um comportamento agressivo contra os imigrantes, notadamente aos vulneráveis, ao tomar medidas como o fechamento das fronteiras para solicitantes de refúgio e a promessa de deportação imediata. Tudo isso, sob o argumento de proteção sanitária, o que infringe substancialmente os direitos humanos de imigrantes que tentaram ingressar no país. Dessa forma, </w:t>
      </w:r>
      <w:r w:rsidRPr="161C0F66">
        <w:rPr>
          <w:rFonts w:ascii="Times New Roman" w:eastAsia="Times New Roman" w:hAnsi="Times New Roman" w:cs="Times New Roman"/>
          <w:sz w:val="24"/>
          <w:szCs w:val="24"/>
        </w:rPr>
        <w:t>a “vida natural” transformou-se em objeto de mecanismo de poder do Estado, definindo as vidas “dignas” e” indignas” de serem protegidas (AGAMBEN, 2004, p.143-150).</w:t>
      </w:r>
    </w:p>
    <w:p w14:paraId="003AB383" w14:textId="77777777" w:rsidR="002817F8" w:rsidRDefault="000663FE">
      <w:pPr>
        <w:pStyle w:val="Normal1"/>
        <w:widowControl w:val="0"/>
        <w:spacing w:before="200" w:line="360" w:lineRule="auto"/>
        <w:ind w:right="-330" w:firstLine="720"/>
        <w:jc w:val="both"/>
        <w:rPr>
          <w:rFonts w:ascii="Times New Roman" w:eastAsia="Times New Roman" w:hAnsi="Times New Roman" w:cs="Times New Roman"/>
          <w:b/>
          <w:color w:val="222222"/>
          <w:sz w:val="24"/>
          <w:szCs w:val="24"/>
        </w:rPr>
      </w:pPr>
      <w:r>
        <w:rPr>
          <w:rFonts w:ascii="Times New Roman" w:eastAsia="Times New Roman" w:hAnsi="Times New Roman" w:cs="Times New Roman"/>
          <w:sz w:val="24"/>
          <w:szCs w:val="24"/>
        </w:rPr>
        <w:t xml:space="preserve">Nesse cenário, </w:t>
      </w:r>
      <w:r>
        <w:rPr>
          <w:rFonts w:ascii="Times New Roman" w:eastAsia="Times New Roman" w:hAnsi="Times New Roman" w:cs="Times New Roman"/>
          <w:color w:val="222222"/>
          <w:sz w:val="24"/>
          <w:szCs w:val="24"/>
        </w:rPr>
        <w:t>surge a seguinte problemática:</w:t>
      </w:r>
      <w:r>
        <w:rPr>
          <w:rFonts w:ascii="Times New Roman" w:eastAsia="Times New Roman" w:hAnsi="Times New Roman" w:cs="Times New Roman"/>
          <w:b/>
          <w:color w:val="222222"/>
          <w:sz w:val="24"/>
          <w:szCs w:val="24"/>
        </w:rPr>
        <w:t xml:space="preserve"> </w:t>
      </w:r>
      <w:r w:rsidR="005263A5">
        <w:rPr>
          <w:rFonts w:ascii="Times New Roman" w:eastAsia="Times New Roman" w:hAnsi="Times New Roman" w:cs="Times New Roman"/>
          <w:color w:val="222222"/>
          <w:sz w:val="24"/>
          <w:szCs w:val="24"/>
        </w:rPr>
        <w:t>A p</w:t>
      </w:r>
      <w:r>
        <w:rPr>
          <w:rFonts w:ascii="Times New Roman" w:eastAsia="Times New Roman" w:hAnsi="Times New Roman" w:cs="Times New Roman"/>
          <w:color w:val="222222"/>
          <w:sz w:val="24"/>
          <w:szCs w:val="24"/>
        </w:rPr>
        <w:t>olítica migratória brasileira, adotada especificamente para o período da crise sanitária decorrente da pandemia do Covid-19, pode ser considerada, de acordo com o pensamento de Giorgio Agamben, uma biopolítica?</w:t>
      </w:r>
      <w:r>
        <w:rPr>
          <w:rFonts w:ascii="Times New Roman" w:eastAsia="Times New Roman" w:hAnsi="Times New Roman" w:cs="Times New Roman"/>
          <w:b/>
          <w:color w:val="222222"/>
          <w:sz w:val="24"/>
          <w:szCs w:val="24"/>
        </w:rPr>
        <w:t xml:space="preserve"> </w:t>
      </w:r>
    </w:p>
    <w:p w14:paraId="06C2720E" w14:textId="77777777" w:rsidR="005263A5" w:rsidRDefault="1D2FB1EA" w:rsidP="4EDC6F34">
      <w:pPr>
        <w:pStyle w:val="Normal1"/>
        <w:widowControl w:val="0"/>
        <w:spacing w:before="200" w:line="360" w:lineRule="auto"/>
        <w:ind w:right="-330" w:firstLine="720"/>
        <w:jc w:val="both"/>
        <w:rPr>
          <w:rFonts w:ascii="Times New Roman" w:eastAsia="Times New Roman" w:hAnsi="Times New Roman" w:cs="Times New Roman"/>
          <w:sz w:val="24"/>
          <w:szCs w:val="24"/>
        </w:rPr>
      </w:pPr>
      <w:r w:rsidRPr="1D2FB1EA">
        <w:rPr>
          <w:rFonts w:ascii="Times New Roman" w:eastAsia="Times New Roman" w:hAnsi="Times New Roman" w:cs="Times New Roman"/>
          <w:color w:val="222222"/>
          <w:sz w:val="24"/>
          <w:szCs w:val="24"/>
        </w:rPr>
        <w:t>É nessa linha de raciocínio que a presente pesquisa busca compreender o modelo de estatização do biológico</w:t>
      </w:r>
      <w:r w:rsidR="002D50C3">
        <w:rPr>
          <w:rFonts w:ascii="Times New Roman" w:eastAsia="Times New Roman" w:hAnsi="Times New Roman" w:cs="Times New Roman"/>
          <w:color w:val="222222"/>
          <w:sz w:val="24"/>
          <w:szCs w:val="24"/>
        </w:rPr>
        <w:t>,</w:t>
      </w:r>
      <w:r w:rsidRPr="1D2FB1EA">
        <w:rPr>
          <w:rFonts w:ascii="Times New Roman" w:eastAsia="Times New Roman" w:hAnsi="Times New Roman" w:cs="Times New Roman"/>
          <w:color w:val="222222"/>
          <w:sz w:val="24"/>
          <w:szCs w:val="24"/>
        </w:rPr>
        <w:t xml:space="preserve"> exposto por Giorgio Agamben. Desse modo, foi utilizado como fundamentação d</w:t>
      </w:r>
      <w:r w:rsidRPr="1D2FB1EA">
        <w:rPr>
          <w:rFonts w:ascii="Times New Roman" w:eastAsia="Times New Roman" w:hAnsi="Times New Roman" w:cs="Times New Roman"/>
          <w:sz w:val="24"/>
          <w:szCs w:val="24"/>
        </w:rPr>
        <w:t>esse estudo notadamente as ideias presentes no seu livro “</w:t>
      </w:r>
      <w:hyperlink r:id="rId7">
        <w:r w:rsidRPr="1D2FB1EA">
          <w:rPr>
            <w:rFonts w:ascii="Times New Roman" w:eastAsia="Times New Roman" w:hAnsi="Times New Roman" w:cs="Times New Roman"/>
            <w:sz w:val="24"/>
            <w:szCs w:val="24"/>
          </w:rPr>
          <w:t>Homo Sacer, o poder soberano e a vida nua</w:t>
        </w:r>
      </w:hyperlink>
      <w:r w:rsidRPr="1D2FB1EA">
        <w:rPr>
          <w:rFonts w:ascii="Times New Roman" w:eastAsia="Times New Roman" w:hAnsi="Times New Roman" w:cs="Times New Roman"/>
          <w:sz w:val="24"/>
          <w:szCs w:val="24"/>
        </w:rPr>
        <w:t xml:space="preserve">” e em artigos como “Estado de exceção e estado de emergência” e “O estado de exceção se tornou norma”. Além disso, para facilitar a compreensão do pensamento do filósofo, toma-se por base as doutrinas de autores como Marcus César Alvarez, Fernando Hoffmam, Juciélle Flores Marques e Guilherme de Andrade Campos Abbdala, que desenvolveram as ideias de Agamben. </w:t>
      </w:r>
    </w:p>
    <w:p w14:paraId="712942D8" w14:textId="77777777" w:rsidR="005263A5" w:rsidRDefault="1D2FB1EA" w:rsidP="1D2FB1EA">
      <w:pPr>
        <w:pStyle w:val="Normal1"/>
        <w:widowControl w:val="0"/>
        <w:spacing w:before="200" w:line="360" w:lineRule="auto"/>
        <w:ind w:right="-330" w:firstLine="720"/>
        <w:jc w:val="both"/>
        <w:rPr>
          <w:rFonts w:ascii="Times New Roman" w:eastAsia="Times New Roman" w:hAnsi="Times New Roman" w:cs="Times New Roman"/>
          <w:sz w:val="24"/>
          <w:szCs w:val="24"/>
        </w:rPr>
      </w:pPr>
      <w:r w:rsidRPr="1D2FB1EA">
        <w:rPr>
          <w:rFonts w:ascii="Times New Roman" w:eastAsia="Times New Roman" w:hAnsi="Times New Roman" w:cs="Times New Roman"/>
          <w:sz w:val="24"/>
          <w:szCs w:val="24"/>
        </w:rPr>
        <w:t xml:space="preserve">A priori, é necessário entender o conceito de Biopolítica abordado pelo filósofo Giorgio </w:t>
      </w:r>
      <w:r w:rsidRPr="1D2FB1EA">
        <w:rPr>
          <w:rFonts w:ascii="Times New Roman" w:eastAsia="Times New Roman" w:hAnsi="Times New Roman" w:cs="Times New Roman"/>
          <w:sz w:val="24"/>
          <w:szCs w:val="24"/>
        </w:rPr>
        <w:lastRenderedPageBreak/>
        <w:t>Agamben</w:t>
      </w:r>
      <w:r w:rsidR="002D50C3">
        <w:rPr>
          <w:rFonts w:ascii="Times New Roman" w:eastAsia="Times New Roman" w:hAnsi="Times New Roman" w:cs="Times New Roman"/>
          <w:sz w:val="24"/>
          <w:szCs w:val="24"/>
        </w:rPr>
        <w:t>. P</w:t>
      </w:r>
      <w:r w:rsidRPr="1D2FB1EA">
        <w:rPr>
          <w:rFonts w:ascii="Times New Roman" w:eastAsia="Times New Roman" w:hAnsi="Times New Roman" w:cs="Times New Roman"/>
          <w:sz w:val="24"/>
          <w:szCs w:val="24"/>
        </w:rPr>
        <w:t>ara tanto, deve</w:t>
      </w:r>
      <w:r w:rsidR="002D50C3">
        <w:rPr>
          <w:rFonts w:ascii="Times New Roman" w:eastAsia="Times New Roman" w:hAnsi="Times New Roman" w:cs="Times New Roman"/>
          <w:sz w:val="24"/>
          <w:szCs w:val="24"/>
        </w:rPr>
        <w:t>-se</w:t>
      </w:r>
      <w:r w:rsidRPr="1D2FB1EA">
        <w:rPr>
          <w:rFonts w:ascii="Times New Roman" w:eastAsia="Times New Roman" w:hAnsi="Times New Roman" w:cs="Times New Roman"/>
          <w:sz w:val="24"/>
          <w:szCs w:val="24"/>
        </w:rPr>
        <w:t xml:space="preserve"> </w:t>
      </w:r>
      <w:r w:rsidR="002D50C3">
        <w:rPr>
          <w:rFonts w:ascii="Times New Roman" w:eastAsia="Times New Roman" w:hAnsi="Times New Roman" w:cs="Times New Roman"/>
          <w:sz w:val="24"/>
          <w:szCs w:val="24"/>
        </w:rPr>
        <w:t>identificar</w:t>
      </w:r>
      <w:r w:rsidRPr="1D2FB1EA">
        <w:rPr>
          <w:rFonts w:ascii="Times New Roman" w:eastAsia="Times New Roman" w:hAnsi="Times New Roman" w:cs="Times New Roman"/>
          <w:sz w:val="24"/>
          <w:szCs w:val="24"/>
        </w:rPr>
        <w:t xml:space="preserve"> os elementos qualificadores que o compõe. </w:t>
      </w:r>
      <w:r w:rsidR="002D50C3">
        <w:rPr>
          <w:rFonts w:ascii="Times New Roman" w:eastAsia="Times New Roman" w:hAnsi="Times New Roman" w:cs="Times New Roman"/>
          <w:sz w:val="24"/>
          <w:szCs w:val="24"/>
        </w:rPr>
        <w:t xml:space="preserve">Com efeito, </w:t>
      </w:r>
      <w:r w:rsidRPr="1D2FB1EA">
        <w:rPr>
          <w:rFonts w:ascii="Times New Roman" w:eastAsia="Times New Roman" w:hAnsi="Times New Roman" w:cs="Times New Roman"/>
          <w:sz w:val="24"/>
          <w:szCs w:val="24"/>
        </w:rPr>
        <w:t xml:space="preserve">na civilização grega, a </w:t>
      </w:r>
      <w:r w:rsidRPr="1D2FB1EA">
        <w:rPr>
          <w:rFonts w:ascii="Times New Roman" w:eastAsia="Times New Roman" w:hAnsi="Times New Roman" w:cs="Times New Roman"/>
          <w:i/>
          <w:iCs/>
          <w:sz w:val="24"/>
          <w:szCs w:val="24"/>
        </w:rPr>
        <w:t>zóe</w:t>
      </w:r>
      <w:r w:rsidRPr="1D2FB1EA">
        <w:rPr>
          <w:rFonts w:ascii="Times New Roman" w:eastAsia="Times New Roman" w:hAnsi="Times New Roman" w:cs="Times New Roman"/>
          <w:sz w:val="24"/>
          <w:szCs w:val="24"/>
        </w:rPr>
        <w:t xml:space="preserve">, isto é, o simples fato de viver era excluído da polis, entretanto, a </w:t>
      </w:r>
      <w:r w:rsidRPr="1D2FB1EA">
        <w:rPr>
          <w:rFonts w:ascii="Times New Roman" w:eastAsia="Times New Roman" w:hAnsi="Times New Roman" w:cs="Times New Roman"/>
          <w:i/>
          <w:iCs/>
          <w:sz w:val="24"/>
          <w:szCs w:val="24"/>
        </w:rPr>
        <w:t>bíos</w:t>
      </w:r>
      <w:r w:rsidRPr="1D2FB1EA">
        <w:rPr>
          <w:rFonts w:ascii="Times New Roman" w:eastAsia="Times New Roman" w:hAnsi="Times New Roman" w:cs="Times New Roman"/>
          <w:sz w:val="24"/>
          <w:szCs w:val="24"/>
        </w:rPr>
        <w:t xml:space="preserve">, que se refere a forma de viver de um indivíduo, se insere na política. No entanto, posteriormente o filósofo trabalhado concorda com Foucault quando este escreve que durante a </w:t>
      </w:r>
      <w:r w:rsidR="002D50C3">
        <w:rPr>
          <w:rFonts w:ascii="Times New Roman" w:eastAsia="Times New Roman" w:hAnsi="Times New Roman" w:cs="Times New Roman"/>
          <w:sz w:val="24"/>
          <w:szCs w:val="24"/>
        </w:rPr>
        <w:t>I</w:t>
      </w:r>
      <w:r w:rsidRPr="1D2FB1EA">
        <w:rPr>
          <w:rFonts w:ascii="Times New Roman" w:eastAsia="Times New Roman" w:hAnsi="Times New Roman" w:cs="Times New Roman"/>
          <w:sz w:val="24"/>
          <w:szCs w:val="24"/>
        </w:rPr>
        <w:t xml:space="preserve">dade </w:t>
      </w:r>
      <w:r w:rsidR="002D50C3">
        <w:rPr>
          <w:rFonts w:ascii="Times New Roman" w:eastAsia="Times New Roman" w:hAnsi="Times New Roman" w:cs="Times New Roman"/>
          <w:sz w:val="24"/>
          <w:szCs w:val="24"/>
        </w:rPr>
        <w:t>M</w:t>
      </w:r>
      <w:r w:rsidRPr="1D2FB1EA">
        <w:rPr>
          <w:rFonts w:ascii="Times New Roman" w:eastAsia="Times New Roman" w:hAnsi="Times New Roman" w:cs="Times New Roman"/>
          <w:sz w:val="24"/>
          <w:szCs w:val="24"/>
        </w:rPr>
        <w:t>oderna, a vida natural passa a ser incluída nos mecanismos do poder do Estado, e assim, a política transforma</w:t>
      </w:r>
      <w:r w:rsidR="002D50C3">
        <w:rPr>
          <w:rFonts w:ascii="Times New Roman" w:eastAsia="Times New Roman" w:hAnsi="Times New Roman" w:cs="Times New Roman"/>
          <w:sz w:val="24"/>
          <w:szCs w:val="24"/>
        </w:rPr>
        <w:t>-se</w:t>
      </w:r>
      <w:r w:rsidRPr="1D2FB1EA">
        <w:rPr>
          <w:rFonts w:ascii="Times New Roman" w:eastAsia="Times New Roman" w:hAnsi="Times New Roman" w:cs="Times New Roman"/>
          <w:sz w:val="24"/>
          <w:szCs w:val="24"/>
        </w:rPr>
        <w:t xml:space="preserve"> em biopolítica. A partir daí, a vida biológica e a saúde do povo viraram um problema do poder soberano (AGAMBEN, 2004, p. 10-11)</w:t>
      </w:r>
      <w:r w:rsidR="002D50C3">
        <w:rPr>
          <w:rFonts w:ascii="Times New Roman" w:eastAsia="Times New Roman" w:hAnsi="Times New Roman" w:cs="Times New Roman"/>
          <w:sz w:val="24"/>
          <w:szCs w:val="24"/>
        </w:rPr>
        <w:t>.</w:t>
      </w:r>
    </w:p>
    <w:p w14:paraId="0A237D8C" w14:textId="77777777" w:rsidR="002817F8" w:rsidRDefault="1D2FB1EA" w:rsidP="1D2FB1EA">
      <w:pPr>
        <w:pStyle w:val="Normal1"/>
        <w:widowControl w:val="0"/>
        <w:spacing w:before="200" w:line="360" w:lineRule="auto"/>
        <w:ind w:right="-330" w:firstLine="720"/>
        <w:jc w:val="both"/>
        <w:rPr>
          <w:rFonts w:ascii="Times New Roman" w:eastAsia="Times New Roman" w:hAnsi="Times New Roman" w:cs="Times New Roman"/>
          <w:sz w:val="24"/>
          <w:szCs w:val="24"/>
        </w:rPr>
      </w:pPr>
      <w:r w:rsidRPr="1D2FB1EA">
        <w:rPr>
          <w:rFonts w:ascii="Times New Roman" w:eastAsia="Times New Roman" w:hAnsi="Times New Roman" w:cs="Times New Roman"/>
          <w:sz w:val="24"/>
          <w:szCs w:val="24"/>
        </w:rPr>
        <w:t xml:space="preserve">O elemento principal da biopolítica, a vida nua, não é nem </w:t>
      </w:r>
      <w:r w:rsidRPr="1D2FB1EA">
        <w:rPr>
          <w:rFonts w:ascii="Times New Roman" w:eastAsia="Times New Roman" w:hAnsi="Times New Roman" w:cs="Times New Roman"/>
          <w:i/>
          <w:iCs/>
          <w:sz w:val="24"/>
          <w:szCs w:val="24"/>
        </w:rPr>
        <w:t>zóe</w:t>
      </w:r>
      <w:r w:rsidRPr="1D2FB1EA">
        <w:rPr>
          <w:rFonts w:ascii="Times New Roman" w:eastAsia="Times New Roman" w:hAnsi="Times New Roman" w:cs="Times New Roman"/>
          <w:sz w:val="24"/>
          <w:szCs w:val="24"/>
        </w:rPr>
        <w:t xml:space="preserve"> e muito menos </w:t>
      </w:r>
      <w:r w:rsidRPr="1D2FB1EA">
        <w:rPr>
          <w:rFonts w:ascii="Times New Roman" w:eastAsia="Times New Roman" w:hAnsi="Times New Roman" w:cs="Times New Roman"/>
          <w:i/>
          <w:iCs/>
          <w:sz w:val="24"/>
          <w:szCs w:val="24"/>
        </w:rPr>
        <w:t>bíos</w:t>
      </w:r>
      <w:r w:rsidRPr="1D2FB1EA">
        <w:rPr>
          <w:rFonts w:ascii="Times New Roman" w:eastAsia="Times New Roman" w:hAnsi="Times New Roman" w:cs="Times New Roman"/>
          <w:sz w:val="24"/>
          <w:szCs w:val="24"/>
        </w:rPr>
        <w:t>, é a vida natural de um indivíduo agregada por um poder soberano destituída de direitos e destinado a segregação. A partir da vida nua, surge o que Agamben chama de “Fronteiras Imperiais”, são ind</w:t>
      </w:r>
      <w:r w:rsidR="002D50C3">
        <w:rPr>
          <w:rFonts w:ascii="Times New Roman" w:eastAsia="Times New Roman" w:hAnsi="Times New Roman" w:cs="Times New Roman"/>
          <w:sz w:val="24"/>
          <w:szCs w:val="24"/>
        </w:rPr>
        <w:t>ivíduos considerados indigentes. Nesse contexto, são</w:t>
      </w:r>
      <w:r w:rsidRPr="1D2FB1EA">
        <w:rPr>
          <w:rFonts w:ascii="Times New Roman" w:eastAsia="Times New Roman" w:hAnsi="Times New Roman" w:cs="Times New Roman"/>
          <w:sz w:val="24"/>
          <w:szCs w:val="24"/>
        </w:rPr>
        <w:t xml:space="preserve"> exemplo</w:t>
      </w:r>
      <w:r w:rsidR="0072345E">
        <w:rPr>
          <w:rFonts w:ascii="Times New Roman" w:eastAsia="Times New Roman" w:hAnsi="Times New Roman" w:cs="Times New Roman"/>
          <w:sz w:val="24"/>
          <w:szCs w:val="24"/>
        </w:rPr>
        <w:t>s</w:t>
      </w:r>
      <w:r w:rsidRPr="1D2FB1EA">
        <w:rPr>
          <w:rFonts w:ascii="Times New Roman" w:eastAsia="Times New Roman" w:hAnsi="Times New Roman" w:cs="Times New Roman"/>
          <w:sz w:val="24"/>
          <w:szCs w:val="24"/>
        </w:rPr>
        <w:t xml:space="preserve"> os imigrantes </w:t>
      </w:r>
      <w:r w:rsidR="0072345E">
        <w:rPr>
          <w:rFonts w:ascii="Times New Roman" w:eastAsia="Times New Roman" w:hAnsi="Times New Roman" w:cs="Times New Roman"/>
          <w:sz w:val="24"/>
          <w:szCs w:val="24"/>
        </w:rPr>
        <w:t>indocumentados</w:t>
      </w:r>
      <w:r w:rsidRPr="1D2FB1EA">
        <w:rPr>
          <w:rFonts w:ascii="Times New Roman" w:eastAsia="Times New Roman" w:hAnsi="Times New Roman" w:cs="Times New Roman"/>
          <w:sz w:val="24"/>
          <w:szCs w:val="24"/>
        </w:rPr>
        <w:t xml:space="preserve"> e os refugiados em geral. </w:t>
      </w:r>
      <w:r w:rsidR="0072345E">
        <w:rPr>
          <w:rFonts w:ascii="Times New Roman" w:eastAsia="Times New Roman" w:hAnsi="Times New Roman" w:cs="Times New Roman"/>
          <w:sz w:val="24"/>
          <w:szCs w:val="24"/>
        </w:rPr>
        <w:t>Tais</w:t>
      </w:r>
      <w:r w:rsidRPr="1D2FB1EA">
        <w:rPr>
          <w:rFonts w:ascii="Times New Roman" w:eastAsia="Times New Roman" w:hAnsi="Times New Roman" w:cs="Times New Roman"/>
          <w:sz w:val="24"/>
          <w:szCs w:val="24"/>
        </w:rPr>
        <w:t xml:space="preserve"> pessoas encontram-se em uma relação de bando-abandono, uma vez que mesmo abandonado o indivíduo estaria ligado ao bando por </w:t>
      </w:r>
      <w:r w:rsidR="0072345E">
        <w:rPr>
          <w:rFonts w:ascii="Times New Roman" w:eastAsia="Times New Roman" w:hAnsi="Times New Roman" w:cs="Times New Roman"/>
          <w:sz w:val="24"/>
          <w:szCs w:val="24"/>
        </w:rPr>
        <w:t>estar a mercê de quem o excluiu. Sem embargo,</w:t>
      </w:r>
      <w:r w:rsidRPr="1D2FB1EA">
        <w:rPr>
          <w:rFonts w:ascii="Times New Roman" w:eastAsia="Times New Roman" w:hAnsi="Times New Roman" w:cs="Times New Roman"/>
          <w:sz w:val="24"/>
          <w:szCs w:val="24"/>
        </w:rPr>
        <w:t xml:space="preserve"> </w:t>
      </w:r>
      <w:r w:rsidR="0072345E">
        <w:rPr>
          <w:rFonts w:ascii="Times New Roman" w:eastAsia="Times New Roman" w:hAnsi="Times New Roman" w:cs="Times New Roman"/>
          <w:sz w:val="24"/>
          <w:szCs w:val="24"/>
        </w:rPr>
        <w:t>Agamben</w:t>
      </w:r>
      <w:r w:rsidRPr="1D2FB1EA">
        <w:rPr>
          <w:rFonts w:ascii="Times New Roman" w:eastAsia="Times New Roman" w:hAnsi="Times New Roman" w:cs="Times New Roman"/>
          <w:sz w:val="24"/>
          <w:szCs w:val="24"/>
        </w:rPr>
        <w:t xml:space="preserve"> afirma que o abandonado jamais será totalmente livre, e simultaneamente, não irá pertencer a nenhum lugar, logo, em uma zona de indeterminação. (CARAVIERI, 2016 , p. 198).</w:t>
      </w:r>
    </w:p>
    <w:p w14:paraId="48019EE1" w14:textId="77777777" w:rsidR="002817F8" w:rsidRDefault="0072345E" w:rsidP="1D2FB1EA">
      <w:pPr>
        <w:pStyle w:val="Normal1"/>
        <w:widowControl w:val="0"/>
        <w:spacing w:before="200" w:line="360" w:lineRule="auto"/>
        <w:ind w:right="-33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mesma linha de pensamento, a</w:t>
      </w:r>
      <w:r w:rsidR="1D2FB1EA" w:rsidRPr="1D2FB1EA">
        <w:rPr>
          <w:rFonts w:ascii="Times New Roman" w:eastAsia="Times New Roman" w:hAnsi="Times New Roman" w:cs="Times New Roman"/>
          <w:sz w:val="24"/>
          <w:szCs w:val="24"/>
        </w:rPr>
        <w:t>o tratar do Estado de exceção, Rosa e Martin (2017, p. 47) afirma</w:t>
      </w:r>
      <w:r>
        <w:rPr>
          <w:rFonts w:ascii="Times New Roman" w:eastAsia="Times New Roman" w:hAnsi="Times New Roman" w:cs="Times New Roman"/>
          <w:sz w:val="24"/>
          <w:szCs w:val="24"/>
        </w:rPr>
        <w:t>m</w:t>
      </w:r>
      <w:r w:rsidR="1D2FB1EA" w:rsidRPr="1D2FB1EA">
        <w:rPr>
          <w:rFonts w:ascii="Times New Roman" w:eastAsia="Times New Roman" w:hAnsi="Times New Roman" w:cs="Times New Roman"/>
          <w:sz w:val="24"/>
          <w:szCs w:val="24"/>
        </w:rPr>
        <w:t xml:space="preserve"> que o filósofo entende este como um dispositivo de controle biopol</w:t>
      </w:r>
      <w:r>
        <w:rPr>
          <w:rFonts w:ascii="Times New Roman" w:eastAsia="Times New Roman" w:hAnsi="Times New Roman" w:cs="Times New Roman"/>
          <w:sz w:val="24"/>
          <w:szCs w:val="24"/>
        </w:rPr>
        <w:t>ítico utilizado como ferramenta</w:t>
      </w:r>
      <w:r w:rsidR="1D2FB1EA" w:rsidRPr="1D2FB1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w:t>
      </w:r>
      <w:r w:rsidR="1D2FB1EA" w:rsidRPr="1D2FB1EA">
        <w:rPr>
          <w:rFonts w:ascii="Times New Roman" w:eastAsia="Times New Roman" w:hAnsi="Times New Roman" w:cs="Times New Roman"/>
          <w:sz w:val="24"/>
          <w:szCs w:val="24"/>
        </w:rPr>
        <w:t xml:space="preserve">exclusão de corpos estranhos durante um período de emergência, possuindo o Estado a </w:t>
      </w:r>
      <w:r w:rsidR="1D2FB1EA" w:rsidRPr="1D2FB1EA">
        <w:rPr>
          <w:rFonts w:ascii="Times New Roman" w:eastAsia="Times New Roman" w:hAnsi="Times New Roman" w:cs="Times New Roman"/>
          <w:i/>
          <w:iCs/>
          <w:sz w:val="24"/>
          <w:szCs w:val="24"/>
        </w:rPr>
        <w:t>ultima ratio</w:t>
      </w:r>
      <w:r w:rsidR="1D2FB1EA" w:rsidRPr="1D2FB1EA">
        <w:rPr>
          <w:rFonts w:ascii="Times New Roman" w:eastAsia="Times New Roman" w:hAnsi="Times New Roman" w:cs="Times New Roman"/>
          <w:sz w:val="24"/>
          <w:szCs w:val="24"/>
        </w:rPr>
        <w:t xml:space="preserve"> para decidir a área de proteção jurídica das pessoas. </w:t>
      </w:r>
    </w:p>
    <w:p w14:paraId="0E67C323" w14:textId="77777777" w:rsidR="002817F8" w:rsidRDefault="0072345E" w:rsidP="1D2FB1EA">
      <w:pPr>
        <w:pStyle w:val="Normal1"/>
        <w:widowControl w:val="0"/>
        <w:spacing w:before="200" w:line="360" w:lineRule="auto"/>
        <w:ind w:right="-33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a</w:t>
      </w:r>
      <w:r w:rsidR="1D2FB1EA" w:rsidRPr="1D2FB1EA">
        <w:rPr>
          <w:rFonts w:ascii="Times New Roman" w:eastAsia="Times New Roman" w:hAnsi="Times New Roman" w:cs="Times New Roman"/>
          <w:sz w:val="24"/>
          <w:szCs w:val="24"/>
        </w:rPr>
        <w:t xml:space="preserve"> constante redefinição de vida pelo Estado, deve</w:t>
      </w:r>
      <w:r>
        <w:rPr>
          <w:rFonts w:ascii="Times New Roman" w:eastAsia="Times New Roman" w:hAnsi="Times New Roman" w:cs="Times New Roman"/>
          <w:sz w:val="24"/>
          <w:szCs w:val="24"/>
        </w:rPr>
        <w:t>-se</w:t>
      </w:r>
      <w:r w:rsidR="1D2FB1EA" w:rsidRPr="1D2FB1EA">
        <w:rPr>
          <w:rFonts w:ascii="Times New Roman" w:eastAsia="Times New Roman" w:hAnsi="Times New Roman" w:cs="Times New Roman"/>
          <w:sz w:val="24"/>
          <w:szCs w:val="24"/>
        </w:rPr>
        <w:t xml:space="preserve"> a procura da unificação das particularidades de um sujeito para que se encaixe na sociedade em questão, gerando um corpo social homogêneo e</w:t>
      </w:r>
      <w:r>
        <w:rPr>
          <w:rFonts w:ascii="Times New Roman" w:eastAsia="Times New Roman" w:hAnsi="Times New Roman" w:cs="Times New Roman"/>
          <w:sz w:val="24"/>
          <w:szCs w:val="24"/>
        </w:rPr>
        <w:t>,</w:t>
      </w:r>
      <w:r w:rsidR="1D2FB1EA" w:rsidRPr="1D2FB1EA">
        <w:rPr>
          <w:rFonts w:ascii="Times New Roman" w:eastAsia="Times New Roman" w:hAnsi="Times New Roman" w:cs="Times New Roman"/>
          <w:sz w:val="24"/>
          <w:szCs w:val="24"/>
        </w:rPr>
        <w:t xml:space="preserve"> desse modo, rejeitando o sujeito estranho. Dessa forma, o Estado decide quem participa da estrutura social, assegurando a categoria de cidadão aqueles que se encaixam nas similaridades e desenvolvendo a ideia de pertença (HALFFMAN, MARQUES, 2020, p. 117</w:t>
      </w:r>
      <w:r>
        <w:rPr>
          <w:rFonts w:ascii="Times New Roman" w:eastAsia="Times New Roman" w:hAnsi="Times New Roman" w:cs="Times New Roman"/>
          <w:sz w:val="24"/>
          <w:szCs w:val="24"/>
        </w:rPr>
        <w:t xml:space="preserve"> - </w:t>
      </w:r>
      <w:r w:rsidR="1D2FB1EA" w:rsidRPr="1D2FB1EA">
        <w:rPr>
          <w:rFonts w:ascii="Times New Roman" w:eastAsia="Times New Roman" w:hAnsi="Times New Roman" w:cs="Times New Roman"/>
          <w:sz w:val="24"/>
          <w:szCs w:val="24"/>
        </w:rPr>
        <w:t xml:space="preserve"> 127). </w:t>
      </w:r>
    </w:p>
    <w:p w14:paraId="4594E1CB" w14:textId="77777777" w:rsidR="002817F8" w:rsidRDefault="1D2FB1EA" w:rsidP="1D2FB1EA">
      <w:pPr>
        <w:pStyle w:val="Normal1"/>
        <w:widowControl w:val="0"/>
        <w:spacing w:before="200" w:line="360" w:lineRule="auto"/>
        <w:ind w:right="-330" w:firstLine="720"/>
        <w:jc w:val="both"/>
        <w:rPr>
          <w:rFonts w:ascii="Times New Roman" w:eastAsia="Times New Roman" w:hAnsi="Times New Roman" w:cs="Times New Roman"/>
          <w:sz w:val="24"/>
          <w:szCs w:val="24"/>
        </w:rPr>
      </w:pPr>
      <w:r w:rsidRPr="1D2FB1EA">
        <w:rPr>
          <w:rFonts w:ascii="Times New Roman" w:eastAsia="Times New Roman" w:hAnsi="Times New Roman" w:cs="Times New Roman"/>
          <w:sz w:val="24"/>
          <w:szCs w:val="24"/>
        </w:rPr>
        <w:t xml:space="preserve">Entendido o pensamento de </w:t>
      </w:r>
      <w:r w:rsidR="0072345E">
        <w:rPr>
          <w:rFonts w:ascii="Times New Roman" w:eastAsia="Times New Roman" w:hAnsi="Times New Roman" w:cs="Times New Roman"/>
          <w:sz w:val="24"/>
          <w:szCs w:val="24"/>
        </w:rPr>
        <w:t>Agamben</w:t>
      </w:r>
      <w:r w:rsidRPr="1D2FB1EA">
        <w:rPr>
          <w:rFonts w:ascii="Times New Roman" w:eastAsia="Times New Roman" w:hAnsi="Times New Roman" w:cs="Times New Roman"/>
          <w:sz w:val="24"/>
          <w:szCs w:val="24"/>
        </w:rPr>
        <w:t xml:space="preserve">, é necessário compreender a política migratória, expondo </w:t>
      </w:r>
      <w:r w:rsidR="0072345E">
        <w:rPr>
          <w:rFonts w:ascii="Times New Roman" w:eastAsia="Times New Roman" w:hAnsi="Times New Roman" w:cs="Times New Roman"/>
          <w:sz w:val="24"/>
          <w:szCs w:val="24"/>
        </w:rPr>
        <w:t xml:space="preserve">os atos normativos editados </w:t>
      </w:r>
      <w:r w:rsidRPr="1D2FB1EA">
        <w:rPr>
          <w:rFonts w:ascii="Times New Roman" w:eastAsia="Times New Roman" w:hAnsi="Times New Roman" w:cs="Times New Roman"/>
          <w:sz w:val="24"/>
          <w:szCs w:val="24"/>
        </w:rPr>
        <w:t>p</w:t>
      </w:r>
      <w:r w:rsidR="0072345E">
        <w:rPr>
          <w:rFonts w:ascii="Times New Roman" w:eastAsia="Times New Roman" w:hAnsi="Times New Roman" w:cs="Times New Roman"/>
          <w:sz w:val="24"/>
          <w:szCs w:val="24"/>
        </w:rPr>
        <w:t>elo Brasil durante a pandemia da</w:t>
      </w:r>
      <w:r w:rsidRPr="1D2FB1EA">
        <w:rPr>
          <w:rFonts w:ascii="Times New Roman" w:eastAsia="Times New Roman" w:hAnsi="Times New Roman" w:cs="Times New Roman"/>
          <w:sz w:val="24"/>
          <w:szCs w:val="24"/>
        </w:rPr>
        <w:t xml:space="preserve"> Covid-19</w:t>
      </w:r>
      <w:r w:rsidR="0072345E">
        <w:rPr>
          <w:rFonts w:ascii="Times New Roman" w:eastAsia="Times New Roman" w:hAnsi="Times New Roman" w:cs="Times New Roman"/>
          <w:sz w:val="24"/>
          <w:szCs w:val="24"/>
        </w:rPr>
        <w:t>,</w:t>
      </w:r>
      <w:r w:rsidRPr="1D2FB1EA">
        <w:rPr>
          <w:rFonts w:ascii="Times New Roman" w:eastAsia="Times New Roman" w:hAnsi="Times New Roman" w:cs="Times New Roman"/>
          <w:sz w:val="24"/>
          <w:szCs w:val="24"/>
        </w:rPr>
        <w:t xml:space="preserve"> desde o dia 07/02/2020</w:t>
      </w:r>
      <w:r w:rsidR="0072345E">
        <w:rPr>
          <w:rFonts w:ascii="Times New Roman" w:eastAsia="Times New Roman" w:hAnsi="Times New Roman" w:cs="Times New Roman"/>
          <w:sz w:val="24"/>
          <w:szCs w:val="24"/>
        </w:rPr>
        <w:t>,</w:t>
      </w:r>
      <w:r w:rsidRPr="1D2FB1EA">
        <w:rPr>
          <w:rFonts w:ascii="Times New Roman" w:eastAsia="Times New Roman" w:hAnsi="Times New Roman" w:cs="Times New Roman"/>
          <w:sz w:val="24"/>
          <w:szCs w:val="24"/>
        </w:rPr>
        <w:t xml:space="preserve"> até os dias atuais. </w:t>
      </w:r>
    </w:p>
    <w:p w14:paraId="6A3AF0E6" w14:textId="77777777" w:rsidR="002817F8" w:rsidRDefault="281F59F9">
      <w:pPr>
        <w:pStyle w:val="Normal1"/>
        <w:widowControl w:val="0"/>
        <w:spacing w:before="200" w:line="360" w:lineRule="auto"/>
        <w:ind w:right="-330" w:firstLine="720"/>
        <w:jc w:val="both"/>
        <w:rPr>
          <w:rFonts w:ascii="Times New Roman" w:eastAsia="Times New Roman" w:hAnsi="Times New Roman" w:cs="Times New Roman"/>
          <w:sz w:val="24"/>
          <w:szCs w:val="24"/>
        </w:rPr>
      </w:pPr>
      <w:r w:rsidRPr="281F59F9">
        <w:rPr>
          <w:rFonts w:ascii="Times New Roman" w:eastAsia="Times New Roman" w:hAnsi="Times New Roman" w:cs="Times New Roman"/>
          <w:sz w:val="24"/>
          <w:szCs w:val="24"/>
        </w:rPr>
        <w:t xml:space="preserve">Devido ao potencial dano do SARS-Cov-2, foi publicada a Lei nº 13.979/2020, que versa sobre as medidas para o enfrentamento da emergência de saúde pública decorrente do </w:t>
      </w:r>
      <w:r w:rsidRPr="281F59F9">
        <w:rPr>
          <w:rFonts w:ascii="Times New Roman" w:eastAsia="Times New Roman" w:hAnsi="Times New Roman" w:cs="Times New Roman"/>
          <w:sz w:val="24"/>
          <w:szCs w:val="24"/>
        </w:rPr>
        <w:lastRenderedPageBreak/>
        <w:t>coronavírus. O seu artigo 3º, inciso VI, preceitua que poderão ser adotadas a restrição excepcional e temporária de entrada e saída do país, por rodovias portos e aeroportos. Essa norma abriu espaço para que o Governo Federal editasse portarias restringindo ainda mais o acesso de solicitantes de refúgio e imigrantes ao nosso país. Nesse contexto, val</w:t>
      </w:r>
      <w:r w:rsidR="006620B9">
        <w:rPr>
          <w:rFonts w:ascii="Times New Roman" w:eastAsia="Times New Roman" w:hAnsi="Times New Roman" w:cs="Times New Roman"/>
          <w:sz w:val="24"/>
          <w:szCs w:val="24"/>
        </w:rPr>
        <w:t>e citar as portarias nºs 120</w:t>
      </w:r>
      <w:r w:rsidRPr="281F59F9">
        <w:rPr>
          <w:rFonts w:ascii="Times New Roman" w:eastAsia="Times New Roman" w:hAnsi="Times New Roman" w:cs="Times New Roman"/>
          <w:sz w:val="24"/>
          <w:szCs w:val="24"/>
        </w:rPr>
        <w:t>, 132, 47, 201, 203, 204, 255</w:t>
      </w:r>
      <w:r w:rsidR="006620B9">
        <w:rPr>
          <w:rFonts w:ascii="Times New Roman" w:eastAsia="Times New Roman" w:hAnsi="Times New Roman" w:cs="Times New Roman"/>
          <w:sz w:val="24"/>
          <w:szCs w:val="24"/>
        </w:rPr>
        <w:t>, 319, 340</w:t>
      </w:r>
      <w:r w:rsidR="00834BB6">
        <w:rPr>
          <w:rFonts w:ascii="Times New Roman" w:eastAsia="Times New Roman" w:hAnsi="Times New Roman" w:cs="Times New Roman"/>
          <w:sz w:val="24"/>
          <w:szCs w:val="24"/>
        </w:rPr>
        <w:t>,</w:t>
      </w:r>
      <w:r w:rsidR="006620B9">
        <w:rPr>
          <w:rFonts w:ascii="Times New Roman" w:eastAsia="Times New Roman" w:hAnsi="Times New Roman" w:cs="Times New Roman"/>
          <w:sz w:val="24"/>
          <w:szCs w:val="24"/>
        </w:rPr>
        <w:t xml:space="preserve"> 01</w:t>
      </w:r>
      <w:r w:rsidR="00834BB6">
        <w:rPr>
          <w:rFonts w:ascii="Times New Roman" w:eastAsia="Times New Roman" w:hAnsi="Times New Roman" w:cs="Times New Roman"/>
          <w:sz w:val="24"/>
          <w:szCs w:val="24"/>
        </w:rPr>
        <w:t xml:space="preserve"> e 419</w:t>
      </w:r>
      <w:r w:rsidR="006620B9">
        <w:rPr>
          <w:rFonts w:ascii="Times New Roman" w:eastAsia="Times New Roman" w:hAnsi="Times New Roman" w:cs="Times New Roman"/>
          <w:sz w:val="24"/>
          <w:szCs w:val="24"/>
        </w:rPr>
        <w:t>, todas de 2020</w:t>
      </w:r>
      <w:r w:rsidRPr="281F59F9">
        <w:rPr>
          <w:rFonts w:ascii="Times New Roman" w:eastAsia="Times New Roman" w:hAnsi="Times New Roman" w:cs="Times New Roman"/>
          <w:sz w:val="24"/>
          <w:szCs w:val="24"/>
        </w:rPr>
        <w:t>, que</w:t>
      </w:r>
      <w:r w:rsidR="006620B9">
        <w:rPr>
          <w:rFonts w:ascii="Times New Roman" w:eastAsia="Times New Roman" w:hAnsi="Times New Roman" w:cs="Times New Roman"/>
          <w:sz w:val="24"/>
          <w:szCs w:val="24"/>
        </w:rPr>
        <w:t>, em geral,</w:t>
      </w:r>
      <w:r w:rsidRPr="281F59F9">
        <w:rPr>
          <w:rFonts w:ascii="Times New Roman" w:eastAsia="Times New Roman" w:hAnsi="Times New Roman" w:cs="Times New Roman"/>
          <w:sz w:val="24"/>
          <w:szCs w:val="24"/>
        </w:rPr>
        <w:t xml:space="preserve"> tratam da restrição da entrada de estrangeiros no </w:t>
      </w:r>
      <w:r w:rsidR="006620B9">
        <w:rPr>
          <w:rFonts w:ascii="Times New Roman" w:eastAsia="Times New Roman" w:hAnsi="Times New Roman" w:cs="Times New Roman"/>
          <w:sz w:val="24"/>
          <w:szCs w:val="24"/>
        </w:rPr>
        <w:t>Brasil</w:t>
      </w:r>
      <w:r w:rsidRPr="281F59F9">
        <w:rPr>
          <w:rFonts w:ascii="Times New Roman" w:eastAsia="Times New Roman" w:hAnsi="Times New Roman" w:cs="Times New Roman"/>
          <w:sz w:val="24"/>
          <w:szCs w:val="24"/>
        </w:rPr>
        <w:t>.</w:t>
      </w:r>
      <w:r w:rsidR="006620B9">
        <w:rPr>
          <w:rFonts w:ascii="Times New Roman" w:eastAsia="Times New Roman" w:hAnsi="Times New Roman" w:cs="Times New Roman"/>
          <w:sz w:val="24"/>
          <w:szCs w:val="24"/>
        </w:rPr>
        <w:t xml:space="preserve"> Ditas portarias preceituam que os imigrantes que</w:t>
      </w:r>
      <w:r w:rsidRPr="281F59F9">
        <w:rPr>
          <w:rFonts w:ascii="Times New Roman" w:eastAsia="Times New Roman" w:hAnsi="Times New Roman" w:cs="Times New Roman"/>
          <w:sz w:val="24"/>
          <w:szCs w:val="24"/>
        </w:rPr>
        <w:t xml:space="preserve"> violarem a proibição </w:t>
      </w:r>
      <w:r w:rsidR="006620B9">
        <w:rPr>
          <w:rFonts w:ascii="Times New Roman" w:eastAsia="Times New Roman" w:hAnsi="Times New Roman" w:cs="Times New Roman"/>
          <w:sz w:val="24"/>
          <w:szCs w:val="24"/>
        </w:rPr>
        <w:t xml:space="preserve">de ingresso no território brasileiro, poderão receber a sanção de </w:t>
      </w:r>
      <w:r w:rsidRPr="281F59F9">
        <w:rPr>
          <w:rFonts w:ascii="Times New Roman" w:eastAsia="Times New Roman" w:hAnsi="Times New Roman" w:cs="Times New Roman"/>
          <w:sz w:val="24"/>
          <w:szCs w:val="24"/>
        </w:rPr>
        <w:t>deportação imediata e inabilitação de pedido de refúgio, bem como</w:t>
      </w:r>
      <w:r w:rsidR="006620B9">
        <w:rPr>
          <w:rFonts w:ascii="Times New Roman" w:eastAsia="Times New Roman" w:hAnsi="Times New Roman" w:cs="Times New Roman"/>
          <w:sz w:val="24"/>
          <w:szCs w:val="24"/>
        </w:rPr>
        <w:t xml:space="preserve">, em alguns dos atos normativos mencionados, </w:t>
      </w:r>
      <w:r w:rsidRPr="281F59F9">
        <w:rPr>
          <w:rFonts w:ascii="Times New Roman" w:eastAsia="Times New Roman" w:hAnsi="Times New Roman" w:cs="Times New Roman"/>
          <w:sz w:val="24"/>
          <w:szCs w:val="24"/>
        </w:rPr>
        <w:t>a repatriação imediata</w:t>
      </w:r>
      <w:r w:rsidR="006620B9">
        <w:rPr>
          <w:rFonts w:ascii="Times New Roman" w:eastAsia="Times New Roman" w:hAnsi="Times New Roman" w:cs="Times New Roman"/>
          <w:sz w:val="24"/>
          <w:szCs w:val="24"/>
        </w:rPr>
        <w:t>.</w:t>
      </w:r>
      <w:r w:rsidRPr="281F59F9">
        <w:rPr>
          <w:rFonts w:ascii="Times New Roman" w:eastAsia="Times New Roman" w:hAnsi="Times New Roman" w:cs="Times New Roman"/>
          <w:sz w:val="24"/>
          <w:szCs w:val="24"/>
        </w:rPr>
        <w:t xml:space="preserve"> A </w:t>
      </w:r>
      <w:r w:rsidR="00834BB6">
        <w:rPr>
          <w:rFonts w:ascii="Times New Roman" w:eastAsia="Times New Roman" w:hAnsi="Times New Roman" w:cs="Times New Roman"/>
          <w:sz w:val="24"/>
          <w:szCs w:val="24"/>
        </w:rPr>
        <w:t xml:space="preserve">Portaria </w:t>
      </w:r>
      <w:r w:rsidRPr="281F59F9">
        <w:rPr>
          <w:rFonts w:ascii="Times New Roman" w:eastAsia="Times New Roman" w:hAnsi="Times New Roman" w:cs="Times New Roman"/>
          <w:sz w:val="24"/>
          <w:szCs w:val="24"/>
        </w:rPr>
        <w:t>nº 518/2020</w:t>
      </w:r>
      <w:r w:rsidR="00834BB6">
        <w:rPr>
          <w:rFonts w:ascii="Times New Roman" w:eastAsia="Times New Roman" w:hAnsi="Times New Roman" w:cs="Times New Roman"/>
          <w:sz w:val="24"/>
          <w:szCs w:val="24"/>
        </w:rPr>
        <w:t>, publicada em 12 de novembro de 2020,</w:t>
      </w:r>
      <w:r w:rsidRPr="281F59F9">
        <w:rPr>
          <w:rFonts w:ascii="Times New Roman" w:eastAsia="Times New Roman" w:hAnsi="Times New Roman" w:cs="Times New Roman"/>
          <w:sz w:val="24"/>
          <w:szCs w:val="24"/>
        </w:rPr>
        <w:t xml:space="preserve"> reafirma a entrada excepcional e restrita ao país, </w:t>
      </w:r>
      <w:r w:rsidR="00834BB6">
        <w:rPr>
          <w:rFonts w:ascii="Times New Roman" w:eastAsia="Times New Roman" w:hAnsi="Times New Roman" w:cs="Times New Roman"/>
          <w:sz w:val="24"/>
          <w:szCs w:val="24"/>
        </w:rPr>
        <w:t>bem como a possibilidade de aplicação das medidas de deportação e repatriação imediata, bem como inabilitação de pedido de refúgio</w:t>
      </w:r>
      <w:r w:rsidRPr="281F59F9">
        <w:rPr>
          <w:rFonts w:ascii="Times New Roman" w:eastAsia="Times New Roman" w:hAnsi="Times New Roman" w:cs="Times New Roman"/>
          <w:sz w:val="24"/>
          <w:szCs w:val="24"/>
        </w:rPr>
        <w:t>.</w:t>
      </w:r>
    </w:p>
    <w:p w14:paraId="189B6858" w14:textId="77777777" w:rsidR="002817F8" w:rsidRDefault="00834BB6">
      <w:pPr>
        <w:pStyle w:val="Normal1"/>
        <w:widowControl w:val="0"/>
        <w:spacing w:before="200" w:line="360" w:lineRule="auto"/>
        <w:ind w:right="-33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Noutro giro, e</w:t>
      </w:r>
      <w:r w:rsidR="1D2FB1EA" w:rsidRPr="1D2FB1EA">
        <w:rPr>
          <w:rFonts w:ascii="Times New Roman" w:eastAsia="Times New Roman" w:hAnsi="Times New Roman" w:cs="Times New Roman"/>
          <w:sz w:val="24"/>
          <w:szCs w:val="24"/>
        </w:rPr>
        <w:t xml:space="preserve">m se tratando do acesso dos imigrantes ao auxílio emergencial, instituído também pela Lei 13.982/2020, possui uma série de restrições, dentre elas possuir o Cadastro de Pessoas Físicas (CPF), dessa forma, aqueles que estão em situação migratória indocumentada não são contemplados pelo socorro econômico. Apesar disso, até mesmo os imigrantes que possuem CPF estão apresentando dificuldades para a obtenção do citado auxílio. </w:t>
      </w:r>
    </w:p>
    <w:p w14:paraId="0CF22369" w14:textId="77777777" w:rsidR="00834BB6" w:rsidRDefault="1D2FB1EA" w:rsidP="1D2FB1EA">
      <w:pPr>
        <w:pStyle w:val="Normal1"/>
        <w:spacing w:before="200" w:line="360" w:lineRule="auto"/>
        <w:ind w:right="-330" w:firstLine="720"/>
        <w:jc w:val="both"/>
        <w:rPr>
          <w:rFonts w:ascii="Times New Roman" w:eastAsia="Times New Roman" w:hAnsi="Times New Roman" w:cs="Times New Roman"/>
          <w:sz w:val="24"/>
          <w:szCs w:val="24"/>
        </w:rPr>
      </w:pPr>
      <w:r w:rsidRPr="1D2FB1EA">
        <w:rPr>
          <w:rFonts w:ascii="Times New Roman" w:eastAsia="Times New Roman" w:hAnsi="Times New Roman" w:cs="Times New Roman"/>
          <w:sz w:val="24"/>
          <w:szCs w:val="24"/>
        </w:rPr>
        <w:t>C</w:t>
      </w:r>
      <w:r w:rsidR="00834BB6">
        <w:rPr>
          <w:rFonts w:ascii="Times New Roman" w:eastAsia="Times New Roman" w:hAnsi="Times New Roman" w:cs="Times New Roman"/>
          <w:sz w:val="24"/>
          <w:szCs w:val="24"/>
        </w:rPr>
        <w:t>ompreendida</w:t>
      </w:r>
      <w:r w:rsidRPr="1D2FB1EA">
        <w:rPr>
          <w:rFonts w:ascii="Times New Roman" w:eastAsia="Times New Roman" w:hAnsi="Times New Roman" w:cs="Times New Roman"/>
          <w:sz w:val="24"/>
          <w:szCs w:val="24"/>
        </w:rPr>
        <w:t xml:space="preserve"> a biopolítica e a </w:t>
      </w:r>
      <w:r w:rsidR="00834BB6">
        <w:rPr>
          <w:rFonts w:ascii="Times New Roman" w:eastAsia="Times New Roman" w:hAnsi="Times New Roman" w:cs="Times New Roman"/>
          <w:sz w:val="24"/>
          <w:szCs w:val="24"/>
        </w:rPr>
        <w:t>política migratória, passa-se</w:t>
      </w:r>
      <w:r w:rsidRPr="1D2FB1EA">
        <w:rPr>
          <w:rFonts w:ascii="Times New Roman" w:eastAsia="Times New Roman" w:hAnsi="Times New Roman" w:cs="Times New Roman"/>
          <w:sz w:val="24"/>
          <w:szCs w:val="24"/>
        </w:rPr>
        <w:t xml:space="preserve"> para as constatações que relacionam o comportamento invasivo do Estado à definição de vida e a violação dos direitos humanos dos imigrante</w:t>
      </w:r>
      <w:r w:rsidR="00834BB6">
        <w:rPr>
          <w:rFonts w:ascii="Times New Roman" w:eastAsia="Times New Roman" w:hAnsi="Times New Roman" w:cs="Times New Roman"/>
          <w:sz w:val="24"/>
          <w:szCs w:val="24"/>
        </w:rPr>
        <w:t>s, b</w:t>
      </w:r>
      <w:r w:rsidRPr="1D2FB1EA">
        <w:rPr>
          <w:rFonts w:ascii="Times New Roman" w:eastAsia="Times New Roman" w:hAnsi="Times New Roman" w:cs="Times New Roman"/>
          <w:sz w:val="24"/>
          <w:szCs w:val="24"/>
        </w:rPr>
        <w:t>aseando-se</w:t>
      </w:r>
      <w:r w:rsidR="00834BB6">
        <w:rPr>
          <w:rFonts w:ascii="Times New Roman" w:eastAsia="Times New Roman" w:hAnsi="Times New Roman" w:cs="Times New Roman"/>
          <w:sz w:val="24"/>
          <w:szCs w:val="24"/>
        </w:rPr>
        <w:t>, notadamente,</w:t>
      </w:r>
      <w:r w:rsidRPr="1D2FB1EA">
        <w:rPr>
          <w:rFonts w:ascii="Times New Roman" w:eastAsia="Times New Roman" w:hAnsi="Times New Roman" w:cs="Times New Roman"/>
          <w:sz w:val="24"/>
          <w:szCs w:val="24"/>
        </w:rPr>
        <w:t xml:space="preserve"> nos estudos de Thiago Oliveira Moreira, Luis Renato Vedonato, Carolina Piccolotto Galib e Tatiana Cardoso Squeff. </w:t>
      </w:r>
    </w:p>
    <w:p w14:paraId="0C8B4770" w14:textId="77777777" w:rsidR="1D2FB1EA" w:rsidRDefault="1D2FB1EA" w:rsidP="1D2FB1EA">
      <w:pPr>
        <w:pStyle w:val="Normal1"/>
        <w:spacing w:before="200" w:line="360" w:lineRule="auto"/>
        <w:ind w:right="-330" w:firstLine="720"/>
        <w:jc w:val="both"/>
        <w:rPr>
          <w:rFonts w:ascii="Times New Roman" w:eastAsia="Times New Roman" w:hAnsi="Times New Roman" w:cs="Times New Roman"/>
          <w:sz w:val="24"/>
          <w:szCs w:val="24"/>
        </w:rPr>
      </w:pPr>
      <w:r w:rsidRPr="1D2FB1EA">
        <w:rPr>
          <w:rFonts w:ascii="Times New Roman" w:eastAsia="Times New Roman" w:hAnsi="Times New Roman" w:cs="Times New Roman"/>
          <w:sz w:val="24"/>
          <w:szCs w:val="24"/>
        </w:rPr>
        <w:t>O tipo de pesquisa a ser realizada será d</w:t>
      </w:r>
      <w:r w:rsidR="00834BB6">
        <w:rPr>
          <w:rFonts w:ascii="Times New Roman" w:eastAsia="Times New Roman" w:hAnsi="Times New Roman" w:cs="Times New Roman"/>
          <w:sz w:val="24"/>
          <w:szCs w:val="24"/>
        </w:rPr>
        <w:t>e forma qualitativa e dedutiva, s</w:t>
      </w:r>
      <w:r w:rsidRPr="1D2FB1EA">
        <w:rPr>
          <w:rFonts w:ascii="Times New Roman" w:eastAsia="Times New Roman" w:hAnsi="Times New Roman" w:cs="Times New Roman"/>
          <w:sz w:val="24"/>
          <w:szCs w:val="24"/>
        </w:rPr>
        <w:t xml:space="preserve">endo utilizados a documentação indireta, através de livros, artigos, revista, como também a pesquisa documental analisando a legislação, especificamente, as portarias já supracitadas, a Lei de Imigração, </w:t>
      </w:r>
      <w:r w:rsidR="00834BB6">
        <w:rPr>
          <w:rFonts w:ascii="Times New Roman" w:eastAsia="Times New Roman" w:hAnsi="Times New Roman" w:cs="Times New Roman"/>
          <w:sz w:val="24"/>
          <w:szCs w:val="24"/>
        </w:rPr>
        <w:t>a Lei de</w:t>
      </w:r>
      <w:r w:rsidRPr="1D2FB1EA">
        <w:rPr>
          <w:rFonts w:ascii="Times New Roman" w:eastAsia="Times New Roman" w:hAnsi="Times New Roman" w:cs="Times New Roman"/>
          <w:sz w:val="24"/>
          <w:szCs w:val="24"/>
        </w:rPr>
        <w:t xml:space="preserve"> Refúgio, </w:t>
      </w:r>
      <w:r w:rsidR="00834BB6">
        <w:rPr>
          <w:rFonts w:ascii="Times New Roman" w:eastAsia="Times New Roman" w:hAnsi="Times New Roman" w:cs="Times New Roman"/>
          <w:sz w:val="24"/>
          <w:szCs w:val="24"/>
        </w:rPr>
        <w:t xml:space="preserve">o </w:t>
      </w:r>
      <w:r w:rsidRPr="1D2FB1EA">
        <w:rPr>
          <w:rFonts w:ascii="Times New Roman" w:eastAsia="Times New Roman" w:hAnsi="Times New Roman" w:cs="Times New Roman"/>
          <w:sz w:val="24"/>
          <w:szCs w:val="24"/>
        </w:rPr>
        <w:t>Estatuto do</w:t>
      </w:r>
      <w:r w:rsidR="00834BB6">
        <w:rPr>
          <w:rFonts w:ascii="Times New Roman" w:eastAsia="Times New Roman" w:hAnsi="Times New Roman" w:cs="Times New Roman"/>
          <w:sz w:val="24"/>
          <w:szCs w:val="24"/>
        </w:rPr>
        <w:t>s Refugiados</w:t>
      </w:r>
      <w:r w:rsidRPr="1D2FB1EA">
        <w:rPr>
          <w:rFonts w:ascii="Times New Roman" w:eastAsia="Times New Roman" w:hAnsi="Times New Roman" w:cs="Times New Roman"/>
          <w:sz w:val="24"/>
          <w:szCs w:val="24"/>
        </w:rPr>
        <w:t xml:space="preserve">, </w:t>
      </w:r>
      <w:r w:rsidR="00834BB6">
        <w:rPr>
          <w:rFonts w:ascii="Times New Roman" w:eastAsia="Times New Roman" w:hAnsi="Times New Roman" w:cs="Times New Roman"/>
          <w:sz w:val="24"/>
          <w:szCs w:val="24"/>
        </w:rPr>
        <w:t xml:space="preserve">a </w:t>
      </w:r>
      <w:r w:rsidRPr="1D2FB1EA">
        <w:rPr>
          <w:rFonts w:ascii="Times New Roman" w:eastAsia="Times New Roman" w:hAnsi="Times New Roman" w:cs="Times New Roman"/>
          <w:sz w:val="24"/>
          <w:szCs w:val="24"/>
        </w:rPr>
        <w:t xml:space="preserve">Convenção Americana </w:t>
      </w:r>
      <w:r w:rsidR="00834BB6">
        <w:rPr>
          <w:rFonts w:ascii="Times New Roman" w:eastAsia="Times New Roman" w:hAnsi="Times New Roman" w:cs="Times New Roman"/>
          <w:sz w:val="24"/>
          <w:szCs w:val="24"/>
        </w:rPr>
        <w:t xml:space="preserve">sobre </w:t>
      </w:r>
      <w:r w:rsidRPr="1D2FB1EA">
        <w:rPr>
          <w:rFonts w:ascii="Times New Roman" w:eastAsia="Times New Roman" w:hAnsi="Times New Roman" w:cs="Times New Roman"/>
          <w:sz w:val="24"/>
          <w:szCs w:val="24"/>
        </w:rPr>
        <w:t>Direitos Humanos</w:t>
      </w:r>
      <w:r w:rsidR="00834BB6">
        <w:rPr>
          <w:rFonts w:ascii="Times New Roman" w:eastAsia="Times New Roman" w:hAnsi="Times New Roman" w:cs="Times New Roman"/>
          <w:sz w:val="24"/>
          <w:szCs w:val="24"/>
        </w:rPr>
        <w:t xml:space="preserve"> (CADH)</w:t>
      </w:r>
      <w:r w:rsidRPr="1D2FB1EA">
        <w:rPr>
          <w:rFonts w:ascii="Times New Roman" w:eastAsia="Times New Roman" w:hAnsi="Times New Roman" w:cs="Times New Roman"/>
          <w:sz w:val="24"/>
          <w:szCs w:val="24"/>
        </w:rPr>
        <w:t xml:space="preserve">, </w:t>
      </w:r>
      <w:r w:rsidR="00834BB6">
        <w:rPr>
          <w:rFonts w:ascii="Times New Roman" w:eastAsia="Times New Roman" w:hAnsi="Times New Roman" w:cs="Times New Roman"/>
          <w:sz w:val="24"/>
          <w:szCs w:val="24"/>
        </w:rPr>
        <w:t xml:space="preserve">a </w:t>
      </w:r>
      <w:r w:rsidRPr="1D2FB1EA">
        <w:rPr>
          <w:rFonts w:ascii="Times New Roman" w:eastAsia="Times New Roman" w:hAnsi="Times New Roman" w:cs="Times New Roman"/>
          <w:sz w:val="24"/>
          <w:szCs w:val="24"/>
        </w:rPr>
        <w:t xml:space="preserve">Declaração Universal dos Direitos Humanos </w:t>
      </w:r>
      <w:r w:rsidR="00834BB6">
        <w:rPr>
          <w:rFonts w:ascii="Times New Roman" w:eastAsia="Times New Roman" w:hAnsi="Times New Roman" w:cs="Times New Roman"/>
          <w:sz w:val="24"/>
          <w:szCs w:val="24"/>
        </w:rPr>
        <w:t>(DUDH) e a Constituição Federal de 1988</w:t>
      </w:r>
      <w:r w:rsidRPr="1D2FB1EA">
        <w:rPr>
          <w:rFonts w:ascii="Times New Roman" w:eastAsia="Times New Roman" w:hAnsi="Times New Roman" w:cs="Times New Roman"/>
          <w:sz w:val="24"/>
          <w:szCs w:val="24"/>
        </w:rPr>
        <w:t>.</w:t>
      </w:r>
    </w:p>
    <w:p w14:paraId="3E39C820" w14:textId="77777777" w:rsidR="0009568A" w:rsidRDefault="1D2FB1EA">
      <w:pPr>
        <w:pStyle w:val="Normal1"/>
        <w:widowControl w:val="0"/>
        <w:spacing w:before="200" w:line="360" w:lineRule="auto"/>
        <w:ind w:right="-330" w:firstLine="720"/>
        <w:jc w:val="both"/>
        <w:rPr>
          <w:rFonts w:ascii="Times New Roman" w:eastAsia="Times New Roman" w:hAnsi="Times New Roman" w:cs="Times New Roman"/>
          <w:sz w:val="24"/>
          <w:szCs w:val="24"/>
        </w:rPr>
      </w:pPr>
      <w:r w:rsidRPr="1D2FB1EA">
        <w:rPr>
          <w:rFonts w:ascii="Times New Roman" w:eastAsia="Times New Roman" w:hAnsi="Times New Roman" w:cs="Times New Roman"/>
          <w:sz w:val="24"/>
          <w:szCs w:val="24"/>
        </w:rPr>
        <w:t>Em primeiro lugar, o fechamento das fronteiras e</w:t>
      </w:r>
      <w:r w:rsidR="00834BB6">
        <w:rPr>
          <w:rFonts w:ascii="Times New Roman" w:eastAsia="Times New Roman" w:hAnsi="Times New Roman" w:cs="Times New Roman"/>
          <w:sz w:val="24"/>
          <w:szCs w:val="24"/>
        </w:rPr>
        <w:t>,</w:t>
      </w:r>
      <w:r w:rsidRPr="1D2FB1EA">
        <w:rPr>
          <w:rFonts w:ascii="Times New Roman" w:eastAsia="Times New Roman" w:hAnsi="Times New Roman" w:cs="Times New Roman"/>
          <w:sz w:val="24"/>
          <w:szCs w:val="24"/>
        </w:rPr>
        <w:t xml:space="preserve"> logo, a proibição da entrada de </w:t>
      </w:r>
      <w:r w:rsidR="00834BB6">
        <w:rPr>
          <w:rFonts w:ascii="Times New Roman" w:eastAsia="Times New Roman" w:hAnsi="Times New Roman" w:cs="Times New Roman"/>
          <w:sz w:val="24"/>
          <w:szCs w:val="24"/>
        </w:rPr>
        <w:t>i</w:t>
      </w:r>
      <w:r w:rsidRPr="1D2FB1EA">
        <w:rPr>
          <w:rFonts w:ascii="Times New Roman" w:eastAsia="Times New Roman" w:hAnsi="Times New Roman" w:cs="Times New Roman"/>
          <w:sz w:val="24"/>
          <w:szCs w:val="24"/>
        </w:rPr>
        <w:t>migrantes, notadamente os solicitantes de refúgio ou em situação de vulnerabilidade</w:t>
      </w:r>
      <w:r w:rsidR="00834BB6">
        <w:rPr>
          <w:rFonts w:ascii="Times New Roman" w:eastAsia="Times New Roman" w:hAnsi="Times New Roman" w:cs="Times New Roman"/>
          <w:sz w:val="24"/>
          <w:szCs w:val="24"/>
        </w:rPr>
        <w:t>,</w:t>
      </w:r>
      <w:r w:rsidRPr="1D2FB1EA">
        <w:rPr>
          <w:rFonts w:ascii="Times New Roman" w:eastAsia="Times New Roman" w:hAnsi="Times New Roman" w:cs="Times New Roman"/>
          <w:sz w:val="24"/>
          <w:szCs w:val="24"/>
        </w:rPr>
        <w:t xml:space="preserve"> representa uma hierarquização da vida humana pelo Estado, visto que a vida dos cidadãos presentes no território brasileiro é colocada em primeiro plano, enquanto a dos imigrantes é banalizada. O Direito Internacional dos Direitos Humanos </w:t>
      </w:r>
      <w:r w:rsidR="00834BB6">
        <w:rPr>
          <w:rFonts w:ascii="Times New Roman" w:eastAsia="Times New Roman" w:hAnsi="Times New Roman" w:cs="Times New Roman"/>
          <w:sz w:val="24"/>
          <w:szCs w:val="24"/>
        </w:rPr>
        <w:t xml:space="preserve">(DIDH) </w:t>
      </w:r>
      <w:r w:rsidRPr="1D2FB1EA">
        <w:rPr>
          <w:rFonts w:ascii="Times New Roman" w:eastAsia="Times New Roman" w:hAnsi="Times New Roman" w:cs="Times New Roman"/>
          <w:sz w:val="24"/>
          <w:szCs w:val="24"/>
        </w:rPr>
        <w:t>consagra os direitos independentemente da condição de nacional e/ou cidadão e</w:t>
      </w:r>
      <w:r w:rsidR="00834BB6">
        <w:rPr>
          <w:rFonts w:ascii="Times New Roman" w:eastAsia="Times New Roman" w:hAnsi="Times New Roman" w:cs="Times New Roman"/>
          <w:sz w:val="24"/>
          <w:szCs w:val="24"/>
        </w:rPr>
        <w:t>,</w:t>
      </w:r>
      <w:r w:rsidRPr="1D2FB1EA">
        <w:rPr>
          <w:rFonts w:ascii="Times New Roman" w:eastAsia="Times New Roman" w:hAnsi="Times New Roman" w:cs="Times New Roman"/>
          <w:sz w:val="24"/>
          <w:szCs w:val="24"/>
        </w:rPr>
        <w:t xml:space="preserve"> além disso, a própria Constituição Federal estabelece que a </w:t>
      </w:r>
      <w:r w:rsidRPr="1D2FB1EA">
        <w:rPr>
          <w:rFonts w:ascii="Times New Roman" w:eastAsia="Times New Roman" w:hAnsi="Times New Roman" w:cs="Times New Roman"/>
          <w:sz w:val="24"/>
          <w:szCs w:val="24"/>
        </w:rPr>
        <w:lastRenderedPageBreak/>
        <w:t xml:space="preserve">dignidade é da pessoa humana e não exclusiva do citadino. </w:t>
      </w:r>
    </w:p>
    <w:p w14:paraId="03E5F03F" w14:textId="77777777" w:rsidR="002817F8" w:rsidRDefault="0009568A">
      <w:pPr>
        <w:pStyle w:val="Normal1"/>
        <w:widowControl w:val="0"/>
        <w:spacing w:before="200" w:line="360" w:lineRule="auto"/>
        <w:ind w:right="-33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Resta nítido que </w:t>
      </w:r>
      <w:r w:rsidR="1D2FB1EA" w:rsidRPr="1D2FB1EA">
        <w:rPr>
          <w:rFonts w:ascii="Times New Roman" w:eastAsia="Times New Roman" w:hAnsi="Times New Roman" w:cs="Times New Roman"/>
          <w:sz w:val="24"/>
          <w:szCs w:val="24"/>
        </w:rPr>
        <w:t xml:space="preserve">a política migratória adotada desrespeita </w:t>
      </w:r>
      <w:r>
        <w:rPr>
          <w:rFonts w:ascii="Times New Roman" w:eastAsia="Times New Roman" w:hAnsi="Times New Roman" w:cs="Times New Roman"/>
          <w:sz w:val="24"/>
          <w:szCs w:val="24"/>
        </w:rPr>
        <w:t>os</w:t>
      </w:r>
      <w:r w:rsidR="1D2FB1EA" w:rsidRPr="1D2FB1EA">
        <w:rPr>
          <w:rFonts w:ascii="Times New Roman" w:eastAsia="Times New Roman" w:hAnsi="Times New Roman" w:cs="Times New Roman"/>
          <w:sz w:val="24"/>
          <w:szCs w:val="24"/>
        </w:rPr>
        <w:t xml:space="preserve"> documentos</w:t>
      </w:r>
      <w:r>
        <w:rPr>
          <w:rFonts w:ascii="Times New Roman" w:eastAsia="Times New Roman" w:hAnsi="Times New Roman" w:cs="Times New Roman"/>
          <w:sz w:val="24"/>
          <w:szCs w:val="24"/>
        </w:rPr>
        <w:t xml:space="preserve"> acima mencionados</w:t>
      </w:r>
      <w:r w:rsidR="1D2FB1EA" w:rsidRPr="1D2FB1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uma vez que</w:t>
      </w:r>
      <w:r w:rsidR="1D2FB1EA" w:rsidRPr="1D2FB1EA">
        <w:rPr>
          <w:rFonts w:ascii="Times New Roman" w:eastAsia="Times New Roman" w:hAnsi="Times New Roman" w:cs="Times New Roman"/>
          <w:sz w:val="24"/>
          <w:szCs w:val="24"/>
        </w:rPr>
        <w:t xml:space="preserve"> o Estado quantificou e criou um ideal de humanidade, ao ligar as garantias a do cidadão e não da espécie, excluindo os imigrantes e refugiados da área de proteção</w:t>
      </w:r>
      <w:r>
        <w:rPr>
          <w:rFonts w:ascii="Times New Roman" w:eastAsia="Times New Roman" w:hAnsi="Times New Roman" w:cs="Times New Roman"/>
          <w:sz w:val="24"/>
          <w:szCs w:val="24"/>
        </w:rPr>
        <w:t xml:space="preserve">, o que acarreta em, </w:t>
      </w:r>
      <w:r w:rsidR="1D2FB1EA" w:rsidRPr="1D2FB1EA">
        <w:rPr>
          <w:rFonts w:ascii="Times New Roman" w:eastAsia="Times New Roman" w:hAnsi="Times New Roman" w:cs="Times New Roman"/>
          <w:sz w:val="24"/>
          <w:szCs w:val="24"/>
        </w:rPr>
        <w:t>como afirma Rosa e Martin (2017, p. 57)</w:t>
      </w:r>
      <w:r>
        <w:rPr>
          <w:rFonts w:ascii="Times New Roman" w:eastAsia="Times New Roman" w:hAnsi="Times New Roman" w:cs="Times New Roman"/>
          <w:sz w:val="24"/>
          <w:szCs w:val="24"/>
        </w:rPr>
        <w:t>,</w:t>
      </w:r>
      <w:r w:rsidR="1D2FB1EA" w:rsidRPr="1D2FB1EA">
        <w:rPr>
          <w:rFonts w:ascii="Times New Roman" w:eastAsia="Times New Roman" w:hAnsi="Times New Roman" w:cs="Times New Roman"/>
          <w:sz w:val="24"/>
          <w:szCs w:val="24"/>
        </w:rPr>
        <w:t xml:space="preserve"> deixá-los desamparados a uma contínua vida nua</w:t>
      </w:r>
      <w:r>
        <w:rPr>
          <w:rFonts w:ascii="Times New Roman" w:eastAsia="Times New Roman" w:hAnsi="Times New Roman" w:cs="Times New Roman"/>
          <w:sz w:val="24"/>
          <w:szCs w:val="24"/>
        </w:rPr>
        <w:t>,</w:t>
      </w:r>
      <w:r w:rsidR="1D2FB1EA" w:rsidRPr="1D2FB1EA">
        <w:rPr>
          <w:rFonts w:ascii="Times New Roman" w:eastAsia="Times New Roman" w:hAnsi="Times New Roman" w:cs="Times New Roman"/>
          <w:sz w:val="24"/>
          <w:szCs w:val="24"/>
        </w:rPr>
        <w:t xml:space="preserve"> que pode ser interrompida, sem que haja um responsável.</w:t>
      </w:r>
    </w:p>
    <w:p w14:paraId="2A900A32" w14:textId="77777777" w:rsidR="0009568A" w:rsidRDefault="1D2FB1EA">
      <w:pPr>
        <w:pStyle w:val="Normal1"/>
        <w:widowControl w:val="0"/>
        <w:spacing w:before="200" w:line="360" w:lineRule="auto"/>
        <w:ind w:right="-330" w:firstLine="720"/>
        <w:jc w:val="both"/>
        <w:rPr>
          <w:rFonts w:ascii="Times New Roman" w:eastAsia="Times New Roman" w:hAnsi="Times New Roman" w:cs="Times New Roman"/>
          <w:color w:val="222222"/>
          <w:sz w:val="24"/>
          <w:szCs w:val="24"/>
          <w:highlight w:val="white"/>
        </w:rPr>
      </w:pPr>
      <w:r w:rsidRPr="1D2FB1EA">
        <w:rPr>
          <w:rFonts w:ascii="Times New Roman" w:eastAsia="Times New Roman" w:hAnsi="Times New Roman" w:cs="Times New Roman"/>
          <w:sz w:val="24"/>
          <w:szCs w:val="24"/>
        </w:rPr>
        <w:t xml:space="preserve"> Ao observar o fechamento da fronteira por outro plano, essa medida viola diversos parâmetros de controle de direitos humanos dos imigrantes. A própria Lei da imigração garante o direito ao ingresso ao território nacional (VEDOVATO, 2020, p, 259). </w:t>
      </w:r>
      <w:r w:rsidR="0009568A">
        <w:rPr>
          <w:rFonts w:ascii="Times New Roman" w:eastAsia="Times New Roman" w:hAnsi="Times New Roman" w:cs="Times New Roman"/>
          <w:sz w:val="24"/>
          <w:szCs w:val="24"/>
        </w:rPr>
        <w:t xml:space="preserve">Além disso, </w:t>
      </w:r>
      <w:r w:rsidRPr="1D2FB1EA">
        <w:rPr>
          <w:rFonts w:ascii="Times New Roman" w:eastAsia="Times New Roman" w:hAnsi="Times New Roman" w:cs="Times New Roman"/>
          <w:sz w:val="24"/>
          <w:szCs w:val="24"/>
        </w:rPr>
        <w:t xml:space="preserve">as medidas </w:t>
      </w:r>
      <w:r w:rsidRPr="1D2FB1EA">
        <w:rPr>
          <w:rFonts w:ascii="Times New Roman" w:eastAsia="Times New Roman" w:hAnsi="Times New Roman" w:cs="Times New Roman"/>
          <w:color w:val="222222"/>
          <w:sz w:val="24"/>
          <w:szCs w:val="24"/>
          <w:highlight w:val="white"/>
        </w:rPr>
        <w:t>vão de encontro a decisões do Supremo Tribunal Federal, especificament</w:t>
      </w:r>
      <w:r w:rsidR="0009568A">
        <w:rPr>
          <w:rFonts w:ascii="Times New Roman" w:eastAsia="Times New Roman" w:hAnsi="Times New Roman" w:cs="Times New Roman"/>
          <w:color w:val="222222"/>
          <w:sz w:val="24"/>
          <w:szCs w:val="24"/>
          <w:highlight w:val="white"/>
        </w:rPr>
        <w:t>e a Ação Cível Originária 3.121, em que a M</w:t>
      </w:r>
      <w:r w:rsidRPr="1D2FB1EA">
        <w:rPr>
          <w:rFonts w:ascii="Times New Roman" w:eastAsia="Times New Roman" w:hAnsi="Times New Roman" w:cs="Times New Roman"/>
          <w:color w:val="222222"/>
          <w:sz w:val="24"/>
          <w:szCs w:val="24"/>
          <w:highlight w:val="white"/>
        </w:rPr>
        <w:t>inistra Carmem Lúcia impediu o fechamento de fronteira para solicitante</w:t>
      </w:r>
      <w:r w:rsidR="0009568A">
        <w:rPr>
          <w:rFonts w:ascii="Times New Roman" w:eastAsia="Times New Roman" w:hAnsi="Times New Roman" w:cs="Times New Roman"/>
          <w:color w:val="222222"/>
          <w:sz w:val="24"/>
          <w:szCs w:val="24"/>
          <w:highlight w:val="white"/>
        </w:rPr>
        <w:t>s</w:t>
      </w:r>
      <w:r w:rsidRPr="1D2FB1EA">
        <w:rPr>
          <w:rFonts w:ascii="Times New Roman" w:eastAsia="Times New Roman" w:hAnsi="Times New Roman" w:cs="Times New Roman"/>
          <w:color w:val="222222"/>
          <w:sz w:val="24"/>
          <w:szCs w:val="24"/>
          <w:highlight w:val="white"/>
        </w:rPr>
        <w:t xml:space="preserve"> de refúgio (MACEDO, OLIVEIRA, 2020, p. 313). </w:t>
      </w:r>
    </w:p>
    <w:p w14:paraId="2D1D767A" w14:textId="77777777" w:rsidR="002817F8" w:rsidRDefault="1D2FB1EA">
      <w:pPr>
        <w:pStyle w:val="Normal1"/>
        <w:widowControl w:val="0"/>
        <w:spacing w:before="200" w:line="360" w:lineRule="auto"/>
        <w:ind w:right="-330" w:firstLine="720"/>
        <w:jc w:val="both"/>
        <w:rPr>
          <w:rFonts w:ascii="Times New Roman" w:eastAsia="Times New Roman" w:hAnsi="Times New Roman" w:cs="Times New Roman"/>
          <w:color w:val="222222"/>
          <w:sz w:val="24"/>
          <w:szCs w:val="24"/>
          <w:highlight w:val="white"/>
        </w:rPr>
      </w:pPr>
      <w:r w:rsidRPr="1D2FB1EA">
        <w:rPr>
          <w:rFonts w:ascii="Times New Roman" w:eastAsia="Times New Roman" w:hAnsi="Times New Roman" w:cs="Times New Roman"/>
          <w:color w:val="222222"/>
          <w:sz w:val="24"/>
          <w:szCs w:val="24"/>
          <w:highlight w:val="white"/>
        </w:rPr>
        <w:t xml:space="preserve">Além da jurisprudência, há </w:t>
      </w:r>
      <w:r w:rsidR="0009568A">
        <w:rPr>
          <w:rFonts w:ascii="Times New Roman" w:eastAsia="Times New Roman" w:hAnsi="Times New Roman" w:cs="Times New Roman"/>
          <w:color w:val="222222"/>
          <w:sz w:val="24"/>
          <w:szCs w:val="24"/>
          <w:highlight w:val="white"/>
        </w:rPr>
        <w:t xml:space="preserve">violação a instrumentos internacionais, </w:t>
      </w:r>
      <w:r w:rsidRPr="1D2FB1EA">
        <w:rPr>
          <w:rFonts w:ascii="Times New Roman" w:eastAsia="Times New Roman" w:hAnsi="Times New Roman" w:cs="Times New Roman"/>
          <w:color w:val="222222"/>
          <w:sz w:val="24"/>
          <w:szCs w:val="24"/>
          <w:highlight w:val="white"/>
        </w:rPr>
        <w:t xml:space="preserve">como a </w:t>
      </w:r>
      <w:r w:rsidRPr="1D2FB1EA">
        <w:rPr>
          <w:rFonts w:ascii="Times New Roman" w:eastAsia="Times New Roman" w:hAnsi="Times New Roman" w:cs="Times New Roman"/>
          <w:color w:val="1A1A1A"/>
          <w:sz w:val="24"/>
          <w:szCs w:val="24"/>
          <w:highlight w:val="white"/>
        </w:rPr>
        <w:t>Convenção Relativa ao Estatuto dos Refugiados</w:t>
      </w:r>
      <w:r w:rsidR="0009568A">
        <w:rPr>
          <w:rFonts w:ascii="Times New Roman" w:eastAsia="Times New Roman" w:hAnsi="Times New Roman" w:cs="Times New Roman"/>
          <w:color w:val="1A1A1A"/>
          <w:sz w:val="24"/>
          <w:szCs w:val="24"/>
          <w:highlight w:val="white"/>
        </w:rPr>
        <w:t xml:space="preserve">, que </w:t>
      </w:r>
      <w:r w:rsidRPr="1D2FB1EA">
        <w:rPr>
          <w:rFonts w:ascii="Times New Roman" w:eastAsia="Times New Roman" w:hAnsi="Times New Roman" w:cs="Times New Roman"/>
          <w:color w:val="222222"/>
          <w:sz w:val="24"/>
          <w:szCs w:val="24"/>
          <w:highlight w:val="white"/>
        </w:rPr>
        <w:t>e</w:t>
      </w:r>
      <w:r w:rsidR="0009568A">
        <w:rPr>
          <w:rFonts w:ascii="Times New Roman" w:eastAsia="Times New Roman" w:hAnsi="Times New Roman" w:cs="Times New Roman"/>
          <w:color w:val="222222"/>
          <w:sz w:val="24"/>
          <w:szCs w:val="24"/>
          <w:highlight w:val="white"/>
        </w:rPr>
        <w:t>m seu artigo 33º adotou o p</w:t>
      </w:r>
      <w:r w:rsidRPr="1D2FB1EA">
        <w:rPr>
          <w:rFonts w:ascii="Times New Roman" w:eastAsia="Times New Roman" w:hAnsi="Times New Roman" w:cs="Times New Roman"/>
          <w:color w:val="222222"/>
          <w:sz w:val="24"/>
          <w:szCs w:val="24"/>
          <w:highlight w:val="white"/>
        </w:rPr>
        <w:t>rincípio do</w:t>
      </w:r>
      <w:r w:rsidRPr="1D2FB1EA">
        <w:rPr>
          <w:rFonts w:ascii="Times New Roman" w:eastAsia="Times New Roman" w:hAnsi="Times New Roman" w:cs="Times New Roman"/>
          <w:i/>
          <w:iCs/>
          <w:color w:val="222222"/>
          <w:sz w:val="24"/>
          <w:szCs w:val="24"/>
          <w:highlight w:val="white"/>
        </w:rPr>
        <w:t xml:space="preserve"> non-refoulement</w:t>
      </w:r>
      <w:r w:rsidR="0009568A">
        <w:rPr>
          <w:rFonts w:ascii="Times New Roman" w:eastAsia="Times New Roman" w:hAnsi="Times New Roman" w:cs="Times New Roman"/>
          <w:iCs/>
          <w:color w:val="222222"/>
          <w:sz w:val="24"/>
          <w:szCs w:val="24"/>
          <w:highlight w:val="white"/>
        </w:rPr>
        <w:t>,</w:t>
      </w:r>
      <w:r w:rsidRPr="1D2FB1EA">
        <w:rPr>
          <w:rFonts w:ascii="Times New Roman" w:eastAsia="Times New Roman" w:hAnsi="Times New Roman" w:cs="Times New Roman"/>
          <w:color w:val="222222"/>
          <w:sz w:val="24"/>
          <w:szCs w:val="24"/>
          <w:highlight w:val="white"/>
        </w:rPr>
        <w:t xml:space="preserve"> proibindo a expulsão ou de rechaço de imigrantes (MACEDO, OLIVEIRA, 2020, p. 317). Desse modo, em relação a deportação ime</w:t>
      </w:r>
      <w:r w:rsidR="0009568A">
        <w:rPr>
          <w:rFonts w:ascii="Times New Roman" w:eastAsia="Times New Roman" w:hAnsi="Times New Roman" w:cs="Times New Roman"/>
          <w:color w:val="222222"/>
          <w:sz w:val="24"/>
          <w:szCs w:val="24"/>
          <w:highlight w:val="white"/>
        </w:rPr>
        <w:t>diata, além de ser vedada pela citada C</w:t>
      </w:r>
      <w:r w:rsidRPr="1D2FB1EA">
        <w:rPr>
          <w:rFonts w:ascii="Times New Roman" w:eastAsia="Times New Roman" w:hAnsi="Times New Roman" w:cs="Times New Roman"/>
          <w:color w:val="222222"/>
          <w:sz w:val="24"/>
          <w:szCs w:val="24"/>
          <w:highlight w:val="white"/>
        </w:rPr>
        <w:t xml:space="preserve">onvenção, </w:t>
      </w:r>
      <w:r w:rsidR="0009568A">
        <w:rPr>
          <w:rFonts w:ascii="Times New Roman" w:eastAsia="Times New Roman" w:hAnsi="Times New Roman" w:cs="Times New Roman"/>
          <w:color w:val="222222"/>
          <w:sz w:val="24"/>
          <w:szCs w:val="24"/>
          <w:highlight w:val="white"/>
        </w:rPr>
        <w:t>fere</w:t>
      </w:r>
      <w:r w:rsidRPr="1D2FB1EA">
        <w:rPr>
          <w:rFonts w:ascii="Times New Roman" w:eastAsia="Times New Roman" w:hAnsi="Times New Roman" w:cs="Times New Roman"/>
          <w:color w:val="222222"/>
          <w:sz w:val="24"/>
          <w:szCs w:val="24"/>
          <w:highlight w:val="white"/>
        </w:rPr>
        <w:t xml:space="preserve"> a Constituição </w:t>
      </w:r>
      <w:r w:rsidR="0009568A">
        <w:rPr>
          <w:rFonts w:ascii="Times New Roman" w:eastAsia="Times New Roman" w:hAnsi="Times New Roman" w:cs="Times New Roman"/>
          <w:color w:val="222222"/>
          <w:sz w:val="24"/>
          <w:szCs w:val="24"/>
          <w:highlight w:val="white"/>
        </w:rPr>
        <w:t>brasileira</w:t>
      </w:r>
      <w:r w:rsidRPr="1D2FB1EA">
        <w:rPr>
          <w:rFonts w:ascii="Times New Roman" w:eastAsia="Times New Roman" w:hAnsi="Times New Roman" w:cs="Times New Roman"/>
          <w:color w:val="222222"/>
          <w:sz w:val="24"/>
          <w:szCs w:val="24"/>
          <w:highlight w:val="white"/>
        </w:rPr>
        <w:t>, uma vez que esta garante no seu artigo 5º, inciso LV, o direito à ampla defesa e contraditório</w:t>
      </w:r>
      <w:r w:rsidR="0009568A">
        <w:rPr>
          <w:rFonts w:ascii="Times New Roman" w:eastAsia="Times New Roman" w:hAnsi="Times New Roman" w:cs="Times New Roman"/>
          <w:color w:val="222222"/>
          <w:sz w:val="24"/>
          <w:szCs w:val="24"/>
          <w:highlight w:val="white"/>
        </w:rPr>
        <w:t>, bem como</w:t>
      </w:r>
      <w:r w:rsidRPr="1D2FB1EA">
        <w:rPr>
          <w:rFonts w:ascii="Times New Roman" w:eastAsia="Times New Roman" w:hAnsi="Times New Roman" w:cs="Times New Roman"/>
          <w:color w:val="222222"/>
          <w:sz w:val="24"/>
          <w:szCs w:val="24"/>
          <w:highlight w:val="white"/>
        </w:rPr>
        <w:t xml:space="preserve"> </w:t>
      </w:r>
      <w:r w:rsidR="0009568A">
        <w:rPr>
          <w:rFonts w:ascii="Times New Roman" w:eastAsia="Times New Roman" w:hAnsi="Times New Roman" w:cs="Times New Roman"/>
          <w:color w:val="222222"/>
          <w:sz w:val="24"/>
          <w:szCs w:val="24"/>
          <w:highlight w:val="white"/>
        </w:rPr>
        <w:t>CADH, que</w:t>
      </w:r>
      <w:r w:rsidRPr="1D2FB1EA">
        <w:rPr>
          <w:rFonts w:ascii="Times New Roman" w:eastAsia="Times New Roman" w:hAnsi="Times New Roman" w:cs="Times New Roman"/>
          <w:color w:val="222222"/>
          <w:sz w:val="24"/>
          <w:szCs w:val="24"/>
          <w:highlight w:val="white"/>
        </w:rPr>
        <w:t xml:space="preserve"> no seu artigo 8°, versa </w:t>
      </w:r>
      <w:r w:rsidR="0009568A">
        <w:rPr>
          <w:rFonts w:ascii="Times New Roman" w:eastAsia="Times New Roman" w:hAnsi="Times New Roman" w:cs="Times New Roman"/>
          <w:color w:val="222222"/>
          <w:sz w:val="24"/>
          <w:szCs w:val="24"/>
          <w:highlight w:val="white"/>
        </w:rPr>
        <w:t xml:space="preserve">que </w:t>
      </w:r>
      <w:r w:rsidRPr="1D2FB1EA">
        <w:rPr>
          <w:rFonts w:ascii="Times New Roman" w:eastAsia="Times New Roman" w:hAnsi="Times New Roman" w:cs="Times New Roman"/>
          <w:color w:val="222222"/>
          <w:sz w:val="24"/>
          <w:szCs w:val="24"/>
          <w:highlight w:val="white"/>
        </w:rPr>
        <w:t xml:space="preserve">toda pessoa deve ser ouvida por um juiz ou tribunal competente assegurado todas as garantias judiciais.  </w:t>
      </w:r>
    </w:p>
    <w:p w14:paraId="092546D0" w14:textId="77777777" w:rsidR="002817F8" w:rsidRDefault="1D2FB1EA">
      <w:pPr>
        <w:pStyle w:val="Normal1"/>
        <w:widowControl w:val="0"/>
        <w:spacing w:before="200" w:line="360" w:lineRule="auto"/>
        <w:ind w:right="-330" w:firstLine="720"/>
        <w:jc w:val="both"/>
        <w:rPr>
          <w:rFonts w:ascii="Times New Roman" w:eastAsia="Times New Roman" w:hAnsi="Times New Roman" w:cs="Times New Roman"/>
          <w:color w:val="222222"/>
          <w:sz w:val="24"/>
          <w:szCs w:val="24"/>
          <w:highlight w:val="white"/>
        </w:rPr>
      </w:pPr>
      <w:r w:rsidRPr="1D2FB1EA">
        <w:rPr>
          <w:rFonts w:ascii="Times New Roman" w:eastAsia="Times New Roman" w:hAnsi="Times New Roman" w:cs="Times New Roman"/>
          <w:color w:val="222222"/>
          <w:sz w:val="24"/>
          <w:szCs w:val="24"/>
          <w:highlight w:val="white"/>
        </w:rPr>
        <w:t>O fato de o Estado editar normas migratóri</w:t>
      </w:r>
      <w:r w:rsidR="006126F9">
        <w:rPr>
          <w:rFonts w:ascii="Times New Roman" w:eastAsia="Times New Roman" w:hAnsi="Times New Roman" w:cs="Times New Roman"/>
          <w:color w:val="222222"/>
          <w:sz w:val="24"/>
          <w:szCs w:val="24"/>
          <w:highlight w:val="white"/>
        </w:rPr>
        <w:t>as durante a pandemia da</w:t>
      </w:r>
      <w:r w:rsidRPr="1D2FB1EA">
        <w:rPr>
          <w:rFonts w:ascii="Times New Roman" w:eastAsia="Times New Roman" w:hAnsi="Times New Roman" w:cs="Times New Roman"/>
          <w:color w:val="222222"/>
          <w:sz w:val="24"/>
          <w:szCs w:val="24"/>
          <w:highlight w:val="white"/>
        </w:rPr>
        <w:t xml:space="preserve"> Covid-19, que violam os direitos humanos dos imigrantes, notadamente os previstos em tratados internacionais, é explicado por Giorgio Agamben</w:t>
      </w:r>
      <w:r w:rsidR="00927EA3">
        <w:rPr>
          <w:rFonts w:ascii="Times New Roman" w:eastAsia="Times New Roman" w:hAnsi="Times New Roman" w:cs="Times New Roman"/>
          <w:color w:val="222222"/>
          <w:sz w:val="24"/>
          <w:szCs w:val="24"/>
          <w:highlight w:val="white"/>
        </w:rPr>
        <w:t xml:space="preserve">. De acordo com o pensamento do autor, </w:t>
      </w:r>
      <w:r w:rsidRPr="1D2FB1EA">
        <w:rPr>
          <w:rFonts w:ascii="Times New Roman" w:eastAsia="Times New Roman" w:hAnsi="Times New Roman" w:cs="Times New Roman"/>
          <w:color w:val="222222"/>
          <w:sz w:val="24"/>
          <w:szCs w:val="24"/>
          <w:highlight w:val="white"/>
        </w:rPr>
        <w:t xml:space="preserve">o Estado utiliza a ferramenta biopolítica do estado de exceção, ou seja, </w:t>
      </w:r>
      <w:r w:rsidR="00927EA3" w:rsidRPr="00927EA3">
        <w:rPr>
          <w:rFonts w:ascii="Times New Roman" w:eastAsia="Times New Roman" w:hAnsi="Times New Roman" w:cs="Times New Roman"/>
          <w:iCs/>
          <w:color w:val="222222"/>
          <w:sz w:val="24"/>
          <w:szCs w:val="24"/>
          <w:highlight w:val="white"/>
        </w:rPr>
        <w:t>um</w:t>
      </w:r>
      <w:r w:rsidRPr="1D2FB1EA">
        <w:rPr>
          <w:rFonts w:ascii="Times New Roman" w:eastAsia="Times New Roman" w:hAnsi="Times New Roman" w:cs="Times New Roman"/>
          <w:i/>
          <w:iCs/>
          <w:color w:val="222222"/>
          <w:sz w:val="24"/>
          <w:szCs w:val="24"/>
          <w:highlight w:val="white"/>
        </w:rPr>
        <w:t xml:space="preserve"> status quo</w:t>
      </w:r>
      <w:r w:rsidRPr="1D2FB1EA">
        <w:rPr>
          <w:rFonts w:ascii="Times New Roman" w:eastAsia="Times New Roman" w:hAnsi="Times New Roman" w:cs="Times New Roman"/>
          <w:color w:val="222222"/>
          <w:sz w:val="24"/>
          <w:szCs w:val="24"/>
          <w:highlight w:val="white"/>
        </w:rPr>
        <w:t xml:space="preserve"> de emergência para afastar a</w:t>
      </w:r>
      <w:r w:rsidR="00927EA3">
        <w:rPr>
          <w:rFonts w:ascii="Times New Roman" w:eastAsia="Times New Roman" w:hAnsi="Times New Roman" w:cs="Times New Roman"/>
          <w:color w:val="222222"/>
          <w:sz w:val="24"/>
          <w:szCs w:val="24"/>
          <w:highlight w:val="white"/>
        </w:rPr>
        <w:t>s</w:t>
      </w:r>
      <w:r w:rsidRPr="1D2FB1EA">
        <w:rPr>
          <w:rFonts w:ascii="Times New Roman" w:eastAsia="Times New Roman" w:hAnsi="Times New Roman" w:cs="Times New Roman"/>
          <w:color w:val="222222"/>
          <w:sz w:val="24"/>
          <w:szCs w:val="24"/>
          <w:highlight w:val="white"/>
        </w:rPr>
        <w:t xml:space="preserve"> prerrogativas fundamentais</w:t>
      </w:r>
      <w:r w:rsidR="00927EA3">
        <w:rPr>
          <w:rFonts w:ascii="Times New Roman" w:eastAsia="Times New Roman" w:hAnsi="Times New Roman" w:cs="Times New Roman"/>
          <w:color w:val="222222"/>
          <w:sz w:val="24"/>
          <w:szCs w:val="24"/>
          <w:highlight w:val="white"/>
        </w:rPr>
        <w:t>,</w:t>
      </w:r>
      <w:r w:rsidRPr="1D2FB1EA">
        <w:rPr>
          <w:rFonts w:ascii="Times New Roman" w:eastAsia="Times New Roman" w:hAnsi="Times New Roman" w:cs="Times New Roman"/>
          <w:color w:val="222222"/>
          <w:sz w:val="24"/>
          <w:szCs w:val="24"/>
          <w:highlight w:val="white"/>
        </w:rPr>
        <w:t xml:space="preserve"> a fim estabelecer a ordem </w:t>
      </w:r>
      <w:r w:rsidRPr="1D2FB1EA">
        <w:rPr>
          <w:rFonts w:ascii="Times New Roman" w:eastAsia="Times New Roman" w:hAnsi="Times New Roman" w:cs="Times New Roman"/>
          <w:color w:val="000000" w:themeColor="text1"/>
        </w:rPr>
        <w:t>(AGAMBEN, 2004, p. 58)</w:t>
      </w:r>
      <w:r w:rsidRPr="1D2FB1EA">
        <w:rPr>
          <w:rFonts w:ascii="Times New Roman" w:eastAsia="Times New Roman" w:hAnsi="Times New Roman" w:cs="Times New Roman"/>
          <w:color w:val="222222"/>
          <w:sz w:val="24"/>
          <w:szCs w:val="24"/>
          <w:highlight w:val="white"/>
        </w:rPr>
        <w:t>. Assim</w:t>
      </w:r>
      <w:r w:rsidR="00927EA3">
        <w:rPr>
          <w:rFonts w:ascii="Times New Roman" w:eastAsia="Times New Roman" w:hAnsi="Times New Roman" w:cs="Times New Roman"/>
          <w:color w:val="222222"/>
          <w:sz w:val="24"/>
          <w:szCs w:val="24"/>
          <w:highlight w:val="white"/>
        </w:rPr>
        <w:t>,</w:t>
      </w:r>
      <w:r w:rsidRPr="1D2FB1EA">
        <w:rPr>
          <w:rFonts w:ascii="Times New Roman" w:eastAsia="Times New Roman" w:hAnsi="Times New Roman" w:cs="Times New Roman"/>
          <w:color w:val="222222"/>
          <w:sz w:val="24"/>
          <w:szCs w:val="24"/>
          <w:highlight w:val="white"/>
        </w:rPr>
        <w:t xml:space="preserve"> atenta</w:t>
      </w:r>
      <w:r w:rsidR="00927EA3">
        <w:rPr>
          <w:rFonts w:ascii="Times New Roman" w:eastAsia="Times New Roman" w:hAnsi="Times New Roman" w:cs="Times New Roman"/>
          <w:color w:val="222222"/>
          <w:sz w:val="24"/>
          <w:szCs w:val="24"/>
          <w:highlight w:val="white"/>
        </w:rPr>
        <w:t>-se</w:t>
      </w:r>
      <w:r w:rsidRPr="1D2FB1EA">
        <w:rPr>
          <w:rFonts w:ascii="Times New Roman" w:eastAsia="Times New Roman" w:hAnsi="Times New Roman" w:cs="Times New Roman"/>
          <w:color w:val="222222"/>
          <w:sz w:val="24"/>
          <w:szCs w:val="24"/>
          <w:highlight w:val="white"/>
        </w:rPr>
        <w:t xml:space="preserve"> contra a vida humana por meio da suspensão dos Direitos Humanos, </w:t>
      </w:r>
      <w:r w:rsidR="00927EA3">
        <w:rPr>
          <w:rFonts w:ascii="Times New Roman" w:eastAsia="Times New Roman" w:hAnsi="Times New Roman" w:cs="Times New Roman"/>
          <w:color w:val="222222"/>
          <w:sz w:val="24"/>
          <w:szCs w:val="24"/>
          <w:highlight w:val="white"/>
        </w:rPr>
        <w:t>através da</w:t>
      </w:r>
      <w:r w:rsidRPr="1D2FB1EA">
        <w:rPr>
          <w:rFonts w:ascii="Times New Roman" w:eastAsia="Times New Roman" w:hAnsi="Times New Roman" w:cs="Times New Roman"/>
          <w:color w:val="222222"/>
          <w:sz w:val="24"/>
          <w:szCs w:val="24"/>
          <w:highlight w:val="white"/>
        </w:rPr>
        <w:t xml:space="preserve"> própria legislação. </w:t>
      </w:r>
    </w:p>
    <w:p w14:paraId="6C67DED6" w14:textId="77777777" w:rsidR="002817F8" w:rsidRDefault="1D2FB1EA">
      <w:pPr>
        <w:pStyle w:val="Normal1"/>
        <w:widowControl w:val="0"/>
        <w:spacing w:before="200" w:line="360" w:lineRule="auto"/>
        <w:ind w:right="-330" w:firstLine="720"/>
        <w:jc w:val="both"/>
        <w:rPr>
          <w:rFonts w:ascii="Times New Roman" w:eastAsia="Times New Roman" w:hAnsi="Times New Roman" w:cs="Times New Roman"/>
          <w:color w:val="222222"/>
          <w:sz w:val="24"/>
          <w:szCs w:val="24"/>
          <w:highlight w:val="white"/>
        </w:rPr>
      </w:pPr>
      <w:r w:rsidRPr="1D2FB1EA">
        <w:rPr>
          <w:rFonts w:ascii="Times New Roman" w:eastAsia="Times New Roman" w:hAnsi="Times New Roman" w:cs="Times New Roman"/>
          <w:color w:val="222222"/>
          <w:sz w:val="24"/>
          <w:szCs w:val="24"/>
          <w:highlight w:val="white"/>
        </w:rPr>
        <w:t>Em relação ao acesso aos imigrantes ao auxílio emergencial, a Lei da Migração, no seu artigo 4°, inciso</w:t>
      </w:r>
      <w:r w:rsidR="005B00F2">
        <w:rPr>
          <w:rFonts w:ascii="Times New Roman" w:eastAsia="Times New Roman" w:hAnsi="Times New Roman" w:cs="Times New Roman"/>
          <w:color w:val="222222"/>
          <w:sz w:val="24"/>
          <w:szCs w:val="24"/>
          <w:highlight w:val="white"/>
        </w:rPr>
        <w:t>s</w:t>
      </w:r>
      <w:r w:rsidRPr="1D2FB1EA">
        <w:rPr>
          <w:rFonts w:ascii="Times New Roman" w:eastAsia="Times New Roman" w:hAnsi="Times New Roman" w:cs="Times New Roman"/>
          <w:color w:val="222222"/>
          <w:sz w:val="24"/>
          <w:szCs w:val="24"/>
          <w:highlight w:val="white"/>
        </w:rPr>
        <w:t xml:space="preserve"> I e VIII, garante o acesso do imigrante aos direitos sociais. Apesar disso, a assistência social, entretanto, ao invés de exigir comente o Cadúnico (Cadastro Único para programas sociais do Governo Federal), faz exigência do CPF, fato problemático já que muitos imigrantes não o possuem (CARDOSO, 2020, p. 285). De acordo com a Lei da Migração, a </w:t>
      </w:r>
      <w:r w:rsidRPr="1D2FB1EA">
        <w:rPr>
          <w:rFonts w:ascii="Times New Roman" w:eastAsia="Times New Roman" w:hAnsi="Times New Roman" w:cs="Times New Roman"/>
          <w:color w:val="222222"/>
          <w:sz w:val="24"/>
          <w:szCs w:val="24"/>
          <w:highlight w:val="white"/>
        </w:rPr>
        <w:lastRenderedPageBreak/>
        <w:t xml:space="preserve">irregularidade da condição migratória não pode ser impedimento </w:t>
      </w:r>
      <w:r w:rsidR="00C41080">
        <w:rPr>
          <w:rFonts w:ascii="Times New Roman" w:eastAsia="Times New Roman" w:hAnsi="Times New Roman" w:cs="Times New Roman"/>
          <w:color w:val="222222"/>
          <w:sz w:val="24"/>
          <w:szCs w:val="24"/>
          <w:highlight w:val="white"/>
        </w:rPr>
        <w:t xml:space="preserve">ao gozo de benefícios </w:t>
      </w:r>
      <w:r w:rsidRPr="1D2FB1EA">
        <w:rPr>
          <w:rFonts w:ascii="Times New Roman" w:eastAsia="Times New Roman" w:hAnsi="Times New Roman" w:cs="Times New Roman"/>
          <w:color w:val="222222"/>
          <w:sz w:val="24"/>
          <w:szCs w:val="24"/>
          <w:highlight w:val="white"/>
        </w:rPr>
        <w:t>assist</w:t>
      </w:r>
      <w:r w:rsidR="00C41080">
        <w:rPr>
          <w:rFonts w:ascii="Times New Roman" w:eastAsia="Times New Roman" w:hAnsi="Times New Roman" w:cs="Times New Roman"/>
          <w:color w:val="222222"/>
          <w:sz w:val="24"/>
          <w:szCs w:val="24"/>
          <w:highlight w:val="white"/>
        </w:rPr>
        <w:t xml:space="preserve">enciais </w:t>
      </w:r>
      <w:r w:rsidRPr="1D2FB1EA">
        <w:rPr>
          <w:rFonts w:ascii="Times New Roman" w:eastAsia="Times New Roman" w:hAnsi="Times New Roman" w:cs="Times New Roman"/>
          <w:color w:val="222222"/>
          <w:sz w:val="24"/>
          <w:szCs w:val="24"/>
          <w:highlight w:val="white"/>
        </w:rPr>
        <w:t xml:space="preserve">pelos imigrantes. Dessa forma, fica claro que o estado hierarquiza a proteção a vida humana com </w:t>
      </w:r>
      <w:r w:rsidR="00C41080">
        <w:rPr>
          <w:rFonts w:ascii="Times New Roman" w:eastAsia="Times New Roman" w:hAnsi="Times New Roman" w:cs="Times New Roman"/>
          <w:color w:val="222222"/>
          <w:sz w:val="24"/>
          <w:szCs w:val="24"/>
          <w:highlight w:val="white"/>
        </w:rPr>
        <w:t>base no status de regularização. N</w:t>
      </w:r>
      <w:r w:rsidRPr="1D2FB1EA">
        <w:rPr>
          <w:rFonts w:ascii="Times New Roman" w:eastAsia="Times New Roman" w:hAnsi="Times New Roman" w:cs="Times New Roman"/>
          <w:color w:val="222222"/>
          <w:sz w:val="24"/>
          <w:szCs w:val="24"/>
          <w:highlight w:val="white"/>
        </w:rPr>
        <w:t xml:space="preserve">esse sentido, um imigrante </w:t>
      </w:r>
      <w:r w:rsidR="00C41080">
        <w:rPr>
          <w:rFonts w:ascii="Times New Roman" w:eastAsia="Times New Roman" w:hAnsi="Times New Roman" w:cs="Times New Roman"/>
          <w:color w:val="222222"/>
          <w:sz w:val="24"/>
          <w:szCs w:val="24"/>
          <w:highlight w:val="white"/>
        </w:rPr>
        <w:t>indocumentado</w:t>
      </w:r>
      <w:r w:rsidRPr="1D2FB1EA">
        <w:rPr>
          <w:rFonts w:ascii="Times New Roman" w:eastAsia="Times New Roman" w:hAnsi="Times New Roman" w:cs="Times New Roman"/>
          <w:color w:val="222222"/>
          <w:sz w:val="24"/>
          <w:szCs w:val="24"/>
          <w:highlight w:val="white"/>
        </w:rPr>
        <w:t xml:space="preserve"> estaria destituído de direitos</w:t>
      </w:r>
      <w:r w:rsidR="00C41080">
        <w:rPr>
          <w:rFonts w:ascii="Times New Roman" w:eastAsia="Times New Roman" w:hAnsi="Times New Roman" w:cs="Times New Roman"/>
          <w:color w:val="222222"/>
          <w:sz w:val="24"/>
          <w:szCs w:val="24"/>
          <w:highlight w:val="white"/>
        </w:rPr>
        <w:t>,</w:t>
      </w:r>
      <w:r w:rsidRPr="1D2FB1EA">
        <w:rPr>
          <w:rFonts w:ascii="Times New Roman" w:eastAsia="Times New Roman" w:hAnsi="Times New Roman" w:cs="Times New Roman"/>
          <w:color w:val="222222"/>
          <w:sz w:val="24"/>
          <w:szCs w:val="24"/>
          <w:highlight w:val="white"/>
        </w:rPr>
        <w:t xml:space="preserve"> sendo deixado à mercê do estado de indeterminação, no caso, a ameaça a dignidade humana</w:t>
      </w:r>
      <w:r w:rsidR="00C41080">
        <w:rPr>
          <w:rFonts w:ascii="Times New Roman" w:eastAsia="Times New Roman" w:hAnsi="Times New Roman" w:cs="Times New Roman"/>
          <w:color w:val="222222"/>
          <w:sz w:val="24"/>
          <w:szCs w:val="24"/>
          <w:highlight w:val="white"/>
        </w:rPr>
        <w:t>,</w:t>
      </w:r>
      <w:r w:rsidRPr="1D2FB1EA">
        <w:rPr>
          <w:rFonts w:ascii="Times New Roman" w:eastAsia="Times New Roman" w:hAnsi="Times New Roman" w:cs="Times New Roman"/>
          <w:color w:val="222222"/>
          <w:sz w:val="24"/>
          <w:szCs w:val="24"/>
          <w:highlight w:val="white"/>
        </w:rPr>
        <w:t xml:space="preserve"> ao não possuir condições de subsistência devido ao fechamento do mercado e ao notável aumento de demissões no Brasil e</w:t>
      </w:r>
      <w:r w:rsidR="00C41080">
        <w:rPr>
          <w:rFonts w:ascii="Times New Roman" w:eastAsia="Times New Roman" w:hAnsi="Times New Roman" w:cs="Times New Roman"/>
          <w:color w:val="222222"/>
          <w:sz w:val="24"/>
          <w:szCs w:val="24"/>
          <w:highlight w:val="white"/>
        </w:rPr>
        <w:t>,</w:t>
      </w:r>
      <w:r w:rsidRPr="1D2FB1EA">
        <w:rPr>
          <w:rFonts w:ascii="Times New Roman" w:eastAsia="Times New Roman" w:hAnsi="Times New Roman" w:cs="Times New Roman"/>
          <w:color w:val="222222"/>
          <w:sz w:val="24"/>
          <w:szCs w:val="24"/>
          <w:highlight w:val="white"/>
        </w:rPr>
        <w:t xml:space="preserve"> até mesmo, o perigo de morte </w:t>
      </w:r>
      <w:r w:rsidR="00C41080">
        <w:rPr>
          <w:rFonts w:ascii="Times New Roman" w:eastAsia="Times New Roman" w:hAnsi="Times New Roman" w:cs="Times New Roman"/>
          <w:color w:val="222222"/>
          <w:sz w:val="24"/>
          <w:szCs w:val="24"/>
          <w:highlight w:val="white"/>
        </w:rPr>
        <w:t xml:space="preserve">em razão </w:t>
      </w:r>
      <w:r w:rsidRPr="1D2FB1EA">
        <w:rPr>
          <w:rFonts w:ascii="Times New Roman" w:eastAsia="Times New Roman" w:hAnsi="Times New Roman" w:cs="Times New Roman"/>
          <w:color w:val="222222"/>
          <w:sz w:val="24"/>
          <w:szCs w:val="24"/>
          <w:highlight w:val="white"/>
        </w:rPr>
        <w:t xml:space="preserve">do </w:t>
      </w:r>
      <w:r w:rsidR="00C41080">
        <w:rPr>
          <w:rFonts w:ascii="Times New Roman" w:eastAsia="Times New Roman" w:hAnsi="Times New Roman" w:cs="Times New Roman"/>
          <w:color w:val="222222"/>
          <w:sz w:val="24"/>
          <w:szCs w:val="24"/>
          <w:highlight w:val="white"/>
        </w:rPr>
        <w:t>c</w:t>
      </w:r>
      <w:r w:rsidRPr="1D2FB1EA">
        <w:rPr>
          <w:rFonts w:ascii="Times New Roman" w:eastAsia="Times New Roman" w:hAnsi="Times New Roman" w:cs="Times New Roman"/>
          <w:color w:val="222222"/>
          <w:sz w:val="24"/>
          <w:szCs w:val="24"/>
          <w:highlight w:val="white"/>
        </w:rPr>
        <w:t xml:space="preserve">oronavírus. </w:t>
      </w:r>
      <w:r w:rsidR="00C41080">
        <w:rPr>
          <w:rFonts w:ascii="Times New Roman" w:eastAsia="Times New Roman" w:hAnsi="Times New Roman" w:cs="Times New Roman"/>
          <w:color w:val="222222"/>
          <w:sz w:val="24"/>
          <w:szCs w:val="24"/>
          <w:highlight w:val="white"/>
        </w:rPr>
        <w:t>Sem embargo, o</w:t>
      </w:r>
      <w:r w:rsidRPr="1D2FB1EA">
        <w:rPr>
          <w:rFonts w:ascii="Times New Roman" w:eastAsia="Times New Roman" w:hAnsi="Times New Roman" w:cs="Times New Roman"/>
          <w:color w:val="222222"/>
          <w:sz w:val="24"/>
          <w:szCs w:val="24"/>
          <w:highlight w:val="white"/>
        </w:rPr>
        <w:t xml:space="preserve"> Estado brasileiro definiu a área de proteção dos direitos humanos apenas aqueles registrados, e não </w:t>
      </w:r>
      <w:r w:rsidR="00C41080">
        <w:rPr>
          <w:rFonts w:ascii="Times New Roman" w:eastAsia="Times New Roman" w:hAnsi="Times New Roman" w:cs="Times New Roman"/>
          <w:color w:val="222222"/>
          <w:sz w:val="24"/>
          <w:szCs w:val="24"/>
          <w:highlight w:val="white"/>
        </w:rPr>
        <w:t xml:space="preserve">com base na </w:t>
      </w:r>
      <w:r w:rsidRPr="1D2FB1EA">
        <w:rPr>
          <w:rFonts w:ascii="Times New Roman" w:eastAsia="Times New Roman" w:hAnsi="Times New Roman" w:cs="Times New Roman"/>
          <w:color w:val="222222"/>
          <w:sz w:val="24"/>
          <w:szCs w:val="24"/>
          <w:highlight w:val="white"/>
        </w:rPr>
        <w:t xml:space="preserve">própria </w:t>
      </w:r>
      <w:r w:rsidR="00C41080">
        <w:rPr>
          <w:rFonts w:ascii="Times New Roman" w:eastAsia="Times New Roman" w:hAnsi="Times New Roman" w:cs="Times New Roman"/>
          <w:color w:val="222222"/>
          <w:sz w:val="24"/>
          <w:szCs w:val="24"/>
          <w:highlight w:val="white"/>
        </w:rPr>
        <w:t xml:space="preserve">“condição </w:t>
      </w:r>
      <w:r w:rsidRPr="1D2FB1EA">
        <w:rPr>
          <w:rFonts w:ascii="Times New Roman" w:eastAsia="Times New Roman" w:hAnsi="Times New Roman" w:cs="Times New Roman"/>
          <w:color w:val="222222"/>
          <w:sz w:val="24"/>
          <w:szCs w:val="24"/>
          <w:highlight w:val="white"/>
        </w:rPr>
        <w:t>humana</w:t>
      </w:r>
      <w:r w:rsidR="00C41080">
        <w:rPr>
          <w:rFonts w:ascii="Times New Roman" w:eastAsia="Times New Roman" w:hAnsi="Times New Roman" w:cs="Times New Roman"/>
          <w:color w:val="222222"/>
          <w:sz w:val="24"/>
          <w:szCs w:val="24"/>
          <w:highlight w:val="white"/>
        </w:rPr>
        <w:t>”</w:t>
      </w:r>
      <w:r w:rsidRPr="1D2FB1EA">
        <w:rPr>
          <w:rFonts w:ascii="Times New Roman" w:eastAsia="Times New Roman" w:hAnsi="Times New Roman" w:cs="Times New Roman"/>
          <w:color w:val="222222"/>
          <w:sz w:val="24"/>
          <w:szCs w:val="24"/>
          <w:highlight w:val="white"/>
        </w:rPr>
        <w:t xml:space="preserve">. </w:t>
      </w:r>
    </w:p>
    <w:p w14:paraId="0B4EB4EF" w14:textId="77777777" w:rsidR="002817F8" w:rsidRDefault="1D2FB1EA">
      <w:pPr>
        <w:pStyle w:val="Normal1"/>
        <w:widowControl w:val="0"/>
        <w:spacing w:before="200" w:line="360" w:lineRule="auto"/>
        <w:ind w:right="-330" w:firstLine="720"/>
        <w:jc w:val="both"/>
        <w:rPr>
          <w:rFonts w:ascii="Times New Roman" w:eastAsia="Times New Roman" w:hAnsi="Times New Roman" w:cs="Times New Roman"/>
          <w:sz w:val="24"/>
          <w:szCs w:val="24"/>
        </w:rPr>
      </w:pPr>
      <w:r w:rsidRPr="1D2FB1EA">
        <w:rPr>
          <w:rFonts w:ascii="Times New Roman" w:eastAsia="Times New Roman" w:hAnsi="Times New Roman" w:cs="Times New Roman"/>
          <w:color w:val="222222"/>
          <w:sz w:val="24"/>
          <w:szCs w:val="24"/>
          <w:highlight w:val="white"/>
        </w:rPr>
        <w:t xml:space="preserve">Por fim, constata-se que </w:t>
      </w:r>
      <w:r w:rsidRPr="1D2FB1EA">
        <w:rPr>
          <w:rFonts w:ascii="Times New Roman" w:eastAsia="Times New Roman" w:hAnsi="Times New Roman" w:cs="Times New Roman"/>
          <w:sz w:val="24"/>
          <w:szCs w:val="24"/>
        </w:rPr>
        <w:t>a Política migratória brasileira, adotada especificamente durante a pandemia do covid-19, pode ser considerada, de acordo com o pensamento de G</w:t>
      </w:r>
      <w:r w:rsidR="00C41080">
        <w:rPr>
          <w:rFonts w:ascii="Times New Roman" w:eastAsia="Times New Roman" w:hAnsi="Times New Roman" w:cs="Times New Roman"/>
          <w:sz w:val="24"/>
          <w:szCs w:val="24"/>
        </w:rPr>
        <w:t>iorgio Agamben, uma biopolítica, uma vez que a</w:t>
      </w:r>
      <w:r w:rsidRPr="1D2FB1EA">
        <w:rPr>
          <w:rFonts w:ascii="Times New Roman" w:eastAsia="Times New Roman" w:hAnsi="Times New Roman" w:cs="Times New Roman"/>
          <w:sz w:val="24"/>
          <w:szCs w:val="24"/>
        </w:rPr>
        <w:t>través</w:t>
      </w:r>
      <w:r w:rsidR="00C41080">
        <w:rPr>
          <w:rFonts w:ascii="Times New Roman" w:eastAsia="Times New Roman" w:hAnsi="Times New Roman" w:cs="Times New Roman"/>
          <w:sz w:val="24"/>
          <w:szCs w:val="24"/>
        </w:rPr>
        <w:t xml:space="preserve"> da</w:t>
      </w:r>
      <w:r w:rsidRPr="1D2FB1EA">
        <w:rPr>
          <w:rFonts w:ascii="Times New Roman" w:eastAsia="Times New Roman" w:hAnsi="Times New Roman" w:cs="Times New Roman"/>
          <w:sz w:val="24"/>
          <w:szCs w:val="24"/>
        </w:rPr>
        <w:t xml:space="preserve"> hierarquização da vida humana, os imigrantes encontram</w:t>
      </w:r>
      <w:r w:rsidR="00C41080">
        <w:rPr>
          <w:rFonts w:ascii="Times New Roman" w:eastAsia="Times New Roman" w:hAnsi="Times New Roman" w:cs="Times New Roman"/>
          <w:sz w:val="24"/>
          <w:szCs w:val="24"/>
        </w:rPr>
        <w:t>-se</w:t>
      </w:r>
      <w:r w:rsidRPr="1D2FB1EA">
        <w:rPr>
          <w:rFonts w:ascii="Times New Roman" w:eastAsia="Times New Roman" w:hAnsi="Times New Roman" w:cs="Times New Roman"/>
          <w:sz w:val="24"/>
          <w:szCs w:val="24"/>
        </w:rPr>
        <w:t xml:space="preserve"> </w:t>
      </w:r>
      <w:r w:rsidR="00C41080">
        <w:rPr>
          <w:rFonts w:ascii="Times New Roman" w:eastAsia="Times New Roman" w:hAnsi="Times New Roman" w:cs="Times New Roman"/>
          <w:sz w:val="24"/>
          <w:szCs w:val="24"/>
        </w:rPr>
        <w:t>sob</w:t>
      </w:r>
      <w:r w:rsidRPr="1D2FB1EA">
        <w:rPr>
          <w:rFonts w:ascii="Times New Roman" w:eastAsia="Times New Roman" w:hAnsi="Times New Roman" w:cs="Times New Roman"/>
          <w:sz w:val="24"/>
          <w:szCs w:val="24"/>
        </w:rPr>
        <w:t xml:space="preserve"> constante</w:t>
      </w:r>
      <w:r w:rsidR="00C41080">
        <w:rPr>
          <w:rFonts w:ascii="Times New Roman" w:eastAsia="Times New Roman" w:hAnsi="Times New Roman" w:cs="Times New Roman"/>
          <w:sz w:val="24"/>
          <w:szCs w:val="24"/>
        </w:rPr>
        <w:t xml:space="preserve"> violação</w:t>
      </w:r>
      <w:r w:rsidRPr="1D2FB1EA">
        <w:rPr>
          <w:rFonts w:ascii="Times New Roman" w:eastAsia="Times New Roman" w:hAnsi="Times New Roman" w:cs="Times New Roman"/>
          <w:sz w:val="24"/>
          <w:szCs w:val="24"/>
        </w:rPr>
        <w:t xml:space="preserve"> de seus direitos </w:t>
      </w:r>
      <w:r w:rsidR="00C41080">
        <w:rPr>
          <w:rFonts w:ascii="Times New Roman" w:eastAsia="Times New Roman" w:hAnsi="Times New Roman" w:cs="Times New Roman"/>
          <w:sz w:val="24"/>
          <w:szCs w:val="24"/>
        </w:rPr>
        <w:t>humanos</w:t>
      </w:r>
      <w:r w:rsidRPr="1D2FB1EA">
        <w:rPr>
          <w:rFonts w:ascii="Times New Roman" w:eastAsia="Times New Roman" w:hAnsi="Times New Roman" w:cs="Times New Roman"/>
          <w:sz w:val="24"/>
          <w:szCs w:val="24"/>
        </w:rPr>
        <w:t xml:space="preserve">. </w:t>
      </w:r>
      <w:r w:rsidR="00C41080">
        <w:rPr>
          <w:rFonts w:ascii="Times New Roman" w:eastAsia="Times New Roman" w:hAnsi="Times New Roman" w:cs="Times New Roman"/>
          <w:sz w:val="24"/>
          <w:szCs w:val="24"/>
        </w:rPr>
        <w:t>Com efeito, vale ressaltar que tal p</w:t>
      </w:r>
      <w:r w:rsidRPr="1D2FB1EA">
        <w:rPr>
          <w:rFonts w:ascii="Times New Roman" w:eastAsia="Times New Roman" w:hAnsi="Times New Roman" w:cs="Times New Roman"/>
          <w:sz w:val="24"/>
          <w:szCs w:val="24"/>
        </w:rPr>
        <w:t xml:space="preserve">olítica de redefinição do conceito de vida é uma afronta a segurança jurídica, </w:t>
      </w:r>
      <w:r w:rsidR="00C41080">
        <w:rPr>
          <w:rFonts w:ascii="Times New Roman" w:eastAsia="Times New Roman" w:hAnsi="Times New Roman" w:cs="Times New Roman"/>
          <w:sz w:val="24"/>
          <w:szCs w:val="24"/>
        </w:rPr>
        <w:t xml:space="preserve">pois </w:t>
      </w:r>
      <w:r w:rsidRPr="1D2FB1EA">
        <w:rPr>
          <w:rFonts w:ascii="Times New Roman" w:eastAsia="Times New Roman" w:hAnsi="Times New Roman" w:cs="Times New Roman"/>
          <w:sz w:val="24"/>
          <w:szCs w:val="24"/>
        </w:rPr>
        <w:t>a maleabilidade da aplicação dos direitos humanos pode se tornar rotineiro</w:t>
      </w:r>
      <w:r w:rsidR="00C41080">
        <w:rPr>
          <w:rFonts w:ascii="Times New Roman" w:eastAsia="Times New Roman" w:hAnsi="Times New Roman" w:cs="Times New Roman"/>
          <w:sz w:val="24"/>
          <w:szCs w:val="24"/>
        </w:rPr>
        <w:t xml:space="preserve">, no que concerne aos </w:t>
      </w:r>
      <w:r w:rsidRPr="1D2FB1EA">
        <w:rPr>
          <w:rFonts w:ascii="Times New Roman" w:eastAsia="Times New Roman" w:hAnsi="Times New Roman" w:cs="Times New Roman"/>
          <w:sz w:val="24"/>
          <w:szCs w:val="24"/>
        </w:rPr>
        <w:t xml:space="preserve">direitos dos imigrantes. </w:t>
      </w:r>
    </w:p>
    <w:p w14:paraId="672A6659" w14:textId="77777777" w:rsidR="0009568A" w:rsidRDefault="0009568A">
      <w:pPr>
        <w:pStyle w:val="Normal1"/>
        <w:widowControl w:val="0"/>
        <w:spacing w:before="200" w:line="360" w:lineRule="auto"/>
        <w:ind w:right="-330"/>
        <w:jc w:val="both"/>
        <w:rPr>
          <w:rFonts w:ascii="Times New Roman" w:eastAsia="Times New Roman" w:hAnsi="Times New Roman" w:cs="Times New Roman"/>
          <w:sz w:val="24"/>
          <w:szCs w:val="24"/>
        </w:rPr>
      </w:pPr>
    </w:p>
    <w:p w14:paraId="1BB497F0" w14:textId="665F7264" w:rsidR="161C0F66" w:rsidRDefault="161C0F66" w:rsidP="161C0F66">
      <w:pPr>
        <w:pStyle w:val="Normal1"/>
        <w:spacing w:before="200" w:line="360" w:lineRule="auto"/>
        <w:ind w:right="-330"/>
        <w:jc w:val="both"/>
        <w:rPr>
          <w:rFonts w:ascii="Times New Roman" w:eastAsia="Times New Roman" w:hAnsi="Times New Roman" w:cs="Times New Roman"/>
          <w:sz w:val="24"/>
          <w:szCs w:val="24"/>
        </w:rPr>
      </w:pPr>
    </w:p>
    <w:p w14:paraId="10AE312C" w14:textId="284E2E04" w:rsidR="161C0F66" w:rsidRDefault="161C0F66" w:rsidP="161C0F66">
      <w:pPr>
        <w:pStyle w:val="Normal1"/>
        <w:spacing w:before="200" w:line="360" w:lineRule="auto"/>
        <w:ind w:right="-330"/>
        <w:jc w:val="both"/>
        <w:rPr>
          <w:rFonts w:ascii="Times New Roman" w:eastAsia="Times New Roman" w:hAnsi="Times New Roman" w:cs="Times New Roman"/>
          <w:sz w:val="24"/>
          <w:szCs w:val="24"/>
        </w:rPr>
      </w:pPr>
    </w:p>
    <w:p w14:paraId="585A3794" w14:textId="59A7C944" w:rsidR="161C0F66" w:rsidRDefault="161C0F66" w:rsidP="161C0F66">
      <w:pPr>
        <w:pStyle w:val="Normal1"/>
        <w:spacing w:before="200" w:line="360" w:lineRule="auto"/>
        <w:ind w:right="-330"/>
        <w:jc w:val="both"/>
        <w:rPr>
          <w:rFonts w:ascii="Times New Roman" w:eastAsia="Times New Roman" w:hAnsi="Times New Roman" w:cs="Times New Roman"/>
          <w:sz w:val="24"/>
          <w:szCs w:val="24"/>
        </w:rPr>
      </w:pPr>
    </w:p>
    <w:p w14:paraId="6E786718" w14:textId="21D02A71" w:rsidR="161C0F66" w:rsidRDefault="161C0F66" w:rsidP="161C0F66">
      <w:pPr>
        <w:pStyle w:val="Normal1"/>
        <w:spacing w:before="200" w:line="360" w:lineRule="auto"/>
        <w:ind w:right="-330"/>
        <w:jc w:val="both"/>
        <w:rPr>
          <w:rFonts w:ascii="Times New Roman" w:eastAsia="Times New Roman" w:hAnsi="Times New Roman" w:cs="Times New Roman"/>
          <w:sz w:val="24"/>
          <w:szCs w:val="24"/>
        </w:rPr>
      </w:pPr>
    </w:p>
    <w:p w14:paraId="49F9045F" w14:textId="712989C0" w:rsidR="00AC73FA" w:rsidRDefault="00AC73FA" w:rsidP="161C0F66">
      <w:pPr>
        <w:pStyle w:val="Normal1"/>
        <w:spacing w:before="200" w:line="360" w:lineRule="auto"/>
        <w:ind w:right="-330"/>
        <w:jc w:val="both"/>
        <w:rPr>
          <w:rFonts w:ascii="Times New Roman" w:eastAsia="Times New Roman" w:hAnsi="Times New Roman" w:cs="Times New Roman"/>
          <w:sz w:val="24"/>
          <w:szCs w:val="24"/>
        </w:rPr>
      </w:pPr>
    </w:p>
    <w:p w14:paraId="61967166" w14:textId="63895090" w:rsidR="00AC73FA" w:rsidRDefault="00AC73FA" w:rsidP="161C0F66">
      <w:pPr>
        <w:pStyle w:val="Normal1"/>
        <w:spacing w:before="200" w:line="360" w:lineRule="auto"/>
        <w:ind w:right="-330"/>
        <w:jc w:val="both"/>
        <w:rPr>
          <w:rFonts w:ascii="Times New Roman" w:eastAsia="Times New Roman" w:hAnsi="Times New Roman" w:cs="Times New Roman"/>
          <w:sz w:val="24"/>
          <w:szCs w:val="24"/>
        </w:rPr>
      </w:pPr>
    </w:p>
    <w:p w14:paraId="25E47D7B" w14:textId="49AE9101" w:rsidR="00AC73FA" w:rsidRDefault="00AC73FA" w:rsidP="161C0F66">
      <w:pPr>
        <w:pStyle w:val="Normal1"/>
        <w:spacing w:before="200" w:line="360" w:lineRule="auto"/>
        <w:ind w:right="-330"/>
        <w:jc w:val="both"/>
        <w:rPr>
          <w:rFonts w:ascii="Times New Roman" w:eastAsia="Times New Roman" w:hAnsi="Times New Roman" w:cs="Times New Roman"/>
          <w:sz w:val="24"/>
          <w:szCs w:val="24"/>
        </w:rPr>
      </w:pPr>
    </w:p>
    <w:p w14:paraId="48FDAB7B" w14:textId="46A85889" w:rsidR="00AC73FA" w:rsidRDefault="00AC73FA" w:rsidP="161C0F66">
      <w:pPr>
        <w:pStyle w:val="Normal1"/>
        <w:spacing w:before="200" w:line="360" w:lineRule="auto"/>
        <w:ind w:right="-330"/>
        <w:jc w:val="both"/>
        <w:rPr>
          <w:rFonts w:ascii="Times New Roman" w:eastAsia="Times New Roman" w:hAnsi="Times New Roman" w:cs="Times New Roman"/>
          <w:sz w:val="24"/>
          <w:szCs w:val="24"/>
        </w:rPr>
      </w:pPr>
    </w:p>
    <w:p w14:paraId="43596B38" w14:textId="77777777" w:rsidR="00AC73FA" w:rsidRDefault="00AC73FA" w:rsidP="161C0F66">
      <w:pPr>
        <w:pStyle w:val="Normal1"/>
        <w:spacing w:before="200" w:line="360" w:lineRule="auto"/>
        <w:ind w:right="-330"/>
        <w:jc w:val="both"/>
        <w:rPr>
          <w:rFonts w:ascii="Times New Roman" w:eastAsia="Times New Roman" w:hAnsi="Times New Roman" w:cs="Times New Roman"/>
          <w:sz w:val="24"/>
          <w:szCs w:val="24"/>
        </w:rPr>
      </w:pPr>
    </w:p>
    <w:p w14:paraId="1CD22A1A" w14:textId="4E300606" w:rsidR="161C0F66" w:rsidRDefault="161C0F66" w:rsidP="161C0F66">
      <w:pPr>
        <w:pStyle w:val="Normal1"/>
        <w:spacing w:before="200" w:line="360" w:lineRule="auto"/>
        <w:ind w:right="-330"/>
        <w:jc w:val="both"/>
        <w:rPr>
          <w:rFonts w:ascii="Times New Roman" w:eastAsia="Times New Roman" w:hAnsi="Times New Roman" w:cs="Times New Roman"/>
          <w:sz w:val="24"/>
          <w:szCs w:val="24"/>
        </w:rPr>
      </w:pPr>
    </w:p>
    <w:p w14:paraId="2BC1E83C" w14:textId="07AED0A2" w:rsidR="161C0F66" w:rsidRDefault="161C0F66" w:rsidP="161C0F66">
      <w:pPr>
        <w:pStyle w:val="Normal1"/>
        <w:spacing w:before="200" w:line="360" w:lineRule="auto"/>
        <w:ind w:right="-330"/>
        <w:jc w:val="both"/>
        <w:rPr>
          <w:rFonts w:ascii="Times New Roman" w:eastAsia="Times New Roman" w:hAnsi="Times New Roman" w:cs="Times New Roman"/>
          <w:sz w:val="24"/>
          <w:szCs w:val="24"/>
        </w:rPr>
      </w:pPr>
    </w:p>
    <w:p w14:paraId="54B33316" w14:textId="77777777" w:rsidR="002817F8" w:rsidRDefault="000663FE">
      <w:pPr>
        <w:pStyle w:val="Normal1"/>
        <w:widowControl w:val="0"/>
        <w:spacing w:before="200" w:line="36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Referências </w:t>
      </w:r>
    </w:p>
    <w:p w14:paraId="38C0E544" w14:textId="5A87698C" w:rsidR="002817F8" w:rsidRDefault="161C0F66">
      <w:pPr>
        <w:pStyle w:val="Normal1"/>
        <w:widowControl w:val="0"/>
        <w:spacing w:before="200" w:line="360" w:lineRule="auto"/>
        <w:ind w:right="-330"/>
        <w:jc w:val="both"/>
        <w:rPr>
          <w:rFonts w:ascii="Times New Roman" w:eastAsia="Times New Roman" w:hAnsi="Times New Roman" w:cs="Times New Roman"/>
          <w:sz w:val="24"/>
          <w:szCs w:val="24"/>
        </w:rPr>
      </w:pPr>
      <w:r w:rsidRPr="161C0F66">
        <w:rPr>
          <w:rFonts w:ascii="Times New Roman" w:eastAsia="Times New Roman" w:hAnsi="Times New Roman" w:cs="Times New Roman"/>
          <w:sz w:val="24"/>
          <w:szCs w:val="24"/>
        </w:rPr>
        <w:t xml:space="preserve">AGAMBEN, Giorgio. Homo Sacer: O Poder Soberano e a Vida Nua I. Tradução de Henrique Burigo. Editora UFMG, Humanitas, 1. reimpr., Belo Horizonte, 2004. </w:t>
      </w:r>
    </w:p>
    <w:p w14:paraId="107A3AC2" w14:textId="07A66BF4" w:rsidR="002817F8" w:rsidRDefault="161C0F66">
      <w:pPr>
        <w:pStyle w:val="Normal1"/>
        <w:widowControl w:val="0"/>
        <w:spacing w:before="200" w:line="360" w:lineRule="auto"/>
        <w:ind w:right="-330"/>
        <w:jc w:val="both"/>
        <w:rPr>
          <w:rFonts w:ascii="Times New Roman" w:eastAsia="Times New Roman" w:hAnsi="Times New Roman" w:cs="Times New Roman"/>
          <w:sz w:val="24"/>
          <w:szCs w:val="24"/>
        </w:rPr>
      </w:pPr>
      <w:r w:rsidRPr="161C0F66">
        <w:rPr>
          <w:rFonts w:ascii="Times New Roman" w:eastAsia="Times New Roman" w:hAnsi="Times New Roman" w:cs="Times New Roman"/>
          <w:sz w:val="24"/>
          <w:szCs w:val="24"/>
        </w:rPr>
        <w:t>CARAVIERI, Juliane Martins. Homo Sacer: o poder soberano e a vida nua I, de Giorgio Agamben. Revista da Faculdade de Direito da Universidade Federal de Uberlândia, Uberlândia, v. 44, n. 1, p.195-201, jan./jun.</w:t>
      </w:r>
      <w:r w:rsidRPr="161C0F66">
        <w:t xml:space="preserve"> </w:t>
      </w:r>
      <w:r w:rsidRPr="161C0F66">
        <w:rPr>
          <w:rFonts w:ascii="Times New Roman" w:eastAsia="Times New Roman" w:hAnsi="Times New Roman" w:cs="Times New Roman"/>
          <w:sz w:val="24"/>
          <w:szCs w:val="24"/>
        </w:rPr>
        <w:t xml:space="preserve"> 2016, ISSN 2178-0498.</w:t>
      </w:r>
    </w:p>
    <w:p w14:paraId="11C2E5B0" w14:textId="54D0AA9E" w:rsidR="002817F8" w:rsidRDefault="161C0F66">
      <w:pPr>
        <w:pStyle w:val="Normal1"/>
        <w:widowControl w:val="0"/>
        <w:spacing w:before="200" w:line="360" w:lineRule="auto"/>
        <w:ind w:right="-330"/>
        <w:jc w:val="both"/>
        <w:rPr>
          <w:rFonts w:ascii="Times New Roman" w:eastAsia="Times New Roman" w:hAnsi="Times New Roman" w:cs="Times New Roman"/>
          <w:sz w:val="24"/>
          <w:szCs w:val="24"/>
        </w:rPr>
      </w:pPr>
      <w:r w:rsidRPr="161C0F66">
        <w:rPr>
          <w:rFonts w:ascii="Times New Roman" w:eastAsia="Times New Roman" w:hAnsi="Times New Roman" w:cs="Times New Roman"/>
          <w:sz w:val="24"/>
          <w:szCs w:val="24"/>
        </w:rPr>
        <w:t xml:space="preserve">CARDOSO, Tatiana Squeff. Migrantes no Brasil em tempos de COVID-19: respostas e dificuldades. In: Migrações Internacionais e a Pandemia do Covid-19. Rosa Baeniger; Luís Renato Vedovato; Shailen Nancy (Coord); Catarina Von Zuben; Luís Felipe Magalhães; Paolo Parise; Natália Demétrio; Jóice Dcomeniconi (Org). Núcleo de Estudos de População “Elza Berquó”, Nepo/Unicamp, Campinas, p. 282-295, julho/2020, ISBN 978-65-87447-06-3. </w:t>
      </w:r>
    </w:p>
    <w:p w14:paraId="0639F81F" w14:textId="6A5D308A" w:rsidR="002817F8" w:rsidRDefault="161C0F66">
      <w:pPr>
        <w:pStyle w:val="Normal1"/>
        <w:widowControl w:val="0"/>
        <w:spacing w:before="200" w:line="360" w:lineRule="auto"/>
        <w:ind w:right="-330"/>
        <w:jc w:val="both"/>
        <w:rPr>
          <w:rFonts w:ascii="Times New Roman" w:eastAsia="Times New Roman" w:hAnsi="Times New Roman" w:cs="Times New Roman"/>
          <w:sz w:val="24"/>
          <w:szCs w:val="24"/>
        </w:rPr>
      </w:pPr>
      <w:r w:rsidRPr="161C0F66">
        <w:rPr>
          <w:rFonts w:ascii="Times New Roman" w:eastAsia="Times New Roman" w:hAnsi="Times New Roman" w:cs="Times New Roman"/>
          <w:sz w:val="24"/>
          <w:szCs w:val="24"/>
        </w:rPr>
        <w:t>HOFFMAM, Fernando; MARQUES, Juciélle Flores. Estado-nação, biopolítica e fenômeno migratório: o reconhecimento frente ao cenário biopolítico. Revista do Direito Público, Londrina, v.15, n.1, p. 114-136, abr. 2020. DOI: 10.5433/24157-108104-1.2020v15n1.</w:t>
      </w:r>
    </w:p>
    <w:p w14:paraId="73B95C68" w14:textId="3D6680E5" w:rsidR="161C0F66" w:rsidRDefault="161C0F66" w:rsidP="161C0F66">
      <w:pPr>
        <w:pStyle w:val="Normal1"/>
        <w:spacing w:before="200" w:line="360" w:lineRule="auto"/>
        <w:ind w:right="-330"/>
        <w:jc w:val="both"/>
        <w:rPr>
          <w:rFonts w:ascii="Times New Roman" w:eastAsia="Times New Roman" w:hAnsi="Times New Roman" w:cs="Times New Roman"/>
          <w:sz w:val="24"/>
          <w:szCs w:val="24"/>
        </w:rPr>
      </w:pPr>
      <w:r w:rsidRPr="161C0F66">
        <w:rPr>
          <w:rFonts w:ascii="Times New Roman" w:eastAsia="Times New Roman" w:hAnsi="Times New Roman" w:cs="Times New Roman"/>
          <w:sz w:val="24"/>
          <w:szCs w:val="24"/>
        </w:rPr>
        <w:t xml:space="preserve">MACEDO, João Luis; MOREIRA, Thiago Oliveira. A (necessária) aplicação do Direito Internacional no Âmbito da Ação Cívil Originária n°3121. In.: MENEZES, Wagner (Org.). Direito Internacional em Expansão. Vol. XVIII. Belo Horizonte: Arraes Editores, 2020, p. 302 – 322. </w:t>
      </w:r>
    </w:p>
    <w:p w14:paraId="04EDF8D7" w14:textId="77777777" w:rsidR="161C0F66" w:rsidRDefault="161C0F66" w:rsidP="161C0F66">
      <w:pPr>
        <w:pStyle w:val="Normal1"/>
        <w:spacing w:before="200" w:line="360" w:lineRule="auto"/>
        <w:ind w:right="-330"/>
        <w:jc w:val="both"/>
        <w:rPr>
          <w:rFonts w:ascii="Times New Roman" w:eastAsia="Times New Roman" w:hAnsi="Times New Roman" w:cs="Times New Roman"/>
          <w:sz w:val="24"/>
          <w:szCs w:val="24"/>
        </w:rPr>
      </w:pPr>
      <w:r w:rsidRPr="161C0F66">
        <w:rPr>
          <w:rFonts w:ascii="Times New Roman" w:eastAsia="Times New Roman" w:hAnsi="Times New Roman" w:cs="Times New Roman"/>
          <w:sz w:val="24"/>
          <w:szCs w:val="24"/>
        </w:rPr>
        <w:t xml:space="preserve">MINISTÉRIO DA JUSTIÇA E DA SEGURANÇA PÚBLICA. Portal de Imigração &gt; Dados &gt; Relatórios Mensais. Disponível em:    </w:t>
      </w:r>
      <w:hyperlink r:id="rId8">
        <w:r w:rsidRPr="161C0F66">
          <w:rPr>
            <w:rFonts w:ascii="Times New Roman" w:eastAsia="Times New Roman" w:hAnsi="Times New Roman" w:cs="Times New Roman"/>
            <w:color w:val="1155CC"/>
            <w:sz w:val="24"/>
            <w:szCs w:val="24"/>
            <w:u w:val="single"/>
          </w:rPr>
          <w:t>https://portaldeimigracao.mj.gov.br/pt/dados/relatorios-mensais</w:t>
        </w:r>
      </w:hyperlink>
      <w:r w:rsidRPr="161C0F66">
        <w:rPr>
          <w:rFonts w:ascii="Times New Roman" w:eastAsia="Times New Roman" w:hAnsi="Times New Roman" w:cs="Times New Roman"/>
          <w:sz w:val="24"/>
          <w:szCs w:val="24"/>
        </w:rPr>
        <w:t xml:space="preserve">. </w:t>
      </w:r>
    </w:p>
    <w:p w14:paraId="5FA9F4CB" w14:textId="20B1362D" w:rsidR="161C0F66" w:rsidRDefault="161C0F66" w:rsidP="161C0F66">
      <w:pPr>
        <w:pStyle w:val="Normal1"/>
        <w:spacing w:before="200" w:line="360" w:lineRule="auto"/>
        <w:ind w:right="-330"/>
        <w:jc w:val="both"/>
        <w:rPr>
          <w:rFonts w:ascii="Times New Roman" w:eastAsia="Times New Roman" w:hAnsi="Times New Roman" w:cs="Times New Roman"/>
          <w:sz w:val="24"/>
          <w:szCs w:val="24"/>
        </w:rPr>
      </w:pPr>
      <w:r w:rsidRPr="161C0F66">
        <w:rPr>
          <w:rFonts w:ascii="Times New Roman" w:eastAsia="Times New Roman" w:hAnsi="Times New Roman" w:cs="Times New Roman"/>
          <w:sz w:val="24"/>
          <w:szCs w:val="24"/>
        </w:rPr>
        <w:t xml:space="preserve">MOREIRA, Thiago Oliveira. A (In)convencionalidade da política migratória brasileira diante da pandemia do COVID-19. In: Migrações Internacionais e a Pandemia do Covid-19. Rosa Baeniger; Luís Renato Vedovato; Shailen Nancy (Coord); Catarina Von Zuben; Luís Felipe Magalhães; Paolo Parise; Natália Demétrio; Jóice Dcomeniconi (Org). Núcleo de Estudos de População “Elza Berquó”, Nepo/Unicamp, Campinas, p. 273-281, julho/2020, ISBN 978-65-87447-06-3. </w:t>
      </w:r>
    </w:p>
    <w:p w14:paraId="5880BE03" w14:textId="0BB793AA" w:rsidR="002817F8" w:rsidRDefault="161C0F66" w:rsidP="161C0F66">
      <w:pPr>
        <w:pStyle w:val="Normal1"/>
        <w:widowControl w:val="0"/>
        <w:spacing w:before="200" w:line="360" w:lineRule="auto"/>
        <w:ind w:right="-330"/>
        <w:jc w:val="both"/>
        <w:rPr>
          <w:rFonts w:ascii="Times New Roman" w:eastAsia="Times New Roman" w:hAnsi="Times New Roman" w:cs="Times New Roman"/>
          <w:sz w:val="24"/>
          <w:szCs w:val="24"/>
        </w:rPr>
      </w:pPr>
      <w:r w:rsidRPr="161C0F66">
        <w:rPr>
          <w:rFonts w:ascii="Times New Roman" w:eastAsia="Times New Roman" w:hAnsi="Times New Roman" w:cs="Times New Roman"/>
          <w:sz w:val="24"/>
          <w:szCs w:val="24"/>
        </w:rPr>
        <w:t xml:space="preserve">VEDOVATO, Luís Renato. Os tribunais e a proteção dos imigrantes durante a pandemia. In: Migrações Internacionais e a Pandemia do Covid-19. Rosa Baeniger; Luís Renato Vedovato; </w:t>
      </w:r>
      <w:r w:rsidRPr="161C0F66">
        <w:rPr>
          <w:rFonts w:ascii="Times New Roman" w:eastAsia="Times New Roman" w:hAnsi="Times New Roman" w:cs="Times New Roman"/>
          <w:sz w:val="24"/>
          <w:szCs w:val="24"/>
        </w:rPr>
        <w:lastRenderedPageBreak/>
        <w:t>Shailen Nancy (Coord); Catarina Von Zuben; Luís Felipe Magalhães; Paolo Parise; Natália Demétrio; Jóice Dcomeniconi (Org). Núcleo de Estudos de População “Elza Berquó”, Nepo/Unicamp, Campinas, p. 255-263, julho/2020, ISBN 978-65-87447-06-3.</w:t>
      </w:r>
    </w:p>
    <w:p w14:paraId="77D2810F" w14:textId="274BBD7D" w:rsidR="002817F8" w:rsidRDefault="161C0F66">
      <w:pPr>
        <w:pStyle w:val="Normal1"/>
        <w:widowControl w:val="0"/>
        <w:spacing w:before="200" w:line="360" w:lineRule="auto"/>
        <w:ind w:right="-330"/>
        <w:jc w:val="both"/>
        <w:rPr>
          <w:rFonts w:ascii="Times New Roman" w:eastAsia="Times New Roman" w:hAnsi="Times New Roman" w:cs="Times New Roman"/>
          <w:sz w:val="24"/>
          <w:szCs w:val="24"/>
        </w:rPr>
      </w:pPr>
      <w:r w:rsidRPr="161C0F66">
        <w:rPr>
          <w:rFonts w:ascii="Times New Roman" w:eastAsia="Times New Roman" w:hAnsi="Times New Roman" w:cs="Times New Roman"/>
          <w:sz w:val="24"/>
          <w:szCs w:val="24"/>
        </w:rPr>
        <w:t xml:space="preserve">. </w:t>
      </w:r>
    </w:p>
    <w:p w14:paraId="0A37501D" w14:textId="77777777" w:rsidR="002817F8" w:rsidRDefault="002817F8">
      <w:pPr>
        <w:pStyle w:val="Normal1"/>
        <w:widowControl w:val="0"/>
        <w:spacing w:before="200" w:line="360" w:lineRule="auto"/>
        <w:ind w:right="-330"/>
        <w:jc w:val="both"/>
        <w:rPr>
          <w:rFonts w:ascii="Times New Roman" w:eastAsia="Times New Roman" w:hAnsi="Times New Roman" w:cs="Times New Roman"/>
          <w:sz w:val="24"/>
          <w:szCs w:val="24"/>
        </w:rPr>
      </w:pPr>
    </w:p>
    <w:p w14:paraId="040FE8D3" w14:textId="77777777" w:rsidR="002817F8" w:rsidRDefault="000663FE">
      <w:pPr>
        <w:pStyle w:val="Normal1"/>
        <w:widowControl w:val="0"/>
        <w:spacing w:before="200" w:line="36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DAB6C7B" w14:textId="77777777" w:rsidR="002817F8" w:rsidRDefault="002817F8" w:rsidP="00B54104">
      <w:pPr>
        <w:pStyle w:val="Normal1"/>
        <w:widowControl w:val="0"/>
        <w:spacing w:before="200" w:line="360" w:lineRule="auto"/>
        <w:ind w:right="-330"/>
        <w:jc w:val="both"/>
        <w:rPr>
          <w:rFonts w:ascii="Times New Roman" w:eastAsia="Times New Roman" w:hAnsi="Times New Roman" w:cs="Times New Roman"/>
          <w:color w:val="222222"/>
          <w:sz w:val="24"/>
          <w:szCs w:val="24"/>
          <w:highlight w:val="white"/>
        </w:rPr>
      </w:pPr>
    </w:p>
    <w:sectPr w:rsidR="002817F8" w:rsidSect="00B54104">
      <w:headerReference w:type="default" r:id="rId9"/>
      <w:footerReference w:type="first" r:id="rId10"/>
      <w:pgSz w:w="11906" w:h="16838"/>
      <w:pgMar w:top="1700" w:right="1133" w:bottom="1133" w:left="170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9DF1A" w14:textId="77777777" w:rsidR="00C93273" w:rsidRDefault="00C93273" w:rsidP="002817F8">
      <w:pPr>
        <w:spacing w:after="0" w:line="240" w:lineRule="auto"/>
      </w:pPr>
      <w:r>
        <w:separator/>
      </w:r>
    </w:p>
  </w:endnote>
  <w:endnote w:type="continuationSeparator" w:id="0">
    <w:p w14:paraId="6C05A51E" w14:textId="77777777" w:rsidR="00C93273" w:rsidRDefault="00C93273" w:rsidP="002817F8">
      <w:pPr>
        <w:spacing w:after="0" w:line="240" w:lineRule="auto"/>
      </w:pPr>
      <w:r>
        <w:continuationSeparator/>
      </w:r>
    </w:p>
  </w:endnote>
  <w:endnote w:type="continuationNotice" w:id="1">
    <w:p w14:paraId="1C8BA98A" w14:textId="77777777" w:rsidR="00C93273" w:rsidRDefault="00C93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247B60B034A945CCBCE71EA66D9243E7"/>
      </w:placeholder>
      <w:temporary/>
      <w:showingPlcHdr/>
    </w:sdtPr>
    <w:sdtEndPr/>
    <w:sdtContent>
      <w:p w14:paraId="40AAB7F1" w14:textId="77777777" w:rsidR="00B54104" w:rsidRDefault="00B54104">
        <w:pPr>
          <w:pStyle w:val="Rodap"/>
        </w:pPr>
        <w:r>
          <w:t>[Digite aqui]</w:t>
        </w:r>
      </w:p>
    </w:sdtContent>
  </w:sdt>
  <w:p w14:paraId="4B94D5A5" w14:textId="77777777" w:rsidR="00794A7E" w:rsidRDefault="00794A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F6822" w14:textId="77777777" w:rsidR="00C93273" w:rsidRDefault="00C93273" w:rsidP="002817F8">
      <w:pPr>
        <w:spacing w:after="0" w:line="240" w:lineRule="auto"/>
      </w:pPr>
      <w:r>
        <w:separator/>
      </w:r>
    </w:p>
  </w:footnote>
  <w:footnote w:type="continuationSeparator" w:id="0">
    <w:p w14:paraId="536C6991" w14:textId="77777777" w:rsidR="00C93273" w:rsidRDefault="00C93273" w:rsidP="002817F8">
      <w:pPr>
        <w:spacing w:after="0" w:line="240" w:lineRule="auto"/>
      </w:pPr>
      <w:r>
        <w:continuationSeparator/>
      </w:r>
    </w:p>
  </w:footnote>
  <w:footnote w:type="continuationNotice" w:id="1">
    <w:p w14:paraId="7D4E0074" w14:textId="77777777" w:rsidR="00C93273" w:rsidRDefault="00C932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4BEA6" w14:textId="77777777" w:rsidR="002817F8" w:rsidRDefault="000663FE">
    <w:pPr>
      <w:pStyle w:val="Normal1"/>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0" locked="0" layoutInCell="1" allowOverlap="1" wp14:anchorId="2B87ACBE" wp14:editId="07777777">
          <wp:simplePos x="0" y="0"/>
          <wp:positionH relativeFrom="column">
            <wp:posOffset>-914399</wp:posOffset>
          </wp:positionH>
          <wp:positionV relativeFrom="paragraph">
            <wp:posOffset>-451484</wp:posOffset>
          </wp:positionV>
          <wp:extent cx="7568957" cy="1271216"/>
          <wp:effectExtent l="0" t="0" r="0" b="0"/>
          <wp:wrapSquare wrapText="bothSides" distT="0" distB="0" distL="0" distR="0"/>
          <wp:docPr id="1" name="image1.jpg"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Texto&#10;&#10;Descrição gerada automaticamente"/>
                  <pic:cNvPicPr preferRelativeResize="0"/>
                </pic:nvPicPr>
                <pic:blipFill>
                  <a:blip r:embed="rId1"/>
                  <a:srcRect b="88134"/>
                  <a:stretch>
                    <a:fillRect/>
                  </a:stretch>
                </pic:blipFill>
                <pic:spPr>
                  <a:xfrm>
                    <a:off x="0" y="0"/>
                    <a:ext cx="7568957" cy="127121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817F8"/>
    <w:rsid w:val="00054D69"/>
    <w:rsid w:val="000663FE"/>
    <w:rsid w:val="0009568A"/>
    <w:rsid w:val="000B15C6"/>
    <w:rsid w:val="00203331"/>
    <w:rsid w:val="002817F8"/>
    <w:rsid w:val="002A7410"/>
    <w:rsid w:val="002D50C3"/>
    <w:rsid w:val="002E37D2"/>
    <w:rsid w:val="00342C59"/>
    <w:rsid w:val="00426A89"/>
    <w:rsid w:val="00456D20"/>
    <w:rsid w:val="005263A5"/>
    <w:rsid w:val="005B00F2"/>
    <w:rsid w:val="006126F9"/>
    <w:rsid w:val="0061426F"/>
    <w:rsid w:val="006506F0"/>
    <w:rsid w:val="006620B9"/>
    <w:rsid w:val="0072345E"/>
    <w:rsid w:val="00756021"/>
    <w:rsid w:val="00794A7E"/>
    <w:rsid w:val="00834BB6"/>
    <w:rsid w:val="008516EF"/>
    <w:rsid w:val="00927EA3"/>
    <w:rsid w:val="00A06452"/>
    <w:rsid w:val="00AC73FA"/>
    <w:rsid w:val="00B54104"/>
    <w:rsid w:val="00C068F6"/>
    <w:rsid w:val="00C25DD9"/>
    <w:rsid w:val="00C41080"/>
    <w:rsid w:val="00C71377"/>
    <w:rsid w:val="00C93273"/>
    <w:rsid w:val="00CB0202"/>
    <w:rsid w:val="00CE117A"/>
    <w:rsid w:val="00D50EF1"/>
    <w:rsid w:val="00DB312B"/>
    <w:rsid w:val="00E80DD5"/>
    <w:rsid w:val="00E969A2"/>
    <w:rsid w:val="00FA5C6B"/>
    <w:rsid w:val="0B2F0D38"/>
    <w:rsid w:val="161C0F66"/>
    <w:rsid w:val="1D2FB1EA"/>
    <w:rsid w:val="281F59F9"/>
    <w:rsid w:val="2E0892D6"/>
    <w:rsid w:val="486FE936"/>
    <w:rsid w:val="4EDC6F34"/>
    <w:rsid w:val="62B6C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37D03"/>
  <w15:docId w15:val="{3309DF32-8EC1-4F46-B9EA-5E51CC55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D9"/>
  </w:style>
  <w:style w:type="paragraph" w:styleId="Ttulo1">
    <w:name w:val="heading 1"/>
    <w:basedOn w:val="Normal1"/>
    <w:next w:val="Normal1"/>
    <w:rsid w:val="002817F8"/>
    <w:pPr>
      <w:keepNext/>
      <w:keepLines/>
      <w:spacing w:before="480" w:after="120"/>
      <w:outlineLvl w:val="0"/>
    </w:pPr>
    <w:rPr>
      <w:b/>
      <w:sz w:val="48"/>
      <w:szCs w:val="48"/>
    </w:rPr>
  </w:style>
  <w:style w:type="paragraph" w:styleId="Ttulo2">
    <w:name w:val="heading 2"/>
    <w:basedOn w:val="Normal1"/>
    <w:next w:val="Normal1"/>
    <w:rsid w:val="002817F8"/>
    <w:pPr>
      <w:keepNext/>
      <w:keepLines/>
      <w:spacing w:before="360" w:after="80"/>
      <w:outlineLvl w:val="1"/>
    </w:pPr>
    <w:rPr>
      <w:b/>
      <w:sz w:val="36"/>
      <w:szCs w:val="36"/>
    </w:rPr>
  </w:style>
  <w:style w:type="paragraph" w:styleId="Ttulo3">
    <w:name w:val="heading 3"/>
    <w:basedOn w:val="Normal1"/>
    <w:next w:val="Normal1"/>
    <w:rsid w:val="002817F8"/>
    <w:pPr>
      <w:keepNext/>
      <w:keepLines/>
      <w:spacing w:before="280" w:after="80"/>
      <w:outlineLvl w:val="2"/>
    </w:pPr>
    <w:rPr>
      <w:b/>
      <w:sz w:val="28"/>
      <w:szCs w:val="28"/>
    </w:rPr>
  </w:style>
  <w:style w:type="paragraph" w:styleId="Ttulo4">
    <w:name w:val="heading 4"/>
    <w:basedOn w:val="Normal1"/>
    <w:next w:val="Normal1"/>
    <w:rsid w:val="002817F8"/>
    <w:pPr>
      <w:keepNext/>
      <w:keepLines/>
      <w:spacing w:before="240" w:after="40"/>
      <w:outlineLvl w:val="3"/>
    </w:pPr>
    <w:rPr>
      <w:b/>
      <w:sz w:val="24"/>
      <w:szCs w:val="24"/>
    </w:rPr>
  </w:style>
  <w:style w:type="paragraph" w:styleId="Ttulo5">
    <w:name w:val="heading 5"/>
    <w:basedOn w:val="Normal1"/>
    <w:next w:val="Normal1"/>
    <w:rsid w:val="002817F8"/>
    <w:pPr>
      <w:keepNext/>
      <w:keepLines/>
      <w:spacing w:before="220" w:after="40"/>
      <w:outlineLvl w:val="4"/>
    </w:pPr>
    <w:rPr>
      <w:b/>
    </w:rPr>
  </w:style>
  <w:style w:type="paragraph" w:styleId="Ttulo6">
    <w:name w:val="heading 6"/>
    <w:basedOn w:val="Normal1"/>
    <w:next w:val="Normal1"/>
    <w:rsid w:val="002817F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2817F8"/>
  </w:style>
  <w:style w:type="table" w:customStyle="1" w:styleId="NormalTable0">
    <w:name w:val="Normal Table0"/>
    <w:rsid w:val="002817F8"/>
    <w:tblPr>
      <w:tblCellMar>
        <w:top w:w="0" w:type="dxa"/>
        <w:left w:w="0" w:type="dxa"/>
        <w:bottom w:w="0" w:type="dxa"/>
        <w:right w:w="0" w:type="dxa"/>
      </w:tblCellMar>
    </w:tblPr>
  </w:style>
  <w:style w:type="paragraph" w:styleId="Ttulo">
    <w:name w:val="Title"/>
    <w:basedOn w:val="Normal1"/>
    <w:next w:val="Normal1"/>
    <w:rsid w:val="002817F8"/>
    <w:pPr>
      <w:keepNext/>
      <w:keepLines/>
      <w:spacing w:before="480" w:after="120"/>
    </w:pPr>
    <w:rPr>
      <w:b/>
      <w:sz w:val="72"/>
      <w:szCs w:val="72"/>
    </w:rPr>
  </w:style>
  <w:style w:type="paragraph" w:styleId="Subttulo">
    <w:name w:val="Subtitle"/>
    <w:basedOn w:val="Normal1"/>
    <w:next w:val="Normal1"/>
    <w:rsid w:val="002817F8"/>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5263A5"/>
    <w:rPr>
      <w:sz w:val="16"/>
      <w:szCs w:val="16"/>
    </w:rPr>
  </w:style>
  <w:style w:type="paragraph" w:styleId="Textodecomentrio">
    <w:name w:val="annotation text"/>
    <w:basedOn w:val="Normal"/>
    <w:link w:val="TextodecomentrioChar"/>
    <w:uiPriority w:val="99"/>
    <w:semiHidden/>
    <w:unhideWhenUsed/>
    <w:rsid w:val="005263A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263A5"/>
    <w:rPr>
      <w:sz w:val="20"/>
      <w:szCs w:val="20"/>
    </w:rPr>
  </w:style>
  <w:style w:type="paragraph" w:styleId="Assuntodocomentrio">
    <w:name w:val="annotation subject"/>
    <w:basedOn w:val="Textodecomentrio"/>
    <w:next w:val="Textodecomentrio"/>
    <w:link w:val="AssuntodocomentrioChar"/>
    <w:uiPriority w:val="99"/>
    <w:semiHidden/>
    <w:unhideWhenUsed/>
    <w:rsid w:val="005263A5"/>
    <w:rPr>
      <w:b/>
      <w:bCs/>
    </w:rPr>
  </w:style>
  <w:style w:type="character" w:customStyle="1" w:styleId="AssuntodocomentrioChar">
    <w:name w:val="Assunto do comentário Char"/>
    <w:basedOn w:val="TextodecomentrioChar"/>
    <w:link w:val="Assuntodocomentrio"/>
    <w:uiPriority w:val="99"/>
    <w:semiHidden/>
    <w:rsid w:val="005263A5"/>
    <w:rPr>
      <w:b/>
      <w:bCs/>
      <w:sz w:val="20"/>
      <w:szCs w:val="20"/>
    </w:rPr>
  </w:style>
  <w:style w:type="paragraph" w:styleId="Textodebalo">
    <w:name w:val="Balloon Text"/>
    <w:basedOn w:val="Normal"/>
    <w:link w:val="TextodebaloChar"/>
    <w:uiPriority w:val="99"/>
    <w:semiHidden/>
    <w:unhideWhenUsed/>
    <w:rsid w:val="005263A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63A5"/>
    <w:rPr>
      <w:rFonts w:ascii="Tahoma" w:hAnsi="Tahoma" w:cs="Tahoma"/>
      <w:sz w:val="16"/>
      <w:szCs w:val="16"/>
    </w:rPr>
  </w:style>
  <w:style w:type="paragraph" w:styleId="Cabealho">
    <w:name w:val="header"/>
    <w:basedOn w:val="Normal"/>
    <w:link w:val="CabealhoChar"/>
    <w:uiPriority w:val="99"/>
    <w:unhideWhenUsed/>
    <w:rsid w:val="00203331"/>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203331"/>
  </w:style>
  <w:style w:type="paragraph" w:styleId="Rodap">
    <w:name w:val="footer"/>
    <w:basedOn w:val="Normal"/>
    <w:link w:val="RodapChar"/>
    <w:uiPriority w:val="99"/>
    <w:unhideWhenUsed/>
    <w:rsid w:val="00203331"/>
    <w:pPr>
      <w:tabs>
        <w:tab w:val="center" w:pos="4680"/>
        <w:tab w:val="right" w:pos="9360"/>
      </w:tabs>
      <w:spacing w:after="0" w:line="240" w:lineRule="auto"/>
    </w:pPr>
  </w:style>
  <w:style w:type="character" w:customStyle="1" w:styleId="RodapChar">
    <w:name w:val="Rodapé Char"/>
    <w:basedOn w:val="Fontepargpadro"/>
    <w:link w:val="Rodap"/>
    <w:uiPriority w:val="99"/>
    <w:rsid w:val="00203331"/>
  </w:style>
  <w:style w:type="character" w:styleId="Hyperlink">
    <w:name w:val="Hyperlink"/>
    <w:basedOn w:val="Fontepargpadro"/>
    <w:uiPriority w:val="99"/>
    <w:unhideWhenUsed/>
    <w:rsid w:val="00794A7E"/>
    <w:rPr>
      <w:color w:val="0000FF" w:themeColor="hyperlink"/>
      <w:u w:val="single"/>
    </w:rPr>
  </w:style>
  <w:style w:type="paragraph" w:styleId="Textodenotaderodap">
    <w:name w:val="footnote text"/>
    <w:basedOn w:val="Normal"/>
    <w:link w:val="TextodenotaderodapChar"/>
    <w:uiPriority w:val="99"/>
    <w:semiHidden/>
    <w:unhideWhenUsed/>
    <w:rsid w:val="00B5410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54104"/>
    <w:rPr>
      <w:sz w:val="20"/>
      <w:szCs w:val="20"/>
    </w:rPr>
  </w:style>
  <w:style w:type="character" w:styleId="Refdenotaderodap">
    <w:name w:val="footnote reference"/>
    <w:basedOn w:val="Fontepargpadro"/>
    <w:uiPriority w:val="99"/>
    <w:semiHidden/>
    <w:unhideWhenUsed/>
    <w:rsid w:val="00B541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ortaldeimigracao.mj.gov.br/pt/dados/relatorios-mensa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tdireito.ufsc.br/wp-content/uploads/2016/05/AGAMBEN-G.-Homo-Sacer-o-poder-soberano-e-a-vida-nua.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7B60B034A945CCBCE71EA66D9243E7"/>
        <w:category>
          <w:name w:val="Geral"/>
          <w:gallery w:val="placeholder"/>
        </w:category>
        <w:types>
          <w:type w:val="bbPlcHdr"/>
        </w:types>
        <w:behaviors>
          <w:behavior w:val="content"/>
        </w:behaviors>
        <w:guid w:val="{7E8A6B84-6062-473F-8D83-16F1D70FA3C9}"/>
      </w:docPartPr>
      <w:docPartBody>
        <w:p w:rsidR="005A3F40" w:rsidRDefault="005A3F40">
          <w:pPr>
            <w:pStyle w:val="247B60B034A945CCBCE71EA66D9243E7"/>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D45FD"/>
    <w:rsid w:val="002D45FD"/>
    <w:rsid w:val="005A3F40"/>
    <w:rsid w:val="00F30B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F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47B60B034A945CCBCE71EA66D9243E7">
    <w:name w:val="247B60B034A945CCBCE71EA66D9243E7"/>
    <w:rsid w:val="005A3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CBE3-E6F5-4398-9C80-437E5889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2255</Words>
  <Characters>12177</Characters>
  <Application>Microsoft Office Word</Application>
  <DocSecurity>0</DocSecurity>
  <Lines>101</Lines>
  <Paragraphs>28</Paragraphs>
  <ScaleCrop>false</ScaleCrop>
  <Company>Hewlett-Packard Company</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Oliveira Moreira</dc:creator>
  <cp:lastModifiedBy>Christian Martins</cp:lastModifiedBy>
  <cp:revision>6</cp:revision>
  <dcterms:created xsi:type="dcterms:W3CDTF">2020-11-14T20:32:00Z</dcterms:created>
  <dcterms:modified xsi:type="dcterms:W3CDTF">2020-11-17T16:41:00Z</dcterms:modified>
</cp:coreProperties>
</file>