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283.46456692913375" w:right="2.598425196851508" w:firstLine="566.9291338582675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-1090735</wp:posOffset>
            </wp:positionH>
            <wp:positionV relativeFrom="paragraph">
              <wp:posOffset>-923924</wp:posOffset>
            </wp:positionV>
            <wp:extent cx="7578284" cy="10711543"/>
            <wp:effectExtent b="0" l="0" r="0" t="0"/>
            <wp:wrapNone/>
            <wp:docPr descr="Texto, Carta&#10;&#10;O conteúdo gerado por IA pode estar incorreto." id="2128089465" name="image5.png"/>
            <a:graphic>
              <a:graphicData uri="http://schemas.openxmlformats.org/drawingml/2006/picture">
                <pic:pic>
                  <pic:nvPicPr>
                    <pic:cNvPr descr="Texto, Carta&#10;&#10;O conteúdo gerado por IA pode estar incorreto."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78284" cy="107115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283.46456692913375" w:right="2.598425196851508" w:firstLine="566.9291338582675"/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6896100</wp:posOffset>
                </wp:positionV>
                <wp:extent cx="718651" cy="392080"/>
                <wp:effectExtent b="0" l="0" r="0" t="0"/>
                <wp:wrapNone/>
                <wp:docPr id="212808946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91437" y="3588723"/>
                          <a:ext cx="709126" cy="382555"/>
                        </a:xfrm>
                        <a:prstGeom prst="roundRect">
                          <a:avLst>
                            <a:gd fmla="val 16667" name="adj"/>
                          </a:avLst>
                        </a:prstGeom>
                        <a:solidFill>
                          <a:srgbClr val="1A9B3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6896100</wp:posOffset>
                </wp:positionV>
                <wp:extent cx="718651" cy="392080"/>
                <wp:effectExtent b="0" l="0" r="0" t="0"/>
                <wp:wrapNone/>
                <wp:docPr id="212808946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8651" cy="392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6832600</wp:posOffset>
                </wp:positionV>
                <wp:extent cx="3703955" cy="1377111"/>
                <wp:effectExtent b="0" l="0" r="0" t="0"/>
                <wp:wrapNone/>
                <wp:docPr id="212808946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498785" y="3098963"/>
                          <a:ext cx="369443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360"/>
                              <w:ind w:left="0" w:right="0" w:firstLine="-2.0000000298023224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rebuchet MS" w:cs="Trebuchet MS" w:eastAsia="Trebuchet MS" w:hAnsi="Trebuchet MS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DE DENTRO “DA PORTEIRA”, OLHANDO O CAMPO DE “CIMA”: OS ESTUDOS RURAIS ENTRE AS ELITES E CLASSES DOMINANTES.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1320800</wp:posOffset>
                </wp:positionH>
                <wp:positionV relativeFrom="paragraph">
                  <wp:posOffset>6832600</wp:posOffset>
                </wp:positionV>
                <wp:extent cx="3703955" cy="1377111"/>
                <wp:effectExtent b="0" l="0" r="0" t="0"/>
                <wp:wrapNone/>
                <wp:docPr id="212808946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03955" cy="13771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6845300</wp:posOffset>
                </wp:positionV>
                <wp:extent cx="821055" cy="509620"/>
                <wp:effectExtent b="0" l="0" r="0" t="0"/>
                <wp:wrapNone/>
                <wp:docPr id="212808946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940235" y="3532985"/>
                          <a:ext cx="811530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ntonio" w:cs="Antonio" w:eastAsia="Antonio" w:hAnsi="Antonio"/>
                                <w:b w:val="0"/>
                                <w:i w:val="0"/>
                                <w:smallCaps w:val="0"/>
                                <w:strike w:val="0"/>
                                <w:color w:val="f8edd1"/>
                                <w:sz w:val="44"/>
                                <w:vertAlign w:val="baseline"/>
                              </w:rPr>
                              <w:t xml:space="preserve">GT 0</w:t>
                            </w:r>
                            <w:r w:rsidDel="00000000" w:rsidR="00000000" w:rsidRPr="00000000">
                              <w:rPr>
                                <w:rFonts w:ascii="Antonio" w:cs="Antonio" w:eastAsia="Antonio" w:hAnsi="Antonio"/>
                                <w:b w:val="0"/>
                                <w:i w:val="0"/>
                                <w:smallCaps w:val="0"/>
                                <w:strike w:val="0"/>
                                <w:color w:val="f8edd1"/>
                                <w:sz w:val="44"/>
                                <w:vertAlign w:val="baseline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6845300</wp:posOffset>
                </wp:positionV>
                <wp:extent cx="821055" cy="509620"/>
                <wp:effectExtent b="0" l="0" r="0" t="0"/>
                <wp:wrapNone/>
                <wp:docPr id="212808946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055" cy="509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3">
      <w:pPr>
        <w:spacing w:after="240" w:lineRule="auto"/>
        <w:ind w:left="-283.46456692913375" w:right="2.598425196851508" w:firstLine="566.9291338582675"/>
        <w:jc w:val="center"/>
        <w:rPr>
          <w:rFonts w:ascii="Avenir" w:cs="Avenir" w:eastAsia="Avenir" w:hAnsi="Aveni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line="360" w:lineRule="auto"/>
        <w:ind w:left="-283.46456692913375" w:right="2.598425196851508" w:firstLine="566.9291338582675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TÍTULO EM PORTUGUÊS</w:t>
      </w:r>
    </w:p>
    <w:p w:rsidR="00000000" w:rsidDel="00000000" w:rsidP="00000000" w:rsidRDefault="00000000" w:rsidRPr="00000000" w14:paraId="00000005">
      <w:pPr>
        <w:spacing w:after="240" w:line="360" w:lineRule="auto"/>
        <w:ind w:left="-283.46456692913375" w:right="2.598425196851508" w:firstLine="566.9291338582675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(máximo 15 palavras)</w:t>
      </w:r>
    </w:p>
    <w:p w:rsidR="00000000" w:rsidDel="00000000" w:rsidP="00000000" w:rsidRDefault="00000000" w:rsidRPr="00000000" w14:paraId="00000006">
      <w:pPr>
        <w:spacing w:line="360" w:lineRule="auto"/>
        <w:ind w:left="-283.46456692913375" w:right="2.598425196851508" w:firstLine="566.9291338582675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ind w:left="-283.46456692913375" w:right="2.598425196851508" w:firstLine="566.9291338582675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ind w:left="-283.46456692913375" w:right="2.598425196851508" w:firstLine="566.9291338582675"/>
        <w:jc w:val="center"/>
        <w:rPr>
          <w:vertAlign w:val="superscript"/>
        </w:rPr>
      </w:pPr>
      <w:r w:rsidDel="00000000" w:rsidR="00000000" w:rsidRPr="00000000">
        <w:rPr>
          <w:rtl w:val="0"/>
        </w:rPr>
        <w:t xml:space="preserve">Leandro Gomes Gentil</w:t>
      </w:r>
      <w:r w:rsidDel="00000000" w:rsidR="00000000" w:rsidRPr="00000000">
        <w:rPr>
          <w:vertAlign w:val="superscript"/>
        </w:rPr>
        <w:footnoteReference w:customMarkFollows="0" w:id="0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ind w:left="-283.46456692913375" w:right="2.598425196851508" w:firstLine="566.9291338582675"/>
        <w:rPr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ind w:left="-283.46456692913375" w:right="2.598425196851508" w:firstLine="0"/>
        <w:rPr/>
      </w:pPr>
      <w:r w:rsidDel="00000000" w:rsidR="00000000" w:rsidRPr="00000000">
        <w:rPr>
          <w:b w:val="1"/>
          <w:rtl w:val="0"/>
        </w:rPr>
        <w:t xml:space="preserve">GT 05: DE DENTRO “DA PORTEIRA”, OLHANDO O CAMPO DE “CIMA”: OS ESTUDOS RURAIS ENTRE AS ELITES E CLASSES DOMINANTES.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-283.46456692913375" w:right="2.598425196851508" w:firstLine="566.9291338582675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-283.46456692913375" w:right="2.598425196851508" w:firstLine="566.9291338582675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RESUMO </w:t>
      </w:r>
    </w:p>
    <w:p w:rsidR="00000000" w:rsidDel="00000000" w:rsidP="00000000" w:rsidRDefault="00000000" w:rsidRPr="00000000" w14:paraId="0000000D">
      <w:pPr>
        <w:spacing w:after="240" w:before="24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Este artigo analisa comparativamente as relações entre as entidades representativas dos proprietários de terra, a Sociedade Rural Brasileira (SRB) e a Sociedad Rural Argentina (SRA), e os regimes ditatoriais civis-militares no Brasil (1964-1985) e na Argentina (1966-1973 e 1976-1983). A investigação revela um apoio estratégico inicial aos golpes, motivado pela defesa de seus interesses frente a ameaças de reforma agrária e mobilizações sociais. Contudo, essa relação não se manteve isenta de tensões, especialmente em relação a políticas tributárias e fundiárias. A SRB, no Brasil, demonstrou apoio enfático ao golpe de 1964, enquanto a SRA, na Argentina, buscou no regime uma garantia para seus privilégios. A análise, utilizando a perspectiva de Bourdieu, demonstra como essas entidades mobilizaram seu capital para influenciar as políticas estatais e preservar sua hegemonia no campo.</w:t>
      </w:r>
    </w:p>
    <w:p w:rsidR="00000000" w:rsidDel="00000000" w:rsidP="00000000" w:rsidRDefault="00000000" w:rsidRPr="00000000" w14:paraId="0000000E">
      <w:pPr>
        <w:spacing w:after="240" w:before="240" w:line="360" w:lineRule="auto"/>
        <w:ind w:left="-283.46456692913375" w:right="2.598425196851508" w:firstLine="0"/>
        <w:jc w:val="both"/>
        <w:rPr/>
      </w:pPr>
      <w:r w:rsidDel="00000000" w:rsidR="00000000" w:rsidRPr="00000000">
        <w:rPr>
          <w:rtl w:val="0"/>
        </w:rPr>
        <w:t xml:space="preserve">P</w:t>
      </w:r>
      <w:r w:rsidDel="00000000" w:rsidR="00000000" w:rsidRPr="00000000">
        <w:rPr>
          <w:rtl w:val="0"/>
        </w:rPr>
        <w:t xml:space="preserve">alavras-chave: Patronato, Ditadura Civil-Militar, Sociedad Rural Argentina, Sociedade Rural Brasileira.</w:t>
      </w:r>
    </w:p>
    <w:p w:rsidR="00000000" w:rsidDel="00000000" w:rsidP="00000000" w:rsidRDefault="00000000" w:rsidRPr="00000000" w14:paraId="0000000F">
      <w:pPr>
        <w:spacing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360" w:lineRule="auto"/>
        <w:ind w:left="-283.46456692913375" w:right="2.598425196851508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INTRODUÇÃO</w:t>
      </w:r>
    </w:p>
    <w:p w:rsidR="00000000" w:rsidDel="00000000" w:rsidP="00000000" w:rsidRDefault="00000000" w:rsidRPr="00000000" w14:paraId="00000019">
      <w:pPr>
        <w:spacing w:after="0" w:before="0"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 análise das sociedades argentina e brasileira que desconsidera a dimensão rural e suas intrínsecas relações com a política e a economia implica, indubitavelmente, a negligência de um aspecto fundamental de sua formação social. Ambos os países exibem, desde suas origens até a contemporaneidade, uma acentuada dependência da atividade agrária.</w:t>
      </w:r>
    </w:p>
    <w:p w:rsidR="00000000" w:rsidDel="00000000" w:rsidP="00000000" w:rsidRDefault="00000000" w:rsidRPr="00000000" w14:paraId="0000001B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 agricultura e a pecuária, estruturadas predominantemente sob a forma de grandes propriedades de terra, monocultura e orientação para o mercado externo, tiveram sua gênese no período colonial e persistem até o presente. Sua influência atual manifesta-se, por exemplo, na expressiva influência da "Frente Parlamentar Agropecuária", uma bancada suprapartidária, que atualmente conta com 303 deputados federais e 50 senadores.  Na Argentina, observa-se também a ocorrência de greves patronais e bloqueios de estradas em protesto contra a taxação governamental dos produtos agrícolas, destacando-se os movimentos de março a julho de 2008, analisados por Eduardo Sartelli em "</w:t>
      </w:r>
      <w:r w:rsidDel="00000000" w:rsidR="00000000" w:rsidRPr="00000000">
        <w:rPr>
          <w:i w:val="1"/>
          <w:rtl w:val="0"/>
        </w:rPr>
        <w:t xml:space="preserve">Patrones en la Ruta</w:t>
      </w:r>
      <w:r w:rsidDel="00000000" w:rsidR="00000000" w:rsidRPr="00000000">
        <w:rPr>
          <w:rtl w:val="0"/>
        </w:rPr>
        <w:t xml:space="preserve">". Embora a questão agrária na atualidade não constitua o objeto central deste estudo, sua persistente relevância política e econômica nos países em questão não pode ser ignorada.</w:t>
      </w:r>
    </w:p>
    <w:p w:rsidR="00000000" w:rsidDel="00000000" w:rsidP="00000000" w:rsidRDefault="00000000" w:rsidRPr="00000000" w14:paraId="0000001C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Os proprietários rurais detêm significativo poder econômico e político, e suas entidades de classe representam uma forma de organização relevante. Nesta pesquisa, serão examinadas algumas dessas entidades, como a </w:t>
      </w:r>
      <w:r w:rsidDel="00000000" w:rsidR="00000000" w:rsidRPr="00000000">
        <w:rPr>
          <w:i w:val="1"/>
          <w:rtl w:val="0"/>
        </w:rPr>
        <w:t xml:space="preserve">Sociedad Rural Argentina</w:t>
      </w:r>
      <w:r w:rsidDel="00000000" w:rsidR="00000000" w:rsidRPr="00000000">
        <w:rPr>
          <w:rtl w:val="0"/>
        </w:rPr>
        <w:t xml:space="preserve"> (SRA): "</w:t>
      </w:r>
      <w:r w:rsidDel="00000000" w:rsidR="00000000" w:rsidRPr="00000000">
        <w:rPr>
          <w:i w:val="1"/>
          <w:rtl w:val="0"/>
        </w:rPr>
        <w:t xml:space="preserve">La SRA es considerada como expresión institucional de clase alta tradicional del país,  como un órgano de poder político con vastos recursos (...)</w:t>
      </w:r>
      <w:r w:rsidDel="00000000" w:rsidR="00000000" w:rsidRPr="00000000">
        <w:rPr>
          <w:rtl w:val="0"/>
        </w:rPr>
        <w:t xml:space="preserve">" (PALOMINO, 1987, p. 15) e a Sociedade Rural Brasileira (SRB).</w:t>
      </w:r>
    </w:p>
    <w:p w:rsidR="00000000" w:rsidDel="00000000" w:rsidP="00000000" w:rsidRDefault="00000000" w:rsidRPr="00000000" w14:paraId="0000001D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O recorte temporal desta investigação compreende o período de 1964 a 1983, correspondente aos governos ditatoriais, nos quais os militares, concebidos como um segmento específico da burocracia estatal, exerceram o controle do poder </w:t>
      </w:r>
    </w:p>
    <w:p w:rsidR="00000000" w:rsidDel="00000000" w:rsidP="00000000" w:rsidRDefault="00000000" w:rsidRPr="00000000" w14:paraId="0000001E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0" w:line="360" w:lineRule="auto"/>
        <w:ind w:left="-283.46456692913375" w:right="2.598425196851508" w:firstLine="0"/>
        <w:jc w:val="both"/>
        <w:rPr/>
      </w:pPr>
      <w:r w:rsidDel="00000000" w:rsidR="00000000" w:rsidRPr="00000000">
        <w:rPr>
          <w:rtl w:val="0"/>
        </w:rPr>
        <w:t xml:space="preserve">político. A escolha desse período justifica-se pela busca de uma análise aprofundada dos diálogos estabelecidos entre esses governos e as entidades de classe mencionadas. Se estudos anteriores apontam para relações marcadas por divergências entre essas entidades e governos como os de Perón e Vargas/Goulart, em função do caráter intervencionista destes, as ditaduras sinalizavam uma nova conjuntura? Quais foram as características do diálogo entre os militares e as entidades de classe? A despeito do entusiasmo inicial dessas entidades com a instauração dos regimes ditatoriais, as relações mantiveram-se pautadas pelo apoio irrestrito e benefícios mútuos? Os membros das "Sociedades"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continuaram a ocupar posições de destaque na administração estatal? Essas são algumas das questões que orientarão a presente investigação.</w:t>
      </w:r>
    </w:p>
    <w:p w:rsidR="00000000" w:rsidDel="00000000" w:rsidP="00000000" w:rsidRDefault="00000000" w:rsidRPr="00000000" w14:paraId="00000024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0" w:line="360" w:lineRule="auto"/>
        <w:ind w:left="-283.46456692913375" w:right="2.598425196851508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DESENVOLVIMENTO</w:t>
      </w:r>
    </w:p>
    <w:p w:rsidR="00000000" w:rsidDel="00000000" w:rsidP="00000000" w:rsidRDefault="00000000" w:rsidRPr="00000000" w14:paraId="00000026">
      <w:pPr>
        <w:spacing w:after="0" w:before="0"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 compreensão das dinâmicas políticas e sociais na América Latina, em especial no Brasil e na Argentina, durante o período das ditaduras civis-militares (aproximadamente de meados da década de 1960 até o início da década de 1980), exige uma análise aprofundada das relações entre o Estado e as elites agrárias. Nesse contexto, as entidades representativas dos proprietários de terra, como a Sociedade Rural Brasileira (SRB) e a Sociedad Rural Argentina (SRA), desempenharam papéis cruciais, influenciando as políticas agrárias e as relações de poder no campo.</w:t>
      </w:r>
    </w:p>
    <w:p w:rsidR="00000000" w:rsidDel="00000000" w:rsidP="00000000" w:rsidRDefault="00000000" w:rsidRPr="00000000" w14:paraId="00000028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 análise dessas relações demanda a consideração do conceito de patronato, amplamente discutido por autores como Sonia Regina de Mendonça, Leonilde de Medeiros e Regina Bruno no contexto brasileiro. O patronato, caracterizado por relações desiguais e troca de favores, permeou historicamente as estruturas agrárias, moldando as interações entre proprietários, trabalhadores e o Estado. Essa tradição, marcada pela concentração de terras e pelo poder político e econo-</w:t>
      </w:r>
    </w:p>
    <w:p w:rsidR="00000000" w:rsidDel="00000000" w:rsidP="00000000" w:rsidRDefault="00000000" w:rsidRPr="00000000" w14:paraId="00000029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0" w:line="360" w:lineRule="auto"/>
        <w:ind w:left="-283.46456692913375" w:right="2.598425196851508" w:firstLine="0"/>
        <w:jc w:val="both"/>
        <w:rPr/>
      </w:pPr>
      <w:r w:rsidDel="00000000" w:rsidR="00000000" w:rsidRPr="00000000">
        <w:rPr>
          <w:rtl w:val="0"/>
        </w:rPr>
        <w:t xml:space="preserve">mico dos grandes proprietários, estabeleceu um terreno fértil para a atuação de entidades como a SRB e a SRA, que buscaram defender seus interesses e influenciar as políticas governamentais.</w:t>
      </w:r>
    </w:p>
    <w:p w:rsidR="00000000" w:rsidDel="00000000" w:rsidP="00000000" w:rsidRDefault="00000000" w:rsidRPr="00000000" w14:paraId="0000002F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No caso brasileiro, a SRB desempenhou um papel ativo no apoio ao golpe de 1964, que instaurou a ditadura civil-militar. Compartilhando uma ideologia conservadora e anticomunista com o regime, a entidade encontrou um ambiente propício para a defesa de seus interesses, que incluíam a contenção de reformas agrárias e a repressão às mobilizações dos trabalhadores rurais. “O posicionamento das lideranças da SRB, contrárias à reforma agrária, foi dos mais radicais, e elas não lançaram mão de sua capacidade de mobilização para atuar em inúmeras frentes e divulgar suas ideias” (MENDONÇA,2007,p.38) A participação de membros da SRB em cargos governamentais e a implementação de políticas que favoreceram a concentração de terras e a modernização conservadora da agricultura são exemplos da influência da entidade no período ditatorial. </w:t>
      </w:r>
    </w:p>
    <w:p w:rsidR="00000000" w:rsidDel="00000000" w:rsidP="00000000" w:rsidRDefault="00000000" w:rsidRPr="00000000" w14:paraId="00000030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 Sociedade Rural Brasileira prontamente ratificou seu apoio à "Revolução Democrática de 1964", conforme evidenciado no editorial inicial da revista "A Rural" subsequente ao golpe. Nesse posicionamento, infere-se um possível sentimento de revanchismo em relação à derrota do movimento constitucionalista de 1932, liderado por São Paulo e do qual a referida entidade teve participação ativa.</w:t>
      </w:r>
    </w:p>
    <w:p w:rsidR="00000000" w:rsidDel="00000000" w:rsidP="00000000" w:rsidRDefault="00000000" w:rsidRPr="00000000" w14:paraId="00000031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À nossa geração estava reservado um evento destes, pois os paulistas, que já haviam escrito o épico episódio de 32, mais uma vez se puseram de pé e, como um só homem, esquecendo todos os sentimentos partidários, religiosos ou sociais, em uma afirmativa eloquente disseram: basta. Cansado de tantas provações, dentre as quais se destacam as dirigidas contra a classe agrícola, escolhida pela primeira vítima a ser imolada na destruição da Pátria Brasileira (...) (A Rural, São Paulo, editorial, abril/1964). </w:t>
      </w:r>
    </w:p>
    <w:p w:rsidR="00000000" w:rsidDel="00000000" w:rsidP="00000000" w:rsidRDefault="00000000" w:rsidRPr="00000000" w14:paraId="00000032">
      <w:pPr>
        <w:spacing w:after="0" w:before="0" w:line="240" w:lineRule="auto"/>
        <w:ind w:left="-283.46456692913375" w:right="2.598425196851508" w:firstLine="566.9291338582675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Imediatamente após a instauração do golpe militar, o presidente da Sociedade Rural Brasileira (SRB), Salvo de Almeida Prado, encaminhou um telegrama ao general Olímpio Mourão Filho. Na mensagem, o presidente da entidade expressou</w:t>
      </w:r>
    </w:p>
    <w:p w:rsidR="00000000" w:rsidDel="00000000" w:rsidP="00000000" w:rsidRDefault="00000000" w:rsidRPr="00000000" w14:paraId="00000034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before="0" w:line="360" w:lineRule="auto"/>
        <w:ind w:left="-283.46456692913375" w:right="2.598425196851508" w:firstLine="0"/>
        <w:jc w:val="both"/>
        <w:rPr/>
      </w:pPr>
      <w:r w:rsidDel="00000000" w:rsidR="00000000" w:rsidRPr="00000000">
        <w:rPr>
          <w:rtl w:val="0"/>
        </w:rPr>
        <w:t xml:space="preserve"> sua congratulação pela iniciativa, qualificada como uma ação em "defesa da Pátria, pelo comunismo, pela corrupção, pela politicalha e pela impunidade" (A Rural, São Paulo, p. 15, maio/1964).</w:t>
      </w:r>
    </w:p>
    <w:p w:rsidR="00000000" w:rsidDel="00000000" w:rsidP="00000000" w:rsidRDefault="00000000" w:rsidRPr="00000000" w14:paraId="0000003A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ab/>
        <w:t xml:space="preserve">Entretanto, não demorou muito para a SRB tecer as primeiras críticas à chamada “Revolução Democrática”: o objeto de crítica foi a promulgação da Lei 4.504 de 30 de novembro de 1964, o Estatuto da Terra. A relação da entidade com o Estatuto foi marcada por uma ambivalência estratégica e, em grande medida, por uma resistência velada. Embora o Estatuto, em seu espírito, visasse promover uma modernização da agricultura e uma relativa justiça social no campo, princípios que poderiam, em tese, dialogar com alguns setores do agronegócio, a SRB historicamente manifestou apreensão em relação a qualquer forma de intervenção estatal na propriedade privada e a potenciais ameaças à estrutura fundiária concentrada. Desse modo, mesmo que alguns dispositivos do Estatuto pudessem ser interpretados como favoráveis à modernização e ao desenvolvimento do setor, a histórica defesa da autonomia do proprietário e a oposição a medidas que pudessem configurar uma reforma agrária mais abrangente fizeram com que a SRB mantivesse uma postura de vigilância e, em muitos momentos, de crítica em relação à efetiva implementação e ao espírito regulatório do Estatuto da Terra. Podemos observar claramente nas páginas da revista “A rural” o posicionamento da entidade reticente ao Estatuto:</w:t>
      </w:r>
    </w:p>
    <w:p w:rsidR="00000000" w:rsidDel="00000000" w:rsidP="00000000" w:rsidRDefault="00000000" w:rsidRPr="00000000" w14:paraId="0000003B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Surgiu, em paralelo, o problema da reforma agrária, agora apelidada de “Estatuto da Terra”, que, infelizmente, no governo revolucionário esta tomando um sentido ainda mais desestimulador das atividades agrícolas, o que faz com que as previsões futuras se tornem sombrias. O que se esperava do governo revolucionário, - que era dar segurança à atividade privada interna em qualquer setor de produção, inclusive agrícola, como procura fazer com o capital estrangeiro, ao qual oferece totalmente, - não foi confirmado, estando a agricultura na pior situação em que jamais esteve até hoje. (A Rural.São Paulo, editorial, agosto/64)</w:t>
      </w:r>
    </w:p>
    <w:p w:rsidR="00000000" w:rsidDel="00000000" w:rsidP="00000000" w:rsidRDefault="00000000" w:rsidRPr="00000000" w14:paraId="0000003C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As expectativas dos proprietários de terra em relação ao novo governo não contemplavam medidas que pudessem comprometer o direito de propriedade. Consequentemente, os meses que precederam a promulgação do Estatuto da Terra foram marcados por uma intensa campanha de oposição, liderada pela Sociedade Rural Brasileira, que qualificava as discussões em torno da reforma agrária como um atentado a esse direito fundamental. Para os produtores rurais, a possibilidade de desapropriação por interesse social representava uma violação de um dos pilares da sociedade brasileira. Nesse contexto, o então presidente da União Democrática Nacional (UDN), deputado Bilac Pinto, expressou a avaliação de que o anteprojeto de reforma agrária proposto pelo Ministério do Planejamento fundamentava-se em premissas equivocadas e de orientação nitidamente marxista, posicionamento este corroborado pela SRB, que mantinha estreitas relações com os membros do referido partido.</w:t>
      </w:r>
    </w:p>
    <w:p w:rsidR="00000000" w:rsidDel="00000000" w:rsidP="00000000" w:rsidRDefault="00000000" w:rsidRPr="00000000" w14:paraId="00000047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O editorial da revista "A Rural" de outubro de 1964 já estabelecia uma comparação crítica entre a proposta de reforma agrária do governo Castelo Branco e as iniciativas do governo João Goulart. O editorial expressava: “Entretanto, pela mais incompreensível e surpreendente ironia do destino, decorridos apenas oito meses da vitória da revolução, o governo atual (...), adota a mesma intenção dos dirigentes depostos, apresentando idêntica proposta de emenda constitucional” (A Rural, São Paulo, editorial, outubro/1964).</w:t>
      </w:r>
    </w:p>
    <w:p w:rsidR="00000000" w:rsidDel="00000000" w:rsidP="00000000" w:rsidRDefault="00000000" w:rsidRPr="00000000" w14:paraId="00000048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Em um tom dramático, o presidente da SRB assinou o editorial de novembro de 1964 da revista "A Rural". No texto, denunciava a consumação do "derradeiro ato do drama agrícola nacional", referindo-se à imposição da votação da emenda constitucional que alterava o artigo 141 da Carta Magna do País e à promulgação do "Estatuto da Terra", alcunhado como a reforma agrária (A Rural, São Paulo, editorial, novembro/1964). Segundo a perspectiva de Salvio de Almeida Prado, os produtores rurais haviam se tornado as primeiras vítimas da própria "Revolução Democrática" que auxiliaram a implementar. No mesmo mês, o presidente da</w:t>
      </w:r>
    </w:p>
    <w:p w:rsidR="00000000" w:rsidDel="00000000" w:rsidP="00000000" w:rsidRDefault="00000000" w:rsidRPr="00000000" w14:paraId="00000049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before="0" w:line="360" w:lineRule="auto"/>
        <w:ind w:left="-283.46456692913375" w:right="2.598425196851508" w:firstLine="0"/>
        <w:jc w:val="both"/>
        <w:rPr/>
      </w:pPr>
      <w:r w:rsidDel="00000000" w:rsidR="00000000" w:rsidRPr="00000000">
        <w:rPr>
          <w:rtl w:val="0"/>
        </w:rPr>
        <w:t xml:space="preserve"> entidade manteve uma reunião com a Comissão de Agricultura e Política Rural da Câmara dos Deputados. Entre os parlamentares que integravam essa comissão, destacavam-se João Pacheco e Chaves (PSD), presidente do colegiado; Moura Santos (PSD); Edson Garcia (UDN); Alceu de Carvalho (PTB); e Jales Machado (UDN), entre outros.</w:t>
      </w:r>
    </w:p>
    <w:p w:rsidR="00000000" w:rsidDel="00000000" w:rsidP="00000000" w:rsidRDefault="00000000" w:rsidRPr="00000000" w14:paraId="0000004F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Além dos representantes da Sociedade Rural Brasileira, a reunião contou com a presença de membros do Conselho de Entidades Democráticas, da Fraterna Amizade Cristã Urbana e Rural e da Liga Independente pela Liberdade. Em sua intervenção, Sálvio de Almeida Prado expressou sua gratidão pelo apoio manifestado pelos deputados da comissão e, subsequentemente, direcionou severas críticas ao Poder Executivo. Segundo a avaliação do presidente da referida entidade, a agricultura nacional enfrentava o momento mais crítico de sua trajetória histórica:</w:t>
      </w:r>
    </w:p>
    <w:p w:rsidR="00000000" w:rsidDel="00000000" w:rsidP="00000000" w:rsidRDefault="00000000" w:rsidRPr="00000000" w14:paraId="00000050">
      <w:pPr>
        <w:spacing w:after="0" w:before="0" w:line="240" w:lineRule="auto"/>
        <w:ind w:left="2267.71653543307" w:right="2.598425196851508" w:firstLine="0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(...) ameaçada que está pela incompreensão de um governo que, elevado ao poder em consequência de uma revolução, segue diretriz política embalada e propulsionada pela mesma tônica que, incompreensivelmente, herdou do presidente deposto. Contra a agricultura voltam-se novamente as iras dos que, tendo criado a inflação, por uma ironia do destino permaneceram no poder e alinharam o mais variado elenco de reformas, entre elas, em nova e aprimorada versão, a agrária, agora sob a denominação de “Estatuto da Terra” (A Rural, São Paulo, p.4, novembro/64). </w:t>
      </w:r>
    </w:p>
    <w:p w:rsidR="00000000" w:rsidDel="00000000" w:rsidP="00000000" w:rsidRDefault="00000000" w:rsidRPr="00000000" w14:paraId="00000051">
      <w:pPr>
        <w:spacing w:after="0" w:before="0" w:line="240" w:lineRule="auto"/>
        <w:ind w:left="-283.46456692913375" w:right="2.598425196851508" w:firstLine="566.9291338582675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Na Argentina, a SRA, conforme destacado por Mirta Palomino, representava a elite agrária tradicional e detinha significativo poder político e econômico. A entidade também apoiou o golpe militar de 1976, que deu início ao "Processo de Reorganização Nacional", buscando no regime uma garantia para seus interesses frente às crescentes mobilizações sociais e políticas. A ditadura argentina aprofundou o modelo agroexportador, beneficiando os grandes proprietários rurais e implementando políticas de repressão e desmobilização das organizações de trabalhadores rurais, além de adotar medidas neoliberais que favoreceram a concentração de riqueza no campo.</w:t>
      </w:r>
    </w:p>
    <w:p w:rsidR="00000000" w:rsidDel="00000000" w:rsidP="00000000" w:rsidRDefault="00000000" w:rsidRPr="00000000" w14:paraId="00000053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 Sociedad Rural Argentina (SRA), embora tenha conferido um suporte estratégico aos golpes militares que estabeleceram os regimes autoritários na Argentina entre 1966 e 1983, almejando nestes uma salvaguarda de seus interesses frente a potenciais iniciativas de reforma agrária de maior alcance e a mobilizações sociais, manteve uma relação com o Estado marcada por tensões persistentes, especialmente no que concerne à política tributária e à abordagem da questão fundiária. Uma das principais linhas de fricção residia na priorização estatal do investimento no setor industrial, frequentemente subsidiado por recursos fiscais oriundos do próprio setor agrário.</w:t>
      </w:r>
    </w:p>
    <w:p w:rsidR="00000000" w:rsidDel="00000000" w:rsidP="00000000" w:rsidRDefault="00000000" w:rsidRPr="00000000" w14:paraId="00000059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No âmbito da política de terras e da reforma agrária, a SRA adotou uma postura favorável à modernização do campo, em consonância com as diretrizes propostas pela Aliança para o Progresso, conforme a análise de Silvia Lázzaro. Essa perspectiva, que preconizava o aumento da produtividade e o combate à improdutividade fundiária por meio de mecanismos de mercado e incentivos fiscais, representava um distanciamento de modelos de reforma agrária que implicassem a redistribuição da propriedade. A SRA, enquanto representante dos interesses do latifúndio, historicamente manifestou oposição a medidas que pudessem ameaçar a estrutura fundiária concentrada. As publicações na revista </w:t>
      </w:r>
      <w:r w:rsidDel="00000000" w:rsidR="00000000" w:rsidRPr="00000000">
        <w:rPr>
          <w:i w:val="1"/>
          <w:rtl w:val="0"/>
        </w:rPr>
        <w:t xml:space="preserve">Anales</w:t>
      </w:r>
      <w:r w:rsidDel="00000000" w:rsidR="00000000" w:rsidRPr="00000000">
        <w:rPr>
          <w:rtl w:val="0"/>
        </w:rPr>
        <w:t xml:space="preserve"> da SRA, bem como os editoriais e artigos de opinião veiculados nos jornais da época, provavelmente corroboram essa defesa da modernização via incremento da produtividade e a cautela, senão a oposição, a iniciativas de redistribuição de terras.</w:t>
      </w:r>
    </w:p>
    <w:p w:rsidR="00000000" w:rsidDel="00000000" w:rsidP="00000000" w:rsidRDefault="00000000" w:rsidRPr="00000000" w14:paraId="0000005A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No que tange ao governo de Juan Carlos Onganía (1966-1970), a implementação do Imposto sobre Terras Aptas para a Exploração Agropecuária (ITAEA), embora almejasse a modernização do setor, pode ter gerado tensões específicas com a SRA, mesmo diante do apoio geral ao regime. A defesa da fórmula arrendamento/renda presumida como o "eixo da reforma agrária" por parte do governo Onganía sugere uma tentativa de conciliar a modernização com a </w:t>
      </w:r>
    </w:p>
    <w:p w:rsidR="00000000" w:rsidDel="00000000" w:rsidP="00000000" w:rsidRDefault="00000000" w:rsidRPr="00000000" w14:paraId="0000005B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before="0" w:line="360" w:lineRule="auto"/>
        <w:ind w:left="-283.46456692913375" w:right="2.598425196851508" w:firstLine="0"/>
        <w:jc w:val="both"/>
        <w:rPr/>
      </w:pPr>
      <w:r w:rsidDel="00000000" w:rsidR="00000000" w:rsidRPr="00000000">
        <w:rPr>
          <w:rtl w:val="0"/>
        </w:rPr>
        <w:t xml:space="preserve">preservação da estrutura de propriedade vigente, um posicionamento que provavelmente encontraria ressonância na SRA, embora a carga tributária inerente à medida pudesse ser objeto de disputa. Nos períodos subsequentes (1970-1973 e 1976-1983), é plausível que a SRA tenha mantido uma postura análoga, oscilando entre o apoio ao regime como garantia da ordem estabelecida e a defesa dos interesses do setor agrário em face de políticas tributárias e fundiárias que pudessem impactar negativamente a grande propriedade. </w:t>
      </w:r>
    </w:p>
    <w:p w:rsidR="00000000" w:rsidDel="00000000" w:rsidP="00000000" w:rsidRDefault="00000000" w:rsidRPr="00000000" w14:paraId="00000061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Em síntese, o posicionamento da SRA durante as ditaduras civis-militares argentinas caracterizou-se por um apoio estratégico aos regimes autoritários, condicionado à salvaguarda da estrutura de propriedade concentrada e à resistência a políticas tributárias consideradas onerosas para o setor. A modernização do campo, desde que não implicasse uma redistribuição da terra, foi geralmente acolhida com favor, alinhando-se aos interesses da grande propriedade representada pela SRA.</w:t>
      </w:r>
    </w:p>
    <w:p w:rsidR="00000000" w:rsidDel="00000000" w:rsidP="00000000" w:rsidRDefault="00000000" w:rsidRPr="00000000" w14:paraId="00000062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Apesar das especificidades de cada contexto nacional, é possível identificar padrões comuns nas relações entre as entidades patronais agrárias e as ditaduras. Em ambos os casos, essas entidades apoiaram os golpes militares, compartilharam uma visão de mundo conservadora, articularam-se com o governo para influenciar as políticas agrárias e se beneficiaram das medidas repressivas e econômicas dos regimes. </w:t>
      </w:r>
    </w:p>
    <w:p w:rsidR="00000000" w:rsidDel="00000000" w:rsidP="00000000" w:rsidRDefault="00000000" w:rsidRPr="00000000" w14:paraId="00000063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No entanto, é crucial reconhecer as nuances e diferenças entre os casos brasileiro e argentino, considerando as particularidades de suas estruturas agrárias, trajetórias políticas e características dos regimes ditatoriais.</w:t>
      </w:r>
    </w:p>
    <w:p w:rsidR="00000000" w:rsidDel="00000000" w:rsidP="00000000" w:rsidRDefault="00000000" w:rsidRPr="00000000" w14:paraId="00000064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 dinâmica entre as entidades patronais agrárias e os regimes ditatoriais pode ser analisada também à luz dos conceitos de poder e campo de Pierre Bourdieu. As ditaduras, ao estabelecerem um 'campo' político autoritário, reconfiguraram as relações de poder, mas não eliminaram as assimetrias preexistentes. A SRB e a SRA, detentoras de significativo 'capital' econômico, social e simbólico no 'campo' </w:t>
      </w:r>
    </w:p>
    <w:p w:rsidR="00000000" w:rsidDel="00000000" w:rsidP="00000000" w:rsidRDefault="00000000" w:rsidRPr="00000000" w14:paraId="00000065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before="0" w:line="360" w:lineRule="auto"/>
        <w:ind w:left="-283.46456692913375" w:right="2.598425196851508" w:firstLine="0"/>
        <w:jc w:val="both"/>
        <w:rPr>
          <w:b w:val="1"/>
        </w:rPr>
      </w:pPr>
      <w:r w:rsidDel="00000000" w:rsidR="00000000" w:rsidRPr="00000000">
        <w:rPr>
          <w:rtl w:val="0"/>
        </w:rPr>
        <w:t xml:space="preserve">agrário, mobilizaram esse capital para influenciar as políticas estatais. Sua atuação não se restringiu à defesa de interesses econômicos imediatos, mas envolveu a disputa por posições de poder dentro do novo 'campo' político, buscando a manutenção ou ampliação de sua hegemonia. Nesse processo, a violência simbólica exercida pelo Estado ditatorial, ao deslegitimar as organizações de trabalhadores rurais e impor uma visão de mundo alinhada aos interesses da elite agrária, contribuiu para a consolidação da posição dominante dessas entidades.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before="0" w:line="360" w:lineRule="auto"/>
        <w:ind w:left="-283.46456692913375" w:right="2.598425196851508" w:firstLine="566.9291338582675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before="0" w:line="360" w:lineRule="auto"/>
        <w:ind w:left="-283.46456692913375" w:right="2.598425196851508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CONSIDERAÇÕES FINAIS </w:t>
      </w:r>
    </w:p>
    <w:p w:rsidR="00000000" w:rsidDel="00000000" w:rsidP="00000000" w:rsidRDefault="00000000" w:rsidRPr="00000000" w14:paraId="0000006D">
      <w:pPr>
        <w:spacing w:after="0" w:before="0" w:line="360" w:lineRule="auto"/>
        <w:ind w:left="-283.46456692913375" w:right="2.598425196851508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 presente investigação buscou analisar comparativamente as relações estabelecidas entre as entidades representativas dos proprietários de terra, a Sociedade Rural Brasileira (SRB) e a Sociedad Rural Argentina (SRA), e os regimes ditatoriais civis-militares que marcaram o Brasil (1964-1985) e a Argentina (1966-1973 e 1976-1983). A análise revela uma complexa dinâmica de apoio estratégico, alinhamento ideológico e, em certos momentos, tensionamento entre essas poderosas associações e o aparato estatal autoritário. A adesão inicial aos golpes, motivada pela defesa de seus interesses frente a ameaças de reformas agrárias e mobilizações sociais, não implicou uma concordância irrestrita com todas as políticas implementadas pelos governos militares, especialmente no que concerne às questões tributárias e à condução da política fundiária. </w:t>
      </w:r>
    </w:p>
    <w:p w:rsidR="00000000" w:rsidDel="00000000" w:rsidP="00000000" w:rsidRDefault="00000000" w:rsidRPr="00000000" w14:paraId="0000006F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No caso brasileiro, a SRB demonstrou um apoio enfático ao golpe de 1964, imbuída de uma ideologia conservadora e anticomunista que se coadunava com os objetivos do regime militar. A pronta ratificação desse apoio, expressa em seus veículos de comunicação e nas ações de seus líderes, evidencia uma convergência de interesses na contenção das demandas populares e na manutenção da estrutura agrária concentrada. A participação de membros da SRB em instâncias</w:t>
      </w:r>
    </w:p>
    <w:p w:rsidR="00000000" w:rsidDel="00000000" w:rsidP="00000000" w:rsidRDefault="00000000" w:rsidRPr="00000000" w14:paraId="00000070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before="0" w:line="360" w:lineRule="auto"/>
        <w:ind w:left="-283.46456692913375" w:right="2.598425196851508" w:firstLine="0"/>
        <w:jc w:val="both"/>
        <w:rPr/>
      </w:pPr>
      <w:r w:rsidDel="00000000" w:rsidR="00000000" w:rsidRPr="00000000">
        <w:rPr>
          <w:rtl w:val="0"/>
        </w:rPr>
        <w:t xml:space="preserve">governamentais e a implementação de políticas que favoreceram o agronegócio ilustram a influência da entidade no período.</w:t>
      </w:r>
    </w:p>
    <w:p w:rsidR="00000000" w:rsidDel="00000000" w:rsidP="00000000" w:rsidRDefault="00000000" w:rsidRPr="00000000" w14:paraId="00000078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Na Argentina, a SRA, representando a elite agrária tradicional, também ofereceu suporte aos golpes militares, buscando na ordem autoritária uma garantia para seus privilégios. Contudo, a análise demonstra que essa relação não foi desprovida de fricções, particularmente no que se refere à política tributária que onerava o setor agrário em prol do desenvolvimento industrial e às abordagens da questão fundiária que, embora voltadas à modernização, nem sempre atendiam integralmente aos interesses do latifúndio. A defesa da modernização conservadora, em detrimento de uma reforma agrária redistributiva, caracterizou o posicionamento da SRA.</w:t>
      </w:r>
    </w:p>
    <w:p w:rsidR="00000000" w:rsidDel="00000000" w:rsidP="00000000" w:rsidRDefault="00000000" w:rsidRPr="00000000" w14:paraId="00000079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  <w:t xml:space="preserve">A perspectiva teórica de Pierre Bourdieu, com seus conceitos de campo e capital, oferece uma lente analítica valiosa para a compreensão dessas dinâmicas. As ditaduras estabeleceram um novo campo político autoritário, no qual a SRB e a SRA, detentoras de significativo capital econômico, social e simbólico no campo agrário, atuaram estrategicamente para influenciar as políticas estatais e preservar sua hegemonia. A violência simbólica exercida pelos regimes, ao deslegitimar as demandas dos trabalhadores rurais, contribuiu para a manutenção da posição dominante dessas entidades. Em suma, a análise comparativa revela que, apesar das particularidades de cada contexto nacional, as entidades patronais agrárias desempenharam um papel crucial no apoio e na conformação das políticas dos regimes ditatoriais, buscando a preservação de seus interesses e a consolidação de seu poder no campo.</w:t>
      </w:r>
    </w:p>
    <w:p w:rsidR="00000000" w:rsidDel="00000000" w:rsidP="00000000" w:rsidRDefault="00000000" w:rsidRPr="00000000" w14:paraId="0000007A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before="0" w:line="360" w:lineRule="auto"/>
        <w:ind w:left="-283.46456692913375" w:right="2.598425196851508" w:firstLine="566.9291338582675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ind w:left="-283.46456692913375" w:right="2.598425196851508" w:firstLine="0"/>
        <w:jc w:val="both"/>
        <w:rPr>
          <w:b w:val="1"/>
          <w:color w:val="000000"/>
          <w:highlight w:val="white"/>
        </w:rPr>
      </w:pPr>
      <w:r w:rsidDel="00000000" w:rsidR="00000000" w:rsidRPr="00000000">
        <w:rPr>
          <w:b w:val="1"/>
          <w:color w:val="000000"/>
          <w:highlight w:val="white"/>
          <w:rtl w:val="0"/>
        </w:rPr>
        <w:t xml:space="preserve">REFERÊNCIAS</w:t>
      </w:r>
    </w:p>
    <w:p w:rsidR="00000000" w:rsidDel="00000000" w:rsidP="00000000" w:rsidRDefault="00000000" w:rsidRPr="00000000" w14:paraId="00000085">
      <w:pPr>
        <w:spacing w:line="276" w:lineRule="auto"/>
        <w:ind w:left="-283.46456692913375" w:right="2.598425196851508" w:firstLine="566.9291338582675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BRUNO,  Regina.  “Liberalismo  e  Reforma  Agrária:  o  governo  Castelo  Branco”.  CPDA/UFRRJ, 1985.</w:t>
      </w:r>
    </w:p>
    <w:p w:rsidR="00000000" w:rsidDel="00000000" w:rsidP="00000000" w:rsidRDefault="00000000" w:rsidRPr="00000000" w14:paraId="00000087">
      <w:pPr>
        <w:spacing w:line="276" w:lineRule="auto"/>
        <w:ind w:left="-283.46456692913375" w:right="2.598425196851508" w:firstLine="566.9291338582675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BOURDIEU, Pierre. </w:t>
      </w:r>
      <w:r w:rsidDel="00000000" w:rsidR="00000000" w:rsidRPr="00000000">
        <w:rPr>
          <w:i w:val="1"/>
          <w:highlight w:val="white"/>
          <w:rtl w:val="0"/>
        </w:rPr>
        <w:t xml:space="preserve"> Poder Simbólico</w:t>
      </w:r>
      <w:r w:rsidDel="00000000" w:rsidR="00000000" w:rsidRPr="00000000">
        <w:rPr>
          <w:highlight w:val="white"/>
          <w:rtl w:val="0"/>
        </w:rPr>
        <w:t xml:space="preserve">. Rio de Janeiro: Bertrand Brasil, 1989.</w:t>
      </w:r>
    </w:p>
    <w:p w:rsidR="00000000" w:rsidDel="00000000" w:rsidP="00000000" w:rsidRDefault="00000000" w:rsidRPr="00000000" w14:paraId="00000089">
      <w:pPr>
        <w:spacing w:line="276" w:lineRule="auto"/>
        <w:ind w:left="-283.46456692913375" w:right="2.598425196851508" w:firstLine="566.9291338582675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GENTIL, Leandro Gomes. </w:t>
      </w:r>
      <w:r w:rsidDel="00000000" w:rsidR="00000000" w:rsidRPr="00000000">
        <w:rPr>
          <w:i w:val="1"/>
          <w:highlight w:val="white"/>
          <w:rtl w:val="0"/>
        </w:rPr>
        <w:t xml:space="preserve">O quartel e a fazenda: entidades de proprietários rurais frente aos regimes militares no Brasil e Argentina (1964-1983)</w:t>
      </w:r>
      <w:r w:rsidDel="00000000" w:rsidR="00000000" w:rsidRPr="00000000">
        <w:rPr>
          <w:highlight w:val="white"/>
          <w:rtl w:val="0"/>
        </w:rPr>
        <w:t xml:space="preserve">. 2016. Dissertação (Mestrado em História) - Universidade Federal do Estado do Rio de Janeiro, Rio de Janeiro, 2016.</w:t>
      </w:r>
    </w:p>
    <w:p w:rsidR="00000000" w:rsidDel="00000000" w:rsidP="00000000" w:rsidRDefault="00000000" w:rsidRPr="00000000" w14:paraId="0000008B">
      <w:pPr>
        <w:spacing w:line="276" w:lineRule="auto"/>
        <w:ind w:left="-283.46456692913375" w:right="2.598425196851508" w:firstLine="566.9291338582675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LÁZZARO, Silvia Beatriz. ¿Reforma agraria en Argentina? Entre el desarrollo rural y la modernización excluyente. Políticas, corporaciones y conflictividad social; Corintios; 2021; 113-140</w:t>
      </w:r>
    </w:p>
    <w:p w:rsidR="00000000" w:rsidDel="00000000" w:rsidP="00000000" w:rsidRDefault="00000000" w:rsidRPr="00000000" w14:paraId="0000008D">
      <w:pPr>
        <w:spacing w:line="276" w:lineRule="auto"/>
        <w:ind w:left="-283.46456692913375" w:right="2.598425196851508" w:firstLine="566.9291338582675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MEDEIROS,  Leonilde  Sérvolo  de.  A  questão  da  reforma  agrária  no  Brasil:  1945-1964.Dissertação de mestrado apresentada à USP/FFCL, São Paulo, 1983.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276" w:lineRule="auto"/>
        <w:ind w:left="-283.46456692913375" w:right="2.598425196851508" w:firstLine="566.9291338582675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MENDONÇA, Sonia Regina de. </w:t>
      </w:r>
      <w:r w:rsidDel="00000000" w:rsidR="00000000" w:rsidRPr="00000000">
        <w:rPr>
          <w:i w:val="1"/>
          <w:highlight w:val="white"/>
          <w:rtl w:val="0"/>
        </w:rPr>
        <w:t xml:space="preserve">O Estado e a Economia na República Velha: Tenentismo e Industrialização</w:t>
      </w:r>
      <w:r w:rsidDel="00000000" w:rsidR="00000000" w:rsidRPr="00000000">
        <w:rPr>
          <w:highlight w:val="white"/>
          <w:rtl w:val="0"/>
        </w:rPr>
        <w:t xml:space="preserve">. Rio de Janeiro: Editora FGV, 2007.</w:t>
      </w:r>
    </w:p>
    <w:p w:rsidR="00000000" w:rsidDel="00000000" w:rsidP="00000000" w:rsidRDefault="00000000" w:rsidRPr="00000000" w14:paraId="00000091">
      <w:pPr>
        <w:spacing w:line="276" w:lineRule="auto"/>
        <w:ind w:left="-283.46456692913375" w:right="2.598425196851508" w:firstLine="566.9291338582675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PALOMINO, Mirta. </w:t>
      </w:r>
      <w:r w:rsidDel="00000000" w:rsidR="00000000" w:rsidRPr="00000000">
        <w:rPr>
          <w:i w:val="1"/>
          <w:highlight w:val="white"/>
          <w:rtl w:val="0"/>
        </w:rPr>
        <w:t xml:space="preserve">Sociedad Rural Argentina: Historia de un Poder</w:t>
      </w:r>
      <w:r w:rsidDel="00000000" w:rsidR="00000000" w:rsidRPr="00000000">
        <w:rPr>
          <w:highlight w:val="white"/>
          <w:rtl w:val="0"/>
        </w:rPr>
        <w:t xml:space="preserve">. Buenos Aires: Editorial Planeta, 1987.</w:t>
      </w:r>
    </w:p>
    <w:p w:rsidR="00000000" w:rsidDel="00000000" w:rsidP="00000000" w:rsidRDefault="00000000" w:rsidRPr="00000000" w14:paraId="00000093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PIERRI, José Alberto. Sector Externo, Política Agraria y Entidades del agro pampeano 1960/1986. Buenos Aires: Ediciones Cooperativas, 2007. </w:t>
      </w:r>
    </w:p>
    <w:p w:rsidR="00000000" w:rsidDel="00000000" w:rsidP="00000000" w:rsidRDefault="00000000" w:rsidRPr="00000000" w14:paraId="00000095">
      <w:pPr>
        <w:spacing w:line="276" w:lineRule="auto"/>
        <w:ind w:left="-283.46456692913375" w:right="2.598425196851508" w:firstLine="566.9291338582675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SARTELLI, Eduardo.</w:t>
      </w:r>
      <w:r w:rsidDel="00000000" w:rsidR="00000000" w:rsidRPr="00000000">
        <w:rPr>
          <w:i w:val="1"/>
          <w:highlight w:val="white"/>
          <w:rtl w:val="0"/>
        </w:rPr>
        <w:t xml:space="preserve"> Patrones en la ruta. El conflicto agrário y los enfratamientos em el seno de la burguesia</w:t>
      </w:r>
      <w:r w:rsidDel="00000000" w:rsidR="00000000" w:rsidRPr="00000000">
        <w:rPr>
          <w:highlight w:val="white"/>
          <w:rtl w:val="0"/>
        </w:rPr>
        <w:t xml:space="preserve">. Buenos Aires: Ediciones ryr, 2008. </w:t>
      </w:r>
    </w:p>
    <w:p w:rsidR="00000000" w:rsidDel="00000000" w:rsidP="00000000" w:rsidRDefault="00000000" w:rsidRPr="00000000" w14:paraId="00000097">
      <w:pPr>
        <w:spacing w:line="276" w:lineRule="auto"/>
        <w:ind w:left="-283.46456692913375" w:right="2.598425196851508" w:firstLine="566.9291338582675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276" w:lineRule="auto"/>
        <w:ind w:left="-283.46456692913375" w:right="2.598425196851508" w:firstLine="0"/>
        <w:jc w:val="both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FONTES</w:t>
      </w:r>
    </w:p>
    <w:p w:rsidR="00000000" w:rsidDel="00000000" w:rsidP="00000000" w:rsidRDefault="00000000" w:rsidRPr="00000000" w14:paraId="00000099">
      <w:pPr>
        <w:spacing w:line="276" w:lineRule="auto"/>
        <w:ind w:left="-283.46456692913375" w:right="2.598425196851508" w:firstLine="0"/>
        <w:jc w:val="both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Anales de la Sociedad Rural Argentina.</w:t>
      </w:r>
      <w:r w:rsidDel="00000000" w:rsidR="00000000" w:rsidRPr="00000000">
        <w:rPr>
          <w:highlight w:val="white"/>
          <w:rtl w:val="0"/>
        </w:rPr>
        <w:t xml:space="preserve"> Buenos Aires: Sociedad Rural Argentina, Mensal, 1966 e 1976. </w:t>
      </w:r>
    </w:p>
    <w:p w:rsidR="00000000" w:rsidDel="00000000" w:rsidP="00000000" w:rsidRDefault="00000000" w:rsidRPr="00000000" w14:paraId="0000009B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pacing w:line="276" w:lineRule="auto"/>
        <w:ind w:left="-283.46456692913375" w:right="2.598425196851508" w:firstLine="0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line="276" w:lineRule="auto"/>
        <w:ind w:left="-283.46456692913375" w:right="2.598425196851508" w:firstLine="566.9291338582675"/>
        <w:jc w:val="both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76" w:lineRule="auto"/>
        <w:ind w:left="-283.46456692913375" w:right="2.598425196851508" w:firstLine="0"/>
        <w:jc w:val="both"/>
        <w:rPr/>
      </w:pPr>
      <w:r w:rsidDel="00000000" w:rsidR="00000000" w:rsidRPr="00000000">
        <w:rPr>
          <w:b w:val="1"/>
          <w:highlight w:val="white"/>
          <w:rtl w:val="0"/>
        </w:rPr>
        <w:t xml:space="preserve">A Rural.</w:t>
      </w:r>
      <w:r w:rsidDel="00000000" w:rsidR="00000000" w:rsidRPr="00000000">
        <w:rPr>
          <w:highlight w:val="white"/>
          <w:rtl w:val="0"/>
        </w:rPr>
        <w:t xml:space="preserve"> São Paulo: Sociedade Rural Brasileira, Mensal, 1964. v., n., out., nov. 1964. </w:t>
      </w:r>
      <w:r w:rsidDel="00000000" w:rsidR="00000000" w:rsidRPr="00000000">
        <w:rPr>
          <w:rtl w:val="0"/>
        </w:rPr>
      </w:r>
    </w:p>
    <w:sectPr>
      <w:footerReference r:id="rId10" w:type="default"/>
      <w:pgSz w:h="16838" w:w="11906" w:orient="portrait"/>
      <w:pgMar w:bottom="1417" w:top="1417" w:left="1700.787401574803" w:right="1427.5984251968516" w:header="708" w:footer="708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veni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rebuchet MS" w:cs="Trebuchet MS" w:eastAsia="Trebuchet MS" w:hAnsi="Trebuchet MS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-10065384</wp:posOffset>
          </wp:positionV>
          <wp:extent cx="7566660" cy="2136140"/>
          <wp:effectExtent b="0" l="0" r="0" t="0"/>
          <wp:wrapSquare wrapText="bothSides" distB="0" distT="0" distL="114300" distR="114300"/>
          <wp:docPr descr="Uma imagem contendo Texto&#10;&#10;O conteúdo gerado por IA pode estar incorreto." id="2128089466" name="image1.png"/>
          <a:graphic>
            <a:graphicData uri="http://schemas.openxmlformats.org/drawingml/2006/picture">
              <pic:pic>
                <pic:nvPicPr>
                  <pic:cNvPr descr="Uma imagem contendo Texto&#10;&#10;O conteúdo gerado por IA pode estar incorreto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66660" cy="213614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venir" w:cs="Avenir" w:eastAsia="Avenir" w:hAnsi="Avenir"/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Universidade Federal do Estado do Rio de Janeiro (UNIRIO)</w:t>
      </w:r>
      <w:r w:rsidDel="00000000" w:rsidR="00000000" w:rsidRPr="00000000">
        <w:rPr>
          <w:rFonts w:ascii="Avenir" w:cs="Avenir" w:eastAsia="Avenir" w:hAnsi="Avenir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hyperlink r:id="rId1">
        <w:r w:rsidDel="00000000" w:rsidR="00000000" w:rsidRPr="00000000">
          <w:rPr>
            <w:rFonts w:ascii="Avenir" w:cs="Avenir" w:eastAsia="Avenir" w:hAnsi="Avenir"/>
            <w:color w:val="1155cc"/>
            <w:sz w:val="20"/>
            <w:szCs w:val="20"/>
            <w:u w:val="single"/>
            <w:rtl w:val="0"/>
          </w:rPr>
          <w:t xml:space="preserve">leandro.gentil@edu.unirio.br</w:t>
        </w:r>
      </w:hyperlink>
      <w:r w:rsidDel="00000000" w:rsidR="00000000" w:rsidRPr="00000000">
        <w:rPr>
          <w:rFonts w:ascii="Avenir" w:cs="Avenir" w:eastAsia="Avenir" w:hAnsi="Avenir"/>
          <w:sz w:val="20"/>
          <w:szCs w:val="20"/>
          <w:rtl w:val="0"/>
        </w:rPr>
        <w:t xml:space="preserve">.</w:t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rebuchet MS" w:cs="Trebuchet MS" w:eastAsia="Trebuchet MS" w:hAnsi="Trebuchet MS"/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Garamond" w:cs="Garamond" w:eastAsia="Garamond" w:hAnsi="Garamond"/>
      <w:color w:val="0f4761"/>
      <w:sz w:val="40"/>
      <w:szCs w:val="40"/>
    </w:rPr>
  </w:style>
  <w:style w:type="paragraph" w:styleId="Heading2">
    <w:name w:val="heading 2"/>
    <w:basedOn w:val="Normal"/>
    <w:next w:val="Normal"/>
    <w:pPr/>
    <w:rPr>
      <w:rFonts w:ascii="Times New Roman" w:cs="Times New Roman" w:eastAsia="Times New Roman" w:hAnsi="Times New Roman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Garamond" w:cs="Garamond" w:eastAsia="Garamond" w:hAnsi="Garamond"/>
      <w:sz w:val="56"/>
      <w:szCs w:val="56"/>
    </w:rPr>
  </w:style>
  <w:style w:type="paragraph" w:styleId="Normal" w:default="1">
    <w:name w:val="Normal"/>
    <w:qFormat w:val="1"/>
    <w:rsid w:val="00D46408"/>
  </w:style>
  <w:style w:type="paragraph" w:styleId="Ttulo1">
    <w:name w:val="heading 1"/>
    <w:basedOn w:val="Normal"/>
    <w:next w:val="Normal"/>
    <w:link w:val="Ttulo1Char"/>
    <w:uiPriority w:val="9"/>
    <w:qFormat w:val="1"/>
    <w:rsid w:val="00733AFB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link w:val="Ttulo2Char"/>
    <w:uiPriority w:val="9"/>
    <w:qFormat w:val="1"/>
    <w:rsid w:val="00D46408"/>
    <w:pPr>
      <w:spacing w:after="100" w:afterAutospacing="1" w:before="100" w:beforeAutospacing="1"/>
      <w:outlineLvl w:val="1"/>
    </w:pPr>
    <w:rPr>
      <w:rFonts w:ascii="Times New Roman" w:cs="Times New Roman" w:eastAsia="Times New Roman" w:hAnsi="Times New Roman"/>
      <w:b w:val="1"/>
      <w:bCs w:val="1"/>
      <w:kern w:val="0"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 w:val="1"/>
    <w:unhideWhenUsed w:val="1"/>
    <w:qFormat w:val="1"/>
    <w:rsid w:val="00733AFB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 w:val="1"/>
    <w:unhideWhenUsed w:val="1"/>
    <w:qFormat w:val="1"/>
    <w:rsid w:val="00733AFB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har"/>
    <w:uiPriority w:val="9"/>
    <w:semiHidden w:val="1"/>
    <w:unhideWhenUsed w:val="1"/>
    <w:qFormat w:val="1"/>
    <w:rsid w:val="00733AFB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har"/>
    <w:uiPriority w:val="9"/>
    <w:semiHidden w:val="1"/>
    <w:unhideWhenUsed w:val="1"/>
    <w:qFormat w:val="1"/>
    <w:rsid w:val="00733AFB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har"/>
    <w:uiPriority w:val="9"/>
    <w:semiHidden w:val="1"/>
    <w:unhideWhenUsed w:val="1"/>
    <w:qFormat w:val="1"/>
    <w:rsid w:val="00733AFB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har"/>
    <w:uiPriority w:val="9"/>
    <w:semiHidden w:val="1"/>
    <w:unhideWhenUsed w:val="1"/>
    <w:qFormat w:val="1"/>
    <w:rsid w:val="00733AFB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har"/>
    <w:uiPriority w:val="9"/>
    <w:semiHidden w:val="1"/>
    <w:unhideWhenUsed w:val="1"/>
    <w:qFormat w:val="1"/>
    <w:rsid w:val="00733AFB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character" w:styleId="Ttulo2Char" w:customStyle="1">
    <w:name w:val="Título 2 Char"/>
    <w:basedOn w:val="Fontepargpadro"/>
    <w:link w:val="Ttulo2"/>
    <w:uiPriority w:val="9"/>
    <w:rsid w:val="00D46408"/>
    <w:rPr>
      <w:rFonts w:ascii="Times New Roman" w:cs="Times New Roman" w:eastAsia="Times New Roman" w:hAnsi="Times New Roman"/>
      <w:b w:val="1"/>
      <w:bCs w:val="1"/>
      <w:kern w:val="0"/>
      <w:sz w:val="36"/>
      <w:szCs w:val="36"/>
      <w:lang w:eastAsia="pt-BR"/>
    </w:rPr>
  </w:style>
  <w:style w:type="character" w:styleId="Forte">
    <w:name w:val="Strong"/>
    <w:basedOn w:val="Fontepargpadro"/>
    <w:uiPriority w:val="22"/>
    <w:qFormat w:val="1"/>
    <w:rsid w:val="00D46408"/>
    <w:rPr>
      <w:b w:val="1"/>
      <w:bCs w:val="1"/>
    </w:rPr>
  </w:style>
  <w:style w:type="character" w:styleId="Ttulo1Char" w:customStyle="1">
    <w:name w:val="Título 1 Char"/>
    <w:basedOn w:val="Fontepargpadro"/>
    <w:link w:val="Ttulo1"/>
    <w:uiPriority w:val="9"/>
    <w:rsid w:val="00733AFB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3Char" w:customStyle="1">
    <w:name w:val="Título 3 Char"/>
    <w:basedOn w:val="Fontepargpadro"/>
    <w:link w:val="Ttulo3"/>
    <w:uiPriority w:val="9"/>
    <w:semiHidden w:val="1"/>
    <w:rsid w:val="00733AFB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har" w:customStyle="1">
    <w:name w:val="Título 4 Char"/>
    <w:basedOn w:val="Fontepargpadro"/>
    <w:link w:val="Ttulo4"/>
    <w:uiPriority w:val="9"/>
    <w:semiHidden w:val="1"/>
    <w:rsid w:val="00733AFB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har" w:customStyle="1">
    <w:name w:val="Título 5 Char"/>
    <w:basedOn w:val="Fontepargpadro"/>
    <w:link w:val="Ttulo5"/>
    <w:uiPriority w:val="9"/>
    <w:semiHidden w:val="1"/>
    <w:rsid w:val="00733AFB"/>
    <w:rPr>
      <w:rFonts w:cstheme="majorBidi" w:eastAsiaTheme="majorEastAsia"/>
      <w:color w:val="0f4761" w:themeColor="accent1" w:themeShade="0000BF"/>
    </w:rPr>
  </w:style>
  <w:style w:type="character" w:styleId="Ttulo6Char" w:customStyle="1">
    <w:name w:val="Título 6 Char"/>
    <w:basedOn w:val="Fontepargpadro"/>
    <w:link w:val="Ttulo6"/>
    <w:uiPriority w:val="9"/>
    <w:semiHidden w:val="1"/>
    <w:rsid w:val="00733AFB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har" w:customStyle="1">
    <w:name w:val="Título 7 Char"/>
    <w:basedOn w:val="Fontepargpadro"/>
    <w:link w:val="Ttulo7"/>
    <w:uiPriority w:val="9"/>
    <w:semiHidden w:val="1"/>
    <w:rsid w:val="00733AFB"/>
    <w:rPr>
      <w:rFonts w:cstheme="majorBidi" w:eastAsiaTheme="majorEastAsia"/>
      <w:color w:val="595959" w:themeColor="text1" w:themeTint="0000A6"/>
    </w:rPr>
  </w:style>
  <w:style w:type="character" w:styleId="Ttulo8Char" w:customStyle="1">
    <w:name w:val="Título 8 Char"/>
    <w:basedOn w:val="Fontepargpadro"/>
    <w:link w:val="Ttulo8"/>
    <w:uiPriority w:val="9"/>
    <w:semiHidden w:val="1"/>
    <w:rsid w:val="00733AFB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har" w:customStyle="1">
    <w:name w:val="Título 9 Char"/>
    <w:basedOn w:val="Fontepargpadro"/>
    <w:link w:val="Ttulo9"/>
    <w:uiPriority w:val="9"/>
    <w:semiHidden w:val="1"/>
    <w:rsid w:val="00733AFB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har"/>
    <w:uiPriority w:val="10"/>
    <w:qFormat w:val="1"/>
    <w:rsid w:val="00733AFB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har" w:customStyle="1">
    <w:name w:val="Título Char"/>
    <w:basedOn w:val="Fontepargpadro"/>
    <w:link w:val="Ttulo"/>
    <w:uiPriority w:val="10"/>
    <w:rsid w:val="00733AFB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 w:val="1"/>
    <w:rsid w:val="00733AFB"/>
    <w:pPr>
      <w:numPr>
        <w:ilvl w:val="1"/>
      </w:numPr>
      <w:spacing w:after="160"/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har" w:customStyle="1">
    <w:name w:val="Subtítulo Char"/>
    <w:basedOn w:val="Fontepargpadro"/>
    <w:link w:val="Subttulo"/>
    <w:uiPriority w:val="11"/>
    <w:rsid w:val="00733AFB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 w:val="1"/>
    <w:rsid w:val="00733AFB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oChar" w:customStyle="1">
    <w:name w:val="Citação Char"/>
    <w:basedOn w:val="Fontepargpadro"/>
    <w:link w:val="Citao"/>
    <w:uiPriority w:val="29"/>
    <w:rsid w:val="00733AFB"/>
    <w:rPr>
      <w:i w:val="1"/>
      <w:iCs w:val="1"/>
      <w:color w:val="404040" w:themeColor="text1" w:themeTint="0000BF"/>
    </w:rPr>
  </w:style>
  <w:style w:type="paragraph" w:styleId="PargrafodaLista">
    <w:name w:val="List Paragraph"/>
    <w:basedOn w:val="Normal"/>
    <w:uiPriority w:val="34"/>
    <w:qFormat w:val="1"/>
    <w:rsid w:val="00733AFB"/>
    <w:pPr>
      <w:ind w:left="720"/>
      <w:contextualSpacing w:val="1"/>
    </w:pPr>
  </w:style>
  <w:style w:type="character" w:styleId="nfaseIntensa">
    <w:name w:val="Intense Emphasis"/>
    <w:basedOn w:val="Fontepargpadro"/>
    <w:uiPriority w:val="21"/>
    <w:qFormat w:val="1"/>
    <w:rsid w:val="00733AFB"/>
    <w:rPr>
      <w:i w:val="1"/>
      <w:iCs w:val="1"/>
      <w:color w:val="0f4761" w:themeColor="accent1" w:themeShade="0000BF"/>
    </w:rPr>
  </w:style>
  <w:style w:type="paragraph" w:styleId="CitaoIntensa">
    <w:name w:val="Intense Quote"/>
    <w:basedOn w:val="Normal"/>
    <w:next w:val="Normal"/>
    <w:link w:val="CitaoIntensaChar"/>
    <w:uiPriority w:val="30"/>
    <w:qFormat w:val="1"/>
    <w:rsid w:val="00733AFB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oIntensaChar" w:customStyle="1">
    <w:name w:val="Citação Intensa Char"/>
    <w:basedOn w:val="Fontepargpadro"/>
    <w:link w:val="CitaoIntensa"/>
    <w:uiPriority w:val="30"/>
    <w:rsid w:val="00733AFB"/>
    <w:rPr>
      <w:i w:val="1"/>
      <w:iCs w:val="1"/>
      <w:color w:val="0f4761" w:themeColor="accent1" w:themeShade="0000BF"/>
    </w:rPr>
  </w:style>
  <w:style w:type="character" w:styleId="RefernciaIntensa">
    <w:name w:val="Intense Reference"/>
    <w:basedOn w:val="Fontepargpadro"/>
    <w:uiPriority w:val="32"/>
    <w:qFormat w:val="1"/>
    <w:rsid w:val="00733AFB"/>
    <w:rPr>
      <w:b w:val="1"/>
      <w:bCs w:val="1"/>
      <w:smallCaps w:val="1"/>
      <w:color w:val="0f4761" w:themeColor="accent1" w:themeShade="0000BF"/>
      <w:spacing w:val="5"/>
    </w:rPr>
  </w:style>
  <w:style w:type="paragraph" w:styleId="Reviso">
    <w:name w:val="Revision"/>
    <w:hidden w:val="1"/>
    <w:uiPriority w:val="99"/>
    <w:semiHidden w:val="1"/>
    <w:rsid w:val="00733AFB"/>
  </w:style>
  <w:style w:type="paragraph" w:styleId="SemEspaamento">
    <w:name w:val="No Spacing"/>
    <w:link w:val="SemEspaamentoChar"/>
    <w:uiPriority w:val="1"/>
    <w:qFormat w:val="1"/>
    <w:rsid w:val="0053021A"/>
    <w:rPr>
      <w:rFonts w:eastAsiaTheme="minorEastAsia"/>
      <w:kern w:val="0"/>
      <w:sz w:val="22"/>
      <w:szCs w:val="22"/>
      <w:lang w:eastAsia="zh-CN" w:val="en-US"/>
    </w:rPr>
  </w:style>
  <w:style w:type="character" w:styleId="SemEspaamentoChar" w:customStyle="1">
    <w:name w:val="Sem Espaçamento Char"/>
    <w:basedOn w:val="Fontepargpadro"/>
    <w:link w:val="SemEspaamento"/>
    <w:uiPriority w:val="1"/>
    <w:rsid w:val="0053021A"/>
    <w:rPr>
      <w:rFonts w:eastAsiaTheme="minorEastAsia"/>
      <w:kern w:val="0"/>
      <w:sz w:val="22"/>
      <w:szCs w:val="22"/>
      <w:lang w:eastAsia="zh-CN" w:val="en-US"/>
    </w:rPr>
  </w:style>
  <w:style w:type="paragraph" w:styleId="Cabealho">
    <w:name w:val="header"/>
    <w:basedOn w:val="Normal"/>
    <w:link w:val="CabealhoChar"/>
    <w:uiPriority w:val="99"/>
    <w:unhideWhenUsed w:val="1"/>
    <w:rsid w:val="0027518C"/>
    <w:pPr>
      <w:tabs>
        <w:tab w:val="center" w:pos="4252"/>
        <w:tab w:val="right" w:pos="8504"/>
      </w:tabs>
    </w:pPr>
  </w:style>
  <w:style w:type="character" w:styleId="CabealhoChar" w:customStyle="1">
    <w:name w:val="Cabeçalho Char"/>
    <w:basedOn w:val="Fontepargpadro"/>
    <w:link w:val="Cabealho"/>
    <w:uiPriority w:val="99"/>
    <w:rsid w:val="0027518C"/>
  </w:style>
  <w:style w:type="paragraph" w:styleId="Rodap">
    <w:name w:val="footer"/>
    <w:basedOn w:val="Normal"/>
    <w:link w:val="RodapChar"/>
    <w:uiPriority w:val="99"/>
    <w:unhideWhenUsed w:val="1"/>
    <w:rsid w:val="0027518C"/>
    <w:pPr>
      <w:tabs>
        <w:tab w:val="center" w:pos="4252"/>
        <w:tab w:val="right" w:pos="8504"/>
      </w:tabs>
    </w:pPr>
  </w:style>
  <w:style w:type="character" w:styleId="RodapChar" w:customStyle="1">
    <w:name w:val="Rodapé Char"/>
    <w:basedOn w:val="Fontepargpadro"/>
    <w:link w:val="Rodap"/>
    <w:uiPriority w:val="99"/>
    <w:rsid w:val="0027518C"/>
  </w:style>
  <w:style w:type="paragraph" w:styleId="Textodenotaderodap">
    <w:name w:val="footnote text"/>
    <w:basedOn w:val="Normal"/>
    <w:link w:val="TextodenotaderodapChar"/>
    <w:uiPriority w:val="99"/>
    <w:semiHidden w:val="1"/>
    <w:unhideWhenUsed w:val="1"/>
    <w:rsid w:val="00216EFF"/>
    <w:pPr>
      <w:widowControl w:val="0"/>
    </w:pPr>
    <w:rPr>
      <w:rFonts w:ascii="Times New Roman" w:cs="Times New Roman" w:eastAsia="Times New Roman" w:hAnsi="Times New Roman"/>
      <w:kern w:val="0"/>
      <w:sz w:val="20"/>
      <w:szCs w:val="20"/>
      <w:lang w:eastAsia="pt-BR" w:val="pt-PT"/>
    </w:rPr>
  </w:style>
  <w:style w:type="character" w:styleId="TextodenotaderodapChar" w:customStyle="1">
    <w:name w:val="Texto de nota de rodapé Char"/>
    <w:basedOn w:val="Fontepargpadro"/>
    <w:link w:val="Textodenotaderodap"/>
    <w:uiPriority w:val="99"/>
    <w:semiHidden w:val="1"/>
    <w:rsid w:val="00216EFF"/>
    <w:rPr>
      <w:rFonts w:ascii="Times New Roman" w:cs="Times New Roman" w:eastAsia="Times New Roman" w:hAnsi="Times New Roman"/>
      <w:kern w:val="0"/>
      <w:sz w:val="20"/>
      <w:szCs w:val="20"/>
      <w:lang w:eastAsia="pt-BR" w:val="pt-PT"/>
    </w:rPr>
  </w:style>
  <w:style w:type="character" w:styleId="Refdenotaderodap">
    <w:name w:val="footnote reference"/>
    <w:basedOn w:val="Fontepargpadro"/>
    <w:uiPriority w:val="99"/>
    <w:semiHidden w:val="1"/>
    <w:unhideWhenUsed w:val="1"/>
    <w:rsid w:val="00216EFF"/>
    <w:rPr>
      <w:vertAlign w:val="superscript"/>
    </w:rPr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0" Type="http://schemas.openxmlformats.org/officeDocument/2006/relationships/footer" Target="footer1.xml"/><Relationship Id="rId9" Type="http://schemas.openxmlformats.org/officeDocument/2006/relationships/image" Target="media/image2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customXml" Target="../customXML/item1.xml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<Relationships xmlns="http://schemas.openxmlformats.org/package/2006/relationships"><Relationship Id="rId1" Type="http://schemas.openxmlformats.org/officeDocument/2006/relationships/hyperlink" Target="mailto:leandro.gentil@edu.unirio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Garamond-Trebuchet MS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/gronwF6em/mEaLNKQdHbpH5Vw==">CgMxLjA4AHIhMUllajFNVEFuMmpObEYxazlKcExFdTQzTVhtR1ZuSjFE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2025-02-20T16:32:00Z</dcterms:created>
  <dc:creator>Monica Tomin</dc:creator>
</cp:coreProperties>
</file>