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804" w:leader="none"/>
        </w:tabs>
        <w:spacing w:before="0" w:after="0" w:line="240"/>
        <w:ind w:right="-498" w:left="115" w:firstLine="0"/>
        <w:jc w:val="left"/>
        <w:rPr>
          <w:rFonts w:ascii="Times New Roman" w:hAnsi="Times New Roman" w:cs="Times New Roman" w:eastAsia="Times New Roman"/>
          <w:color w:val="auto"/>
          <w:spacing w:val="0"/>
          <w:position w:val="0"/>
          <w:sz w:val="20"/>
          <w:shd w:fill="auto" w:val="clear"/>
        </w:rPr>
      </w:pPr>
      <w:r>
        <w:object w:dxaOrig="9696" w:dyaOrig="3191">
          <v:rect xmlns:o="urn:schemas-microsoft-com:office:office" xmlns:v="urn:schemas-microsoft-com:vml" id="rectole0000000000" style="width:484.800000pt;height:159.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87" w:after="0" w:line="240"/>
        <w:ind w:right="72" w:left="72" w:firstLine="0"/>
        <w:jc w:val="center"/>
        <w:rPr>
          <w:rFonts w:ascii="Arial Black" w:hAnsi="Arial Black" w:cs="Arial Black" w:eastAsia="Arial Black"/>
          <w:color w:val="auto"/>
          <w:spacing w:val="0"/>
          <w:position w:val="0"/>
          <w:sz w:val="33"/>
          <w:shd w:fill="auto" w:val="clear"/>
        </w:rPr>
      </w:pPr>
      <w:r>
        <w:rPr>
          <w:rFonts w:ascii="Arial Black" w:hAnsi="Arial Black" w:cs="Arial Black" w:eastAsia="Arial Black"/>
          <w:color w:val="auto"/>
          <w:spacing w:val="0"/>
          <w:position w:val="0"/>
          <w:sz w:val="33"/>
          <w:shd w:fill="auto" w:val="clear"/>
        </w:rPr>
        <w:t xml:space="preserve">SUBMISSÃO</w:t>
      </w:r>
      <w:r>
        <w:rPr>
          <w:rFonts w:ascii="Arial Black" w:hAnsi="Arial Black" w:cs="Arial Black" w:eastAsia="Arial Black"/>
          <w:color w:val="auto"/>
          <w:spacing w:val="4"/>
          <w:position w:val="0"/>
          <w:sz w:val="33"/>
          <w:shd w:fill="auto" w:val="clear"/>
        </w:rPr>
        <w:t xml:space="preserve"> </w:t>
      </w:r>
      <w:r>
        <w:rPr>
          <w:rFonts w:ascii="Arial Black" w:hAnsi="Arial Black" w:cs="Arial Black" w:eastAsia="Arial Black"/>
          <w:color w:val="auto"/>
          <w:spacing w:val="0"/>
          <w:position w:val="0"/>
          <w:sz w:val="33"/>
          <w:shd w:fill="auto" w:val="clear"/>
        </w:rPr>
        <w:t xml:space="preserve">RESUMO</w:t>
      </w:r>
      <w:r>
        <w:rPr>
          <w:rFonts w:ascii="Arial Black" w:hAnsi="Arial Black" w:cs="Arial Black" w:eastAsia="Arial Black"/>
          <w:color w:val="auto"/>
          <w:spacing w:val="5"/>
          <w:position w:val="0"/>
          <w:sz w:val="33"/>
          <w:shd w:fill="auto" w:val="clear"/>
        </w:rPr>
        <w:t xml:space="preserve"> </w:t>
      </w:r>
      <w:r>
        <w:rPr>
          <w:rFonts w:ascii="Arial Black" w:hAnsi="Arial Black" w:cs="Arial Black" w:eastAsia="Arial Black"/>
          <w:color w:val="auto"/>
          <w:spacing w:val="-2"/>
          <w:position w:val="0"/>
          <w:sz w:val="33"/>
          <w:shd w:fill="auto" w:val="clear"/>
        </w:rPr>
        <w:t xml:space="preserve">SIMPLES:</w:t>
      </w:r>
    </w:p>
    <w:p>
      <w:pPr>
        <w:tabs>
          <w:tab w:val="left" w:pos="8804" w:leader="none"/>
        </w:tabs>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USO DE ARTICORPOS MONOCLONAIS NA ASMA: UMA OPÇÃO TERAPÊUTICA</w:t>
      </w:r>
    </w:p>
    <w:p>
      <w:pPr>
        <w:spacing w:before="46" w:after="0" w:line="240"/>
        <w:ind w:right="0" w:left="0" w:firstLine="0"/>
        <w:jc w:val="left"/>
        <w:rPr>
          <w:rFonts w:ascii="Arial Black" w:hAnsi="Arial Black" w:cs="Arial Black" w:eastAsia="Arial Black"/>
          <w:color w:val="auto"/>
          <w:spacing w:val="0"/>
          <w:position w:val="0"/>
          <w:sz w:val="18"/>
          <w:shd w:fill="auto" w:val="clear"/>
        </w:rPr>
      </w:pPr>
    </w:p>
    <w:p>
      <w:pPr>
        <w:spacing w:before="0" w:after="0" w:line="240"/>
        <w:ind w:right="113" w:left="0" w:firstLine="0"/>
        <w:jc w:val="right"/>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Autor</w:t>
      </w:r>
      <w:r>
        <w:rPr>
          <w:rFonts w:ascii="Arial MT" w:hAnsi="Arial MT" w:cs="Arial MT" w:eastAsia="Arial MT"/>
          <w:color w:val="auto"/>
          <w:spacing w:val="5"/>
          <w:position w:val="0"/>
          <w:sz w:val="15"/>
          <w:shd w:fill="auto" w:val="clear"/>
        </w:rPr>
        <w:t xml:space="preserve"> </w:t>
      </w:r>
      <w:r>
        <w:rPr>
          <w:rFonts w:ascii="Arial MT" w:hAnsi="Arial MT" w:cs="Arial MT" w:eastAsia="Arial MT"/>
          <w:color w:val="auto"/>
          <w:spacing w:val="-2"/>
          <w:position w:val="0"/>
          <w:sz w:val="15"/>
          <w:shd w:fill="auto" w:val="clear"/>
        </w:rPr>
        <w:t xml:space="preserve">Izabella de Sousa Borges¹</w:t>
      </w:r>
    </w:p>
    <w:p>
      <w:pPr>
        <w:spacing w:before="0" w:after="0" w:line="240"/>
        <w:ind w:right="0" w:left="0" w:firstLine="0"/>
        <w:jc w:val="left"/>
        <w:rPr>
          <w:rFonts w:ascii="Arial MT" w:hAnsi="Arial MT" w:cs="Arial MT" w:eastAsia="Arial MT"/>
          <w:color w:val="auto"/>
          <w:spacing w:val="0"/>
          <w:position w:val="0"/>
          <w:sz w:val="15"/>
          <w:shd w:fill="auto" w:val="clear"/>
        </w:rPr>
      </w:pPr>
    </w:p>
    <w:p>
      <w:pPr>
        <w:spacing w:before="142"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9"/>
          <w:shd w:fill="auto" w:val="clear"/>
        </w:rPr>
      </w:pPr>
      <w:r>
        <w:rPr>
          <w:rFonts w:ascii="Arial MT" w:hAnsi="Arial MT" w:cs="Arial MT" w:eastAsia="Arial MT"/>
          <w:color w:val="auto"/>
          <w:spacing w:val="0"/>
          <w:position w:val="0"/>
          <w:sz w:val="15"/>
          <w:shd w:fill="auto" w:val="clear"/>
        </w:rPr>
        <w:t xml:space="preserve">Coautor</w:t>
      </w:r>
      <w:r>
        <w:rPr>
          <w:rFonts w:ascii="Arial MT" w:hAnsi="Arial MT" w:cs="Arial MT" w:eastAsia="Arial MT"/>
          <w:color w:val="auto"/>
          <w:spacing w:val="2"/>
          <w:position w:val="0"/>
          <w:sz w:val="15"/>
          <w:shd w:fill="auto" w:val="clear"/>
        </w:rPr>
        <w:t xml:space="preserve"> </w:t>
      </w:r>
      <w:r>
        <w:rPr>
          <w:rFonts w:ascii="Arial MT" w:hAnsi="Arial MT" w:cs="Arial MT" w:eastAsia="Arial MT"/>
          <w:color w:val="auto"/>
          <w:spacing w:val="-2"/>
          <w:position w:val="0"/>
          <w:sz w:val="15"/>
          <w:shd w:fill="auto" w:val="clear"/>
        </w:rPr>
        <w:t xml:space="preserve">Victor Rabelo Bitencourt²</w:t>
      </w:r>
    </w:p>
    <w:p>
      <w:pPr>
        <w:spacing w:before="0" w:after="0" w:line="240"/>
        <w:ind w:right="0" w:left="0" w:firstLine="0"/>
        <w:jc w:val="left"/>
        <w:rPr>
          <w:rFonts w:ascii="Arial MT" w:hAnsi="Arial MT" w:cs="Arial MT" w:eastAsia="Arial MT"/>
          <w:color w:val="auto"/>
          <w:spacing w:val="0"/>
          <w:position w:val="0"/>
          <w:sz w:val="15"/>
          <w:shd w:fill="auto" w:val="clear"/>
        </w:rPr>
      </w:pPr>
    </w:p>
    <w:p>
      <w:pPr>
        <w:tabs>
          <w:tab w:val="left" w:pos="8946" w:leader="none"/>
        </w:tabs>
        <w:spacing w:before="158"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2"/>
          <w:position w:val="0"/>
          <w:sz w:val="15"/>
          <w:shd w:fill="auto" w:val="clear"/>
        </w:rPr>
      </w:pPr>
      <w:r>
        <w:rPr>
          <w:rFonts w:ascii="Arial MT" w:hAnsi="Arial MT" w:cs="Arial MT" w:eastAsia="Arial MT"/>
          <w:color w:val="auto"/>
          <w:spacing w:val="0"/>
          <w:position w:val="0"/>
          <w:sz w:val="15"/>
          <w:shd w:fill="auto" w:val="clear"/>
        </w:rPr>
        <w:t xml:space="preserve">Coautor</w:t>
      </w:r>
      <w:r>
        <w:rPr>
          <w:rFonts w:ascii="Arial MT" w:hAnsi="Arial MT" w:cs="Arial MT" w:eastAsia="Arial MT"/>
          <w:color w:val="auto"/>
          <w:spacing w:val="2"/>
          <w:position w:val="0"/>
          <w:sz w:val="15"/>
          <w:shd w:fill="auto" w:val="clear"/>
        </w:rPr>
        <w:t xml:space="preserve"> Renata Silveira Rosa</w:t>
      </w:r>
      <w:r>
        <w:rPr>
          <w:rFonts w:ascii="Arial MT" w:hAnsi="Arial MT" w:cs="Arial MT" w:eastAsia="Arial MT"/>
          <w:color w:val="auto"/>
          <w:spacing w:val="-2"/>
          <w:position w:val="0"/>
          <w:sz w:val="15"/>
          <w:shd w:fill="auto" w:val="clear"/>
        </w:rPr>
        <w:t xml:space="preserve">²</w:t>
      </w:r>
    </w:p>
    <w:p>
      <w:pPr>
        <w:spacing w:before="0" w:after="0" w:line="240"/>
        <w:ind w:right="113" w:left="0" w:firstLine="0"/>
        <w:jc w:val="righ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9"/>
          <w:shd w:fill="auto" w:val="clear"/>
        </w:rPr>
      </w:pPr>
      <w:r>
        <w:rPr>
          <w:rFonts w:ascii="Arial MT" w:hAnsi="Arial MT" w:cs="Arial MT" w:eastAsia="Arial MT"/>
          <w:color w:val="auto"/>
          <w:spacing w:val="0"/>
          <w:position w:val="0"/>
          <w:sz w:val="15"/>
          <w:shd w:fill="auto" w:val="clear"/>
        </w:rPr>
        <w:t xml:space="preserve">Coautor</w:t>
      </w:r>
      <w:r>
        <w:rPr>
          <w:rFonts w:ascii="Arial MT" w:hAnsi="Arial MT" w:cs="Arial MT" w:eastAsia="Arial MT"/>
          <w:color w:val="auto"/>
          <w:spacing w:val="2"/>
          <w:position w:val="0"/>
          <w:sz w:val="15"/>
          <w:shd w:fill="auto" w:val="clear"/>
        </w:rPr>
        <w:t xml:space="preserve"> </w:t>
      </w:r>
      <w:r>
        <w:rPr>
          <w:rFonts w:ascii="Arial MT" w:hAnsi="Arial MT" w:cs="Arial MT" w:eastAsia="Arial MT"/>
          <w:color w:val="auto"/>
          <w:spacing w:val="-2"/>
          <w:position w:val="0"/>
          <w:sz w:val="15"/>
          <w:shd w:fill="auto" w:val="clear"/>
        </w:rPr>
        <w:t xml:space="preserve">Lucas Camargos Carvalho²</w:t>
      </w:r>
    </w:p>
    <w:p>
      <w:pPr>
        <w:spacing w:before="0" w:after="0" w:line="240"/>
        <w:ind w:right="113" w:left="0" w:firstLine="0"/>
        <w:jc w:val="right"/>
        <w:rPr>
          <w:rFonts w:ascii="Arial MT" w:hAnsi="Arial MT" w:cs="Arial MT" w:eastAsia="Arial MT"/>
          <w:color w:val="auto"/>
          <w:spacing w:val="-2"/>
          <w:position w:val="0"/>
          <w:sz w:val="15"/>
          <w:shd w:fill="auto" w:val="clear"/>
        </w:rPr>
      </w:pPr>
    </w:p>
    <w:p>
      <w:pPr>
        <w:spacing w:before="133" w:after="0" w:line="240"/>
        <w:ind w:right="0" w:left="0" w:firstLine="0"/>
        <w:jc w:val="left"/>
        <w:rPr>
          <w:rFonts w:ascii="Arial MT" w:hAnsi="Arial MT" w:cs="Arial MT" w:eastAsia="Arial MT"/>
          <w:color w:val="auto"/>
          <w:spacing w:val="0"/>
          <w:position w:val="0"/>
          <w:sz w:val="15"/>
          <w:shd w:fill="auto" w:val="clear"/>
        </w:rPr>
      </w:pPr>
    </w:p>
    <w:p>
      <w:pPr>
        <w:spacing w:before="36" w:after="0" w:line="240"/>
        <w:ind w:right="0" w:left="0" w:firstLine="0"/>
        <w:jc w:val="left"/>
        <w:rPr>
          <w:rFonts w:ascii="Arial Black" w:hAnsi="Arial Black" w:cs="Arial Black" w:eastAsia="Arial Black"/>
          <w:color w:val="auto"/>
          <w:spacing w:val="0"/>
          <w:position w:val="0"/>
          <w:sz w:val="15"/>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INTRODUÇÃO: A asma é uma patologia com grande prevalência na sociedade que repercute significativamente no cotidiano de seus acometidos. Ela se manifesta em diferentes graus, </w:t>
      </w:r>
      <w:r>
        <w:rPr>
          <w:rFonts w:ascii="Times New Roman" w:hAnsi="Times New Roman" w:cs="Times New Roman" w:eastAsia="Times New Roman"/>
          <w:color w:val="000000"/>
          <w:spacing w:val="0"/>
          <w:position w:val="0"/>
          <w:sz w:val="24"/>
          <w:shd w:fill="auto" w:val="clear"/>
        </w:rPr>
        <w:t xml:space="preserve">podendo ser classificada</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partir do tratamento necessário para seu controle. Cerca de 5-10% dos pacientes não respondem a terapia com corticoide inalatório, broncodilatador de longa ação e anticolinérgico, sendo necessário medidas adicionais.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 O presente estudo tem por objetivo enfatizar que pacientes com asma grave ou asma eosinofílica podem se beneficiar do tratamento com </w:t>
      </w:r>
      <w:r>
        <w:rPr>
          <w:rFonts w:ascii="Times New Roman" w:hAnsi="Times New Roman" w:cs="Times New Roman" w:eastAsia="Times New Roman"/>
          <w:color w:val="000000"/>
          <w:spacing w:val="0"/>
          <w:position w:val="0"/>
          <w:sz w:val="24"/>
          <w:shd w:fill="auto" w:val="clear"/>
        </w:rPr>
        <w:t xml:space="preserve">imunobiológicos.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MÉTODO: O artigo foi embasado em obras selecionadas nas plataformas PubMed, Scielo, Google acadêmico e revistas, usando os descritores “asma”, “tratamento da asma” e “anticorpos monoclonais na asma”. Considerando estudos atualizados e práticos.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 Um estudo realizado por Hardar e cols, em que foi se utilizado o anticorpo </w:t>
      </w:r>
      <w:r>
        <w:rPr>
          <w:rFonts w:ascii="Times New Roman" w:hAnsi="Times New Roman" w:cs="Times New Roman" w:eastAsia="Times New Roman"/>
          <w:color w:val="000000"/>
          <w:spacing w:val="0"/>
          <w:position w:val="0"/>
          <w:sz w:val="24"/>
          <w:shd w:fill="auto" w:val="clear"/>
        </w:rPr>
        <w:t xml:space="preserve">Mepolizumabe</w:t>
      </w:r>
      <w:r>
        <w:rPr>
          <w:rFonts w:ascii="Times New Roman" w:hAnsi="Times New Roman" w:cs="Times New Roman" w:eastAsia="Times New Roman"/>
          <w:color w:val="auto"/>
          <w:spacing w:val="0"/>
          <w:position w:val="0"/>
          <w:sz w:val="24"/>
          <w:shd w:fill="auto" w:val="clear"/>
        </w:rPr>
        <w:t xml:space="preserve">, foram acompanhadas 61 pessoas com história de asma eosinofilica refratária ou com exacerbações recorrentes e graves por 50 semanas, dessas 47,5% receberam 1 dose ao mês por um ano desse medicamento e as outras 52,5% um placebo. Ortega e cols, também apresenta um estudo com 576 indivíduos com o perfil semelhante do estudo anterior, em que quando administrada doses de </w:t>
      </w:r>
      <w:r>
        <w:rPr>
          <w:rFonts w:ascii="Times New Roman" w:hAnsi="Times New Roman" w:cs="Times New Roman" w:eastAsia="Times New Roman"/>
          <w:color w:val="000000"/>
          <w:spacing w:val="0"/>
          <w:position w:val="0"/>
          <w:sz w:val="24"/>
          <w:shd w:fill="auto" w:val="clear"/>
        </w:rPr>
        <w:t xml:space="preserve">Mepolizumabe p</w:t>
      </w:r>
      <w:r>
        <w:rPr>
          <w:rFonts w:ascii="Times New Roman" w:hAnsi="Times New Roman" w:cs="Times New Roman" w:eastAsia="Times New Roman"/>
          <w:color w:val="auto"/>
          <w:spacing w:val="0"/>
          <w:position w:val="0"/>
          <w:sz w:val="24"/>
          <w:shd w:fill="auto" w:val="clear"/>
        </w:rPr>
        <w:t xml:space="preserve">or 4 semanas. Ambos estudos se mostraram eficientes em reduzir exarcebações além de melhora nos marcadores de asma. Os resultados satisfatórios também se repetem quando usado o anticorpo Benralizumabe, como apresentada pelo estudo de FitzGerald, em que se 49% pessoas receberam o medicamento e 51% receberam placebo.</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rPr>
        <w:t xml:space="preserve">CONCLUSÃO: Dessa maneira, indivíduos com a doença refratária ao tratamento que realizado com uso de corticoide inalatório associado com beta agonista de longa duração, anticolinérgicos entre outros podem se beneficiar da terapia com biológicos. Sendo apresentada redução no número de exacerbações e internações, incluindo  pacientes com asma grave eosinofílica, sendo exemplos o Mepolizumabe e o Benralizumabe, anticorpos monoclonais anti-IgE.</w:t>
      </w:r>
    </w:p>
    <w:p>
      <w:pPr>
        <w:spacing w:before="0" w:after="0" w:line="240"/>
        <w:ind w:right="113" w:left="113" w:firstLine="0"/>
        <w:jc w:val="both"/>
        <w:rPr>
          <w:rFonts w:ascii="Arial MT" w:hAnsi="Arial MT" w:cs="Arial MT" w:eastAsia="Arial MT"/>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PALAVRAS-CHAVE: Asma grave e refratária; Anticorpos monoclonais; Asma eosinofílica</w:t>
      </w:r>
    </w:p>
    <w:p>
      <w:pPr>
        <w:spacing w:before="0" w:after="0" w:line="240"/>
        <w:ind w:right="0" w:left="0" w:firstLine="0"/>
        <w:jc w:val="both"/>
        <w:rPr>
          <w:rFonts w:ascii="Arial MT" w:hAnsi="Arial MT" w:cs="Arial MT" w:eastAsia="Arial MT"/>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autor princiapl: izabella_sg@hotmail.com</w:t>
      </w:r>
    </w:p>
    <w:p>
      <w:pPr>
        <w:spacing w:before="200" w:after="0" w:line="240"/>
        <w:ind w:right="0" w:left="0" w:firstLine="0"/>
        <w:jc w:val="left"/>
        <w:rPr>
          <w:rFonts w:ascii="Arial MT" w:hAnsi="Arial MT" w:cs="Arial MT" w:eastAsia="Arial MT"/>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REFERÊNCIAS:</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 E. et al. Guideline for the management of severe asthma. Brazilian Journal of Allergy and Immunology (BJAI), v. 3, n. 5, 2015.</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83838"/>
          <w:spacing w:val="0"/>
          <w:position w:val="0"/>
          <w:sz w:val="24"/>
          <w:shd w:fill="FFFFFF" w:val="clear"/>
        </w:rPr>
        <w:t xml:space="preserve">FITZGERALD, J. M. et al. Benralizumab, an anti-interleukin-5 receptor </w:t>
      </w:r>
      <w:r>
        <w:rPr>
          <w:rFonts w:ascii="Times New Roman" w:hAnsi="Times New Roman" w:cs="Times New Roman" w:eastAsia="Times New Roman"/>
          <w:color w:val="383838"/>
          <w:spacing w:val="0"/>
          <w:position w:val="0"/>
          <w:sz w:val="24"/>
          <w:shd w:fill="FFFFFF" w:val="clear"/>
        </w:rPr>
        <w:t xml:space="preserve">α monoclonal antibody, as add-on treatment for patients with severe, uncontrolled, eosinophilic asthma (CALIMA): a randomised, double-blind, placebo-controlled phase 3 trial. The Lancet, v. 388, n. 10056, p. 2128</w:t>
      </w:r>
      <w:r>
        <w:rPr>
          <w:rFonts w:ascii="Times New Roman" w:hAnsi="Times New Roman" w:cs="Times New Roman" w:eastAsia="Times New Roman"/>
          <w:color w:val="383838"/>
          <w:spacing w:val="0"/>
          <w:position w:val="0"/>
          <w:sz w:val="24"/>
          <w:shd w:fill="FFFFFF" w:val="clear"/>
        </w:rPr>
        <w:t xml:space="preserve">–</w:t>
      </w:r>
      <w:r>
        <w:rPr>
          <w:rFonts w:ascii="Times New Roman" w:hAnsi="Times New Roman" w:cs="Times New Roman" w:eastAsia="Times New Roman"/>
          <w:color w:val="383838"/>
          <w:spacing w:val="0"/>
          <w:position w:val="0"/>
          <w:sz w:val="24"/>
          <w:shd w:fill="FFFFFF" w:val="clear"/>
        </w:rPr>
        <w:t xml:space="preserve">2141, out. 2016.</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Início - Secretaria de Saúde do Distrito Federal. Disponível em: &lt;</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http://www.saude.df.gov.br/wp-conteudo/uploads/2018/04/ASMA-Omalizumabe-na-Asma-Grave-e-de-Dificil-Controle.pdf</w:t>
        </w:r>
      </w:hyperlink>
      <w:r>
        <w:rPr>
          <w:rFonts w:ascii="Times New Roman" w:hAnsi="Times New Roman" w:cs="Times New Roman" w:eastAsia="Times New Roman"/>
          <w:color w:val="auto"/>
          <w:spacing w:val="0"/>
          <w:position w:val="0"/>
          <w:sz w:val="24"/>
          <w:shd w:fill="auto" w:val="clear"/>
        </w:rPr>
        <w:t xml:space="preserve">&gt;. Acesso em: 22 set. 2024.</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83838"/>
          <w:spacing w:val="0"/>
          <w:position w:val="0"/>
          <w:sz w:val="24"/>
          <w:shd w:fill="FFFFFF" w:val="clear"/>
        </w:rPr>
        <w:t xml:space="preserve">HALDAR, P. et al. Outcomes after cessation of mepolizumab therapy in severe eosinophilic asthma: A 12-month follow-up analysis. Journal of Allergy and Clinical Immunology, v. 133, n. 3, p. 921</w:t>
      </w:r>
      <w:r>
        <w:rPr>
          <w:rFonts w:ascii="Times New Roman" w:hAnsi="Times New Roman" w:cs="Times New Roman" w:eastAsia="Times New Roman"/>
          <w:color w:val="383838"/>
          <w:spacing w:val="0"/>
          <w:position w:val="0"/>
          <w:sz w:val="24"/>
          <w:shd w:fill="FFFFFF" w:val="clear"/>
        </w:rPr>
        <w:t xml:space="preserve">–</w:t>
      </w:r>
      <w:r>
        <w:rPr>
          <w:rFonts w:ascii="Times New Roman" w:hAnsi="Times New Roman" w:cs="Times New Roman" w:eastAsia="Times New Roman"/>
          <w:color w:val="383838"/>
          <w:spacing w:val="0"/>
          <w:position w:val="0"/>
          <w:sz w:val="24"/>
          <w:shd w:fill="FFFFFF" w:val="clear"/>
        </w:rPr>
        <w:t xml:space="preserve">923, mar. 2014.</w:t>
      </w:r>
    </w:p>
    <w:p>
      <w:pPr>
        <w:widowControl w:val="false"/>
        <w:spacing w:before="0" w:after="200" w:line="276"/>
        <w:ind w:right="0" w:left="0" w:firstLine="0"/>
        <w:jc w:val="both"/>
        <w:rPr>
          <w:rFonts w:ascii="Times New Roman" w:hAnsi="Times New Roman" w:cs="Times New Roman" w:eastAsia="Times New Roman"/>
          <w:color w:val="383838"/>
          <w:spacing w:val="0"/>
          <w:position w:val="0"/>
          <w:sz w:val="24"/>
          <w:shd w:fill="FFFFFF" w:val="clear"/>
        </w:rPr>
      </w:pPr>
      <w:r>
        <w:rPr>
          <w:rFonts w:ascii="Times New Roman" w:hAnsi="Times New Roman" w:cs="Times New Roman" w:eastAsia="Times New Roman"/>
          <w:color w:val="383838"/>
          <w:spacing w:val="0"/>
          <w:position w:val="0"/>
          <w:sz w:val="24"/>
          <w:shd w:fill="FFFFFF" w:val="clear"/>
        </w:rPr>
        <w:t xml:space="preserve">ORTEGA, H. G. et al. Mepolizumab Treatment in Patients with Severe Eosinophilic Asthma. New England Journal of Medicine, v. 371, n. 13, p. 1198</w:t>
      </w:r>
      <w:r>
        <w:rPr>
          <w:rFonts w:ascii="Times New Roman" w:hAnsi="Times New Roman" w:cs="Times New Roman" w:eastAsia="Times New Roman"/>
          <w:color w:val="383838"/>
          <w:spacing w:val="0"/>
          <w:position w:val="0"/>
          <w:sz w:val="24"/>
          <w:shd w:fill="FFFFFF" w:val="clear"/>
        </w:rPr>
        <w:t xml:space="preserve">–</w:t>
      </w:r>
      <w:r>
        <w:rPr>
          <w:rFonts w:ascii="Times New Roman" w:hAnsi="Times New Roman" w:cs="Times New Roman" w:eastAsia="Times New Roman"/>
          <w:color w:val="383838"/>
          <w:spacing w:val="0"/>
          <w:position w:val="0"/>
          <w:sz w:val="24"/>
          <w:shd w:fill="FFFFFF" w:val="clear"/>
        </w:rPr>
        <w:t xml:space="preserve">1207, 25 set. 2014.</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PROTOCOLO DE DIAGNÓSTICO E TRATAMENTO DE ASMA DA SOCIEDADE DO ESTADO DO RIO DE JANEIRO. [s.l: s.n.]. Disponível em: &lt;</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http://www.sopterj.com.br/wp-content/uploads/2018/04/protocolo-asma-SOPTERJ-2018-abril.pdf</w:t>
        </w:r>
      </w:hyperlink>
      <w:r>
        <w:rPr>
          <w:rFonts w:ascii="Times New Roman" w:hAnsi="Times New Roman" w:cs="Times New Roman" w:eastAsia="Times New Roman"/>
          <w:color w:val="auto"/>
          <w:spacing w:val="0"/>
          <w:position w:val="0"/>
          <w:sz w:val="24"/>
          <w:shd w:fill="auto" w:val="clear"/>
        </w:rPr>
        <w:t xml:space="preserve">&gt;. Acesso em: 22 set. 2024.</w:t>
      </w:r>
    </w:p>
    <w:p>
      <w:pPr>
        <w:spacing w:before="14" w:after="0" w:line="240"/>
        <w:ind w:right="0" w:left="0" w:firstLine="0"/>
        <w:jc w:val="left"/>
        <w:rPr>
          <w:rFonts w:ascii="Arial MT" w:hAnsi="Arial MT" w:cs="Arial MT" w:eastAsia="Arial MT"/>
          <w:color w:val="auto"/>
          <w:spacing w:val="0"/>
          <w:position w:val="0"/>
          <w:sz w:val="18"/>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¹Médica,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izabella_sg@hotmail.com.</w:t>
      </w:r>
      <w:r>
        <w:rPr>
          <w:rFonts w:ascii="Arial MT" w:hAnsi="Arial MT" w:cs="Arial MT" w:eastAsia="Arial MT"/>
          <w:color w:val="auto"/>
          <w:spacing w:val="7"/>
          <w:position w:val="0"/>
          <w:sz w:val="15"/>
          <w:shd w:fill="auto" w:val="clear"/>
        </w:rPr>
        <w:t xml:space="preserve"> </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²Médico,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victor.rabelobitencourt@gmail.com</w:t>
      </w:r>
      <w:r>
        <w:rPr>
          <w:rFonts w:ascii="Arial MT" w:hAnsi="Arial MT" w:cs="Arial MT" w:eastAsia="Arial MT"/>
          <w:color w:val="auto"/>
          <w:spacing w:val="7"/>
          <w:position w:val="0"/>
          <w:sz w:val="15"/>
          <w:shd w:fill="auto" w:val="clear"/>
        </w:rPr>
        <w:t xml:space="preserve"> </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²Médica,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renatasilveirarosa@hotmail.com</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²Médico,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lucas_5@hotmail.com</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4" w:after="0" w:line="240"/>
        <w:ind w:right="0" w:left="0" w:firstLine="0"/>
        <w:jc w:val="left"/>
        <w:rPr>
          <w:rFonts w:ascii="Arial MT" w:hAnsi="Arial MT" w:cs="Arial MT" w:eastAsia="Arial MT"/>
          <w:color w:val="auto"/>
          <w:spacing w:val="0"/>
          <w:position w:val="0"/>
          <w:sz w:val="20"/>
          <w:shd w:fill="auto" w:val="clear"/>
        </w:rPr>
      </w:pPr>
      <w:r>
        <w:object w:dxaOrig="9625" w:dyaOrig="3156">
          <v:rect xmlns:o="urn:schemas-microsoft-com:office:office" xmlns:v="urn:schemas-microsoft-com:vml" id="rectole0000000001" style="width:481.250000pt;height:157.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sopterj.com.br/wp-content/uploads/2018/04/protocolo-asma-SOPTERJ-2018-abril.pdf" Id="docRId3" Type="http://schemas.openxmlformats.org/officeDocument/2006/relationships/hyperlink" /><Relationship Target="media/image1.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Mode="External" Target="http://www.saude.df.gov.br/wp-conteudo/uploads/2018/04/ASMA-Omalizumabe-na-Asma-Grave-e-de-Dificil-Controle.pdf" Id="docRId2" Type="http://schemas.openxmlformats.org/officeDocument/2006/relationships/hyperlink" /><Relationship Target="embeddings/oleObject1.bin" Id="docRId4" Type="http://schemas.openxmlformats.org/officeDocument/2006/relationships/oleObject" /><Relationship Target="numbering.xml" Id="docRId6" Type="http://schemas.openxmlformats.org/officeDocument/2006/relationships/numbering" /></Relationships>
</file>