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E1B5E89" w14:textId="77777777" w:rsidR="00CD0A59" w:rsidRDefault="00CD0A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B066212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DIAGNÓSTICO PRECOCE DO RETINOBLASTOMA: ESTRATÉGIAS, TECNOLOGIAS E DESAFIOS</w:t>
      </w:r>
    </w:p>
    <w:p w14:paraId="4EED1E23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Larissa Ferreira Horta</w:t>
      </w:r>
      <w:r>
        <w:rPr>
          <w:rFonts w:ascii="Times New Roman" w:eastAsia="Times New Roman" w:hAnsi="Times New Roman" w:cs="Times New Roman"/>
          <w:sz w:val="20"/>
          <w:szCs w:val="20"/>
        </w:rPr>
        <w:t>¹</w:t>
      </w:r>
    </w:p>
    <w:p w14:paraId="79A9F722" w14:textId="2485F289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Faculdade São Leopoldo Mandic (SLMandic)</w:t>
      </w:r>
      <w:r>
        <w:rPr>
          <w:rFonts w:ascii="Times New Roman" w:eastAsia="Times New Roman" w:hAnsi="Times New Roman" w:cs="Times New Roman"/>
          <w:sz w:val="20"/>
          <w:szCs w:val="20"/>
        </w:rPr>
        <w:t>, Araras - SP</w:t>
      </w:r>
      <w:r w:rsidR="00967463" w:rsidRPr="00967463">
        <w:rPr>
          <w:rFonts w:ascii="Times New Roman" w:eastAsia="Times New Roman" w:hAnsi="Times New Roman" w:cs="Times New Roman"/>
          <w:sz w:val="20"/>
          <w:szCs w:val="20"/>
        </w:rPr>
        <w:t>https://docs.google.com/spreadsheets/d/1s5VrIQISOqQ9Nacby-4YSZwbOakC2AHWPIbmtdzuI-o/edit?gid=0#gid=0</w:t>
      </w:r>
    </w:p>
    <w:p w14:paraId="087ACC11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Melissa Garcia Silva Saut</w:t>
      </w:r>
      <w:r>
        <w:rPr>
          <w:rFonts w:ascii="Times New Roman" w:eastAsia="Times New Roman" w:hAnsi="Times New Roman" w:cs="Times New Roman"/>
          <w:sz w:val="20"/>
          <w:szCs w:val="20"/>
        </w:rPr>
        <w:t>²</w:t>
      </w:r>
    </w:p>
    <w:p w14:paraId="69F34D43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Universidade para o Desenvolvimento do Estado e Região do Pantanal (UNIDERP)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Campo Grande - MS, </w:t>
      </w:r>
      <w:r>
        <w:rPr>
          <w:rFonts w:ascii="Arial" w:eastAsia="Arial" w:hAnsi="Arial" w:cs="Arial"/>
          <w:sz w:val="20"/>
          <w:szCs w:val="20"/>
        </w:rPr>
        <w:t>melissasaut@gmail.com</w:t>
      </w:r>
    </w:p>
    <w:p w14:paraId="35E8002C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Mariana Abucater Couto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</w:p>
    <w:p w14:paraId="205B62FD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Medicina,</w:t>
      </w:r>
      <w:r>
        <w:rPr>
          <w:rFonts w:ascii="Arial" w:eastAsia="Arial" w:hAnsi="Arial" w:cs="Arial"/>
          <w:sz w:val="20"/>
          <w:szCs w:val="20"/>
        </w:rPr>
        <w:t>Centro Universitário Metropolitano da Amazônia (UNIFAMAZ)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Belém - PA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marianafamaz@gmail.com</w:t>
      </w:r>
    </w:p>
    <w:p w14:paraId="6CF156EE" w14:textId="77777777" w:rsidR="00CD0A59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Beatriz Fernandes Mendes Nogueira Lopes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01A0CC32" w14:textId="77777777" w:rsidR="00CD0A59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Universidade de Marília (UNIMAR), Marília - SP, </w:t>
      </w:r>
      <w:hyperlink r:id="rId7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beatriz.igt@hotmail.com</w:t>
        </w:r>
      </w:hyperlink>
    </w:p>
    <w:p w14:paraId="10C644A7" w14:textId="77777777" w:rsidR="00CD0A59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Enzo Fabrizzio Moretto Lusvarghi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</w:p>
    <w:p w14:paraId="21446DC6" w14:textId="77777777" w:rsidR="00CD0A59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Universidade Católica de Brasília (UCB), Brasília - DF, </w:t>
      </w: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enzolusvarghi@outlook.com</w:t>
        </w:r>
      </w:hyperlink>
    </w:p>
    <w:p w14:paraId="5933FF43" w14:textId="77777777" w:rsidR="00CD0A59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Leonardo Conde Maia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</w:p>
    <w:p w14:paraId="3AD4839F" w14:textId="3B1E9197" w:rsidR="00CD0A59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Centro Universitário</w:t>
      </w:r>
      <w:r w:rsidR="0034734F">
        <w:rPr>
          <w:rFonts w:ascii="Arial" w:eastAsia="Arial" w:hAnsi="Arial" w:cs="Arial"/>
          <w:sz w:val="20"/>
          <w:szCs w:val="20"/>
        </w:rPr>
        <w:t xml:space="preserve"> do Estado</w:t>
      </w:r>
      <w:r>
        <w:rPr>
          <w:rFonts w:ascii="Arial" w:eastAsia="Arial" w:hAnsi="Arial" w:cs="Arial"/>
          <w:sz w:val="20"/>
          <w:szCs w:val="20"/>
        </w:rPr>
        <w:t xml:space="preserve"> do Pará (CESUPA), Belém - PA,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leocmsh@gmail.com</w:t>
        </w:r>
      </w:hyperlink>
    </w:p>
    <w:p w14:paraId="05CA377E" w14:textId="77777777" w:rsidR="00CD0A59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Jessyca Christina Ribeiro Pereira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</w:p>
    <w:p w14:paraId="39BF9040" w14:textId="77777777" w:rsidR="00CD0A59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Universidade Regional Integrada do Alto Uruguai e das Missões (URI), Erechim - RS, </w:t>
      </w:r>
      <w:hyperlink r:id="rId10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jribeiro007@hotmail.com</w:t>
        </w:r>
      </w:hyperlink>
    </w:p>
    <w:p w14:paraId="050DB8ED" w14:textId="77777777" w:rsidR="00CD0A59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Lais Barboza Souza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8</w:t>
      </w:r>
    </w:p>
    <w:p w14:paraId="7A7C0F1F" w14:textId="77777777" w:rsidR="00CD0A59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Universidade Estácio de Sá (UNESA), Rio de Janeiro - RJ, laisbss@hotmail.com</w:t>
      </w:r>
    </w:p>
    <w:p w14:paraId="045D0CDB" w14:textId="77777777" w:rsidR="00CD0A59" w:rsidRDefault="00CD0A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14:paraId="00C2D2F4" w14:textId="77777777" w:rsidR="00CD0A59" w:rsidRDefault="00CD0A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D238041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RESUMO: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retinoblastoma é o tumor intraocular maligno mais comum na infância, originando-se nas células da retina imatura. Representa aproximadamente 3% dos cânceres pediátricos e afeta principalmente crianças menores de cinco anos. O diagnóstico precoce do retinoblastoma é fundamental para aumentar as chances de cura, preservar a visão e reduzir a mortalidade e morbidade associadas. No entanto, fatores como o acesso limitado a cuidados especializados, falta de conhecimento sobre os sinais e sintomas iniciais e disparidades na infraestrutura de saúde contribuem para o diagnóstico tardio em muitos casos, especialmente em países de baixa e média renda. Portanto, é crucial compreender as estratégias e avanços que facilitam o diagnóstico precoce do retinoblastoma, visando melhorar os desfechos clínicos.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 revisão integrativa busca examinar a literatura existente sobre o diagnóstico precoce do retinoblastoma, identificando métodos eficazes, tecnologias emergentes e práticas recomendadas que podem contribuir para a detecção precoce da doença em diferentes contextos socioeconômicos.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Metodologia: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a realização desta revisão integrativa, foram consultadas bases de dados como PubMed, Scopus e Web of Science, abrangendo artigos publicados entre 2013 e 2023. Os critérios de inclusão foram estudos que abordaram estratégias de diagnóstico precoce do retinoblastoma, incluindo métodos clínicos, tecnologias de imagem, testes genéticos e exames de triagem ocular em populações pediátricas. Estudos que se concentravam apenas em intervenções terapêuticas ou que não abordavam diretamente o diagnóstico precoce foram excluídos. No total, 28 artigos atenderam aos critérios de elegibilidade e foram incluídos na análise.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revisão identificou que o diagnóstico precoce do retinoblastoma depende de uma combinação de exames clínicos, tecnologias de imagem avançadas, exames genéticos e campanhas de conscientização pública. Clinicamente, o reflexo do "olho de gato" (leucocoria) e o estrabismo são sinais iniciais mais comuns do retinoblastoma. A detecção precoce desses sinais por parte de pediatras e oftalmologistas é fundamental para o encaminhamento rápido a centros especializados. No que diz respeito às tecnologias de imagem, a ultrassonografia ocular e a ressonância magnética (RM) são métodos padrão para o diagnóstico do retinoblastoma, permitindo a avaliação da extensão do tumor e o planejamento do tratamento. A ultrassonografia ocular é frequentemente utilizada como a primeira linha de imagem devido à sua disponibilidade e baixo custo, enquanto a RM fornece detalhes adicionais sobre a invasão extraocular e a extensão intracraniana. A tomografia computadorizada (TC) também pode ser usada, embora sua utilização tenha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diminuído devido à exposição à radiação. Avanços recentes em genética molecular também desempenham um papel crucial no diagnóstico precoce, especialmente em casos hereditários de retinoblastoma. A análise genética pode identificar mutações nos genes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RB1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permitindo a triagem de familiares de pacientes e a detecção de indivíduos assintomáticos que estão em risco. Testes genéticos em bebês com histórico familiar de retinoblastoma permitem a implementação de monitoramento regular e intervenções antecipadas. Ainda a revisão destacou a importância das campanhas de conscientização pública e da educação de profissionais de saúde para melhorar a detecção precoce. Em países de baixa e média renda, programas de triagem ocular em comunidades, realizados por profissionais treinados, têm mostrado resultados promissores na detecção precoce de retinoblastoma. Iniciativas que envolvem o uso de tecnologia, como aplicativos de smartphone para detectar leucocoria em fotografias, estão em desenvolvimento e podem melhorar o diagnóstico precoce em áreas com recursos limitados.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diagnóstico precoce do retinoblastoma é essencial para melhorar o prognóstico e reduzir a mortalidade e morbidade associadas. A integração de abordagens clínicas, tecnologias de imagem, testes genéticos e campanhas de conscientização pode ajudar a detectar a doença em estágios iniciais, permitindo tratamentos mais eficazes. No entanto, desafios como desigualdades no acesso à saúde e falta de infraestrutura continuam a dificultar o diagnóstico precoce, especialmente em regiões menos favorecidas. Estudos futuros devem focar no desenvolvimento de estratégias adaptadas a diferentes contextos, promovendo uma abordagem global para o diagnóstico precoce do retinoblastoma e garantindo que todas as crianças tenham acesso a cuidados de saúde oculares adequados.</w:t>
      </w:r>
    </w:p>
    <w:p w14:paraId="65FC1E7F" w14:textId="77777777" w:rsidR="00CD0A59" w:rsidRDefault="00CD0A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ACE1F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Retinoblastoma infantil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Detecção precoce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Exames genéticos oculares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3248E3" w14:textId="77777777" w:rsidR="00CD0A59" w:rsidRDefault="00CD0A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30D33" w14:textId="3A18BABB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E-mail do autor principal: </w:t>
      </w:r>
      <w:r w:rsidR="00967463" w:rsidRPr="00967463">
        <w:rPr>
          <w:rFonts w:ascii="Times New Roman" w:eastAsia="Times New Roman" w:hAnsi="Times New Roman" w:cs="Times New Roman"/>
          <w:color w:val="000000"/>
          <w:sz w:val="24"/>
          <w:szCs w:val="24"/>
        </w:rPr>
        <w:t>lari.horta@hotmail.com</w:t>
      </w:r>
    </w:p>
    <w:p w14:paraId="40BE241C" w14:textId="77777777" w:rsidR="00CD0A59" w:rsidRDefault="00CD0A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97C240E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REFERÊNCIAS:</w:t>
      </w:r>
    </w:p>
    <w:p w14:paraId="0A801DC8" w14:textId="77777777" w:rsidR="00CD0A5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CRUZ-GÁLVEZ, C. C.; ORDAZ-FAVILA, J. C.; VILLAR-CALVO, V. M.; CANCINO-MARENTES, M. E.; BOSCH-CANTO, V. Retinoblastoma: review and new insights.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Frontiers in Oncology</w:t>
      </w:r>
      <w:r>
        <w:rPr>
          <w:rFonts w:ascii="Times New Roman" w:eastAsia="Times New Roman" w:hAnsi="Times New Roman" w:cs="Times New Roman"/>
          <w:sz w:val="24"/>
          <w:szCs w:val="24"/>
        </w:rPr>
        <w:t>, v. 12, p. 963780, 2022. Publicado em: 2 nov. 2022.</w:t>
      </w:r>
    </w:p>
    <w:p w14:paraId="70033C53" w14:textId="77777777" w:rsidR="00CD0A59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 JONG, M. C.; SHAIKH, F.; GALLIE, B. et al. Asynchronous pineoblastoma is more likely after early diagnosis of retinoblastoma: a meta-analysis.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Acta Ophthalmologica</w:t>
      </w:r>
      <w:r>
        <w:rPr>
          <w:rFonts w:ascii="Times New Roman" w:eastAsia="Times New Roman" w:hAnsi="Times New Roman" w:cs="Times New Roman"/>
          <w:sz w:val="24"/>
          <w:szCs w:val="24"/>
        </w:rPr>
        <w:t>, v. 100, n. 1, p. e47-e52, 2022.</w:t>
      </w:r>
    </w:p>
    <w:p w14:paraId="472E1E9C" w14:textId="77777777" w:rsidR="00CD0A59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JABIR, A. R.; ZAHEER, H. A.; ZAHEER, M. A.; ZAHEER, E. A.; BIRDSONG, R. Detection and diagnosis of retinoblastoma: can mobile devices be the next step toward early intervention?.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Cureus</w:t>
      </w:r>
      <w:r>
        <w:rPr>
          <w:rFonts w:ascii="Times New Roman" w:eastAsia="Times New Roman" w:hAnsi="Times New Roman" w:cs="Times New Roman"/>
          <w:sz w:val="24"/>
          <w:szCs w:val="24"/>
        </w:rPr>
        <w:t>, v. 14, n. 10, p. e30074, 2022. Publicado em: 8 out. 2022.</w:t>
      </w:r>
    </w:p>
    <w:p w14:paraId="4F591439" w14:textId="77777777" w:rsidR="00CD0A59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SHEEHAN, A. P. Retinoblastoma: early diagnosis is crucial.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Journal of Pediatric Health Care</w:t>
      </w:r>
      <w:r>
        <w:rPr>
          <w:rFonts w:ascii="Times New Roman" w:eastAsia="Times New Roman" w:hAnsi="Times New Roman" w:cs="Times New Roman"/>
          <w:sz w:val="24"/>
          <w:szCs w:val="24"/>
        </w:rPr>
        <w:t>, v. 34, n. 6, p. 601-605, 2020.</w:t>
      </w:r>
    </w:p>
    <w:p w14:paraId="2769A879" w14:textId="77777777" w:rsidR="00CD0A59" w:rsidRDefault="00CD0A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</w:p>
    <w:sectPr w:rsidR="00CD0A5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CD819" w14:textId="77777777" w:rsidR="00976E11" w:rsidRDefault="00976E11">
      <w:pPr>
        <w:spacing w:after="0" w:line="240" w:lineRule="auto"/>
      </w:pPr>
      <w:r>
        <w:separator/>
      </w:r>
    </w:p>
  </w:endnote>
  <w:endnote w:type="continuationSeparator" w:id="0">
    <w:p w14:paraId="3D8EC970" w14:textId="77777777" w:rsidR="00976E11" w:rsidRDefault="00976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1E2C66-B187-4257-9725-9EBC33118300}"/>
    <w:embedBold r:id="rId2" w:fontKey="{86C6E66B-FA56-497A-B9AF-5582E263B6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D17D95-BCE1-4A58-B209-A5C0030D80C3}"/>
    <w:embedItalic r:id="rId4" w:fontKey="{51DB05D5-46A2-4890-BE6B-4BE8F65FAD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D857058-26BA-4374-AC14-27B0C67141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5E313C-54AC-4836-B1D4-E0B7EE2469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5CC26" w14:textId="77777777" w:rsidR="00CD0A59" w:rsidRDefault="00CD0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2505F" w14:textId="77777777" w:rsidR="00CD0A59" w:rsidRDefault="00CD0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9DAEE" w14:textId="77777777" w:rsidR="00CD0A59" w:rsidRDefault="00CD0A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16E83" w14:textId="77777777" w:rsidR="00976E11" w:rsidRDefault="00976E11">
      <w:pPr>
        <w:spacing w:after="0" w:line="240" w:lineRule="auto"/>
      </w:pPr>
      <w:r>
        <w:separator/>
      </w:r>
    </w:p>
  </w:footnote>
  <w:footnote w:type="continuationSeparator" w:id="0">
    <w:p w14:paraId="6E58387D" w14:textId="77777777" w:rsidR="00976E11" w:rsidRDefault="00976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2F740" w14:textId="77777777" w:rsidR="00CD0A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pict w14:anchorId="0E804A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540pt;height:960pt;z-index:-25165721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F19BF" w14:textId="77777777" w:rsidR="00CD0A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6AB8DBB6" wp14:editId="50D1C2D0">
          <wp:simplePos x="0" y="0"/>
          <wp:positionH relativeFrom="column">
            <wp:posOffset>-1080134</wp:posOffset>
          </wp:positionH>
          <wp:positionV relativeFrom="paragraph">
            <wp:posOffset>-199389</wp:posOffset>
          </wp:positionV>
          <wp:extent cx="5760085" cy="1271905"/>
          <wp:effectExtent l="0" t="0" r="0" b="0"/>
          <wp:wrapTopAndBottom distT="0" dist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85" cy="1271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1A2B7C68" wp14:editId="11506944">
          <wp:simplePos x="0" y="0"/>
          <wp:positionH relativeFrom="column">
            <wp:posOffset>-289559</wp:posOffset>
          </wp:positionH>
          <wp:positionV relativeFrom="paragraph">
            <wp:posOffset>-339089</wp:posOffset>
          </wp:positionV>
          <wp:extent cx="2000250" cy="1584325"/>
          <wp:effectExtent l="0" t="0" r="0" b="0"/>
          <wp:wrapTopAndBottom distT="0" distB="0"/>
          <wp:docPr id="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58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FFD1A" w14:textId="77777777" w:rsidR="00CD0A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4E31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40pt;height:960pt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A59"/>
    <w:rsid w:val="000649C3"/>
    <w:rsid w:val="0034734F"/>
    <w:rsid w:val="003529A1"/>
    <w:rsid w:val="006C3B41"/>
    <w:rsid w:val="00967463"/>
    <w:rsid w:val="00976E11"/>
    <w:rsid w:val="009C0BD7"/>
    <w:rsid w:val="00A86897"/>
    <w:rsid w:val="00AF5ADB"/>
    <w:rsid w:val="00B171EF"/>
    <w:rsid w:val="00CB1FDF"/>
    <w:rsid w:val="00CD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581C07"/>
  <w15:docId w15:val="{08591F7E-56AD-47CD-95A9-3B2E3D068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zolusvarghi@outlook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eatriz.igt@hotmail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jribeiro007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ocmsh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B6yW4T3jEvOowYHibD9g4IwVdw==">CgMxLjA4AHIhMS1xdjJXUVZRdl9UMGR5MUNlbFhXRnAzQUVuaVRpTkh0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1084</Words>
  <Characters>5854</Characters>
  <Application>Microsoft Office Word</Application>
  <DocSecurity>0</DocSecurity>
  <Lines>48</Lines>
  <Paragraphs>13</Paragraphs>
  <ScaleCrop>false</ScaleCrop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Azevedo</dc:creator>
  <cp:lastModifiedBy>Mariana Azevedo</cp:lastModifiedBy>
  <cp:revision>4</cp:revision>
  <dcterms:created xsi:type="dcterms:W3CDTF">2024-09-06T14:30:00Z</dcterms:created>
  <dcterms:modified xsi:type="dcterms:W3CDTF">2024-09-06T15:59:00Z</dcterms:modified>
</cp:coreProperties>
</file>