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3B08" w14:textId="6F86F729" w:rsidR="00283034" w:rsidRPr="00F038C8" w:rsidRDefault="00004E75" w:rsidP="00CE28E8">
      <w:pPr>
        <w:pStyle w:val="Corpo"/>
        <w:spacing w:after="0" w:line="360" w:lineRule="auto"/>
        <w:jc w:val="both"/>
        <w:outlineLvl w:val="0"/>
        <w:rPr>
          <w:rFonts w:hAnsi="Times New Roman" w:cs="Times New Roman"/>
          <w:b/>
          <w:color w:val="000000" w:themeColor="text1"/>
          <w:sz w:val="24"/>
          <w:szCs w:val="24"/>
          <w:lang w:val="pt-BR"/>
        </w:rPr>
      </w:pPr>
      <w:r w:rsidRPr="00F038C8">
        <w:rPr>
          <w:rFonts w:hAnsi="Times New Roman" w:cs="Times New Roman"/>
          <w:b/>
          <w:color w:val="000000" w:themeColor="text1"/>
          <w:sz w:val="24"/>
          <w:szCs w:val="24"/>
          <w:lang w:val="pt-BR"/>
        </w:rPr>
        <w:t xml:space="preserve">GRUPO DE TRABALHO </w:t>
      </w:r>
      <w:r w:rsidR="0056766F" w:rsidRPr="00F038C8">
        <w:rPr>
          <w:rFonts w:hAnsi="Times New Roman" w:cs="Times New Roman"/>
          <w:b/>
          <w:color w:val="000000" w:themeColor="text1"/>
          <w:sz w:val="24"/>
          <w:szCs w:val="24"/>
          <w:lang w:val="pt-BR"/>
        </w:rPr>
        <w:t>5</w:t>
      </w:r>
      <w:r w:rsidRPr="00F038C8">
        <w:rPr>
          <w:rFonts w:hAnsi="Times New Roman" w:cs="Times New Roman"/>
          <w:b/>
          <w:color w:val="000000" w:themeColor="text1"/>
          <w:sz w:val="24"/>
          <w:szCs w:val="24"/>
          <w:lang w:val="pt-BR"/>
        </w:rPr>
        <w:t xml:space="preserve">: </w:t>
      </w:r>
      <w:r w:rsidR="0056766F" w:rsidRPr="00F038C8">
        <w:rPr>
          <w:rFonts w:hAnsi="Times New Roman" w:cs="Times New Roman"/>
          <w:b/>
          <w:color w:val="000000" w:themeColor="text1"/>
          <w:sz w:val="24"/>
          <w:szCs w:val="24"/>
          <w:lang w:val="pt-BR"/>
        </w:rPr>
        <w:t>LITÍGIO, ADVOCACY E DIREITOS HUMANOS</w:t>
      </w:r>
    </w:p>
    <w:p w14:paraId="1FE5698A" w14:textId="77777777" w:rsidR="00283034" w:rsidRPr="00F038C8" w:rsidRDefault="00283034" w:rsidP="00CE28E8">
      <w:pPr>
        <w:pStyle w:val="Corpo"/>
        <w:spacing w:after="0" w:line="360" w:lineRule="auto"/>
        <w:jc w:val="both"/>
        <w:outlineLvl w:val="0"/>
        <w:rPr>
          <w:rFonts w:hAnsi="Times New Roman" w:cs="Times New Roman"/>
          <w:b/>
          <w:color w:val="000000" w:themeColor="text1"/>
          <w:sz w:val="24"/>
          <w:szCs w:val="24"/>
          <w:lang w:val="pt-BR"/>
        </w:rPr>
      </w:pPr>
    </w:p>
    <w:p w14:paraId="3F0E9F7C" w14:textId="68E44BBA" w:rsidR="00283034" w:rsidRPr="00F038C8" w:rsidRDefault="00CD7521" w:rsidP="00CE28E8">
      <w:pPr>
        <w:pStyle w:val="Corpo"/>
        <w:spacing w:after="0" w:line="360" w:lineRule="auto"/>
        <w:jc w:val="center"/>
        <w:outlineLvl w:val="0"/>
        <w:rPr>
          <w:rFonts w:hAnsi="Times New Roman" w:cs="Times New Roman"/>
          <w:b/>
          <w:color w:val="000000" w:themeColor="text1"/>
          <w:sz w:val="24"/>
          <w:szCs w:val="24"/>
          <w:lang w:val="pt-BR"/>
        </w:rPr>
      </w:pPr>
      <w:r w:rsidRPr="00F038C8">
        <w:rPr>
          <w:rFonts w:hAnsi="Times New Roman" w:cs="Times New Roman"/>
          <w:b/>
          <w:color w:val="000000" w:themeColor="text1"/>
          <w:sz w:val="24"/>
          <w:szCs w:val="24"/>
          <w:lang w:val="pt-BR"/>
        </w:rPr>
        <w:t xml:space="preserve">BREVE </w:t>
      </w:r>
      <w:r w:rsidR="0056766F" w:rsidRPr="00F038C8">
        <w:rPr>
          <w:rFonts w:hAnsi="Times New Roman" w:cs="Times New Roman"/>
          <w:b/>
          <w:color w:val="000000" w:themeColor="text1"/>
          <w:sz w:val="24"/>
          <w:szCs w:val="24"/>
          <w:lang w:val="pt-BR"/>
        </w:rPr>
        <w:t>PANORAMA SOBRE A APLICABILIDADE DA CONVENÇÃO N. 169 DA OIT POR TRIBUNAIS DA AMÉRICA LATINA EM CASOS ENVOLVENDO COMUNIDADES INDÍGENAS</w:t>
      </w:r>
    </w:p>
    <w:p w14:paraId="2F093569" w14:textId="77777777" w:rsidR="00283034" w:rsidRPr="00F038C8" w:rsidRDefault="00283034" w:rsidP="00CE28E8">
      <w:pPr>
        <w:pStyle w:val="Corpo"/>
        <w:spacing w:after="0" w:line="360" w:lineRule="auto"/>
        <w:jc w:val="both"/>
        <w:outlineLvl w:val="0"/>
        <w:rPr>
          <w:rFonts w:hAnsi="Times New Roman" w:cs="Times New Roman"/>
          <w:b/>
          <w:color w:val="000000" w:themeColor="text1"/>
          <w:sz w:val="24"/>
          <w:szCs w:val="24"/>
          <w:vertAlign w:val="superscript"/>
          <w:lang w:val="pt-BR"/>
        </w:rPr>
      </w:pPr>
    </w:p>
    <w:p w14:paraId="0F52BD10" w14:textId="28FE36AE" w:rsidR="0047404F" w:rsidRPr="00F038C8" w:rsidRDefault="00283034" w:rsidP="0047404F">
      <w:pPr>
        <w:pStyle w:val="Corpo"/>
        <w:spacing w:after="0" w:line="360" w:lineRule="auto"/>
        <w:jc w:val="right"/>
        <w:outlineLvl w:val="0"/>
        <w:rPr>
          <w:rFonts w:hAnsi="Times New Roman" w:cs="Times New Roman"/>
          <w:b/>
          <w:color w:val="000000" w:themeColor="text1"/>
          <w:sz w:val="24"/>
          <w:szCs w:val="24"/>
          <w:lang w:val="pt-BR"/>
        </w:rPr>
      </w:pPr>
      <w:r w:rsidRPr="00F038C8">
        <w:rPr>
          <w:rFonts w:hAnsi="Times New Roman" w:cs="Times New Roman"/>
          <w:b/>
          <w:color w:val="000000" w:themeColor="text1"/>
          <w:sz w:val="24"/>
          <w:szCs w:val="24"/>
          <w:lang w:val="pt-BR"/>
        </w:rPr>
        <w:tab/>
      </w:r>
      <w:r w:rsidRPr="00F038C8">
        <w:rPr>
          <w:rFonts w:hAnsi="Times New Roman" w:cs="Times New Roman"/>
          <w:b/>
          <w:color w:val="000000" w:themeColor="text1"/>
          <w:sz w:val="24"/>
          <w:szCs w:val="24"/>
          <w:lang w:val="pt-BR"/>
        </w:rPr>
        <w:tab/>
      </w:r>
      <w:r w:rsidRPr="00F038C8">
        <w:rPr>
          <w:rFonts w:hAnsi="Times New Roman" w:cs="Times New Roman"/>
          <w:b/>
          <w:color w:val="000000" w:themeColor="text1"/>
          <w:sz w:val="24"/>
          <w:szCs w:val="24"/>
          <w:lang w:val="pt-BR"/>
        </w:rPr>
        <w:tab/>
      </w:r>
      <w:r w:rsidRPr="00F038C8">
        <w:rPr>
          <w:rFonts w:hAnsi="Times New Roman" w:cs="Times New Roman"/>
          <w:b/>
          <w:color w:val="000000" w:themeColor="text1"/>
          <w:sz w:val="24"/>
          <w:szCs w:val="24"/>
          <w:lang w:val="pt-BR"/>
        </w:rPr>
        <w:tab/>
      </w:r>
      <w:r w:rsidRPr="00F038C8">
        <w:rPr>
          <w:rFonts w:hAnsi="Times New Roman" w:cs="Times New Roman"/>
          <w:b/>
          <w:color w:val="000000" w:themeColor="text1"/>
          <w:sz w:val="24"/>
          <w:szCs w:val="24"/>
          <w:lang w:val="pt-BR"/>
        </w:rPr>
        <w:tab/>
      </w:r>
      <w:r w:rsidRPr="00F038C8">
        <w:rPr>
          <w:rFonts w:hAnsi="Times New Roman" w:cs="Times New Roman"/>
          <w:b/>
          <w:color w:val="000000" w:themeColor="text1"/>
          <w:sz w:val="24"/>
          <w:szCs w:val="24"/>
          <w:lang w:val="pt-BR"/>
        </w:rPr>
        <w:tab/>
        <w:t xml:space="preserve">        </w:t>
      </w:r>
    </w:p>
    <w:p w14:paraId="727A1FF2" w14:textId="1E35670F" w:rsidR="00AE0F8E" w:rsidRPr="00F038C8" w:rsidRDefault="00AE0F8E" w:rsidP="00AE0F8E">
      <w:pPr>
        <w:pStyle w:val="Corpo"/>
        <w:spacing w:after="0" w:line="360" w:lineRule="auto"/>
        <w:jc w:val="right"/>
        <w:outlineLvl w:val="0"/>
        <w:rPr>
          <w:rFonts w:hAnsi="Times New Roman" w:cs="Times New Roman"/>
          <w:b/>
          <w:color w:val="000000" w:themeColor="text1"/>
          <w:sz w:val="24"/>
          <w:szCs w:val="24"/>
          <w:lang w:val="pt-BR"/>
        </w:rPr>
      </w:pPr>
    </w:p>
    <w:p w14:paraId="742BBFF6" w14:textId="77777777" w:rsidR="00283034" w:rsidRPr="00F038C8" w:rsidRDefault="00283034" w:rsidP="00CE28E8">
      <w:pPr>
        <w:pStyle w:val="Corpo"/>
        <w:spacing w:after="0" w:line="360" w:lineRule="auto"/>
        <w:jc w:val="both"/>
        <w:outlineLvl w:val="0"/>
        <w:rPr>
          <w:rFonts w:hAnsi="Times New Roman" w:cs="Times New Roman"/>
          <w:b/>
          <w:color w:val="000000" w:themeColor="text1"/>
          <w:sz w:val="24"/>
          <w:szCs w:val="24"/>
          <w:lang w:val="pt-BR"/>
        </w:rPr>
      </w:pPr>
    </w:p>
    <w:p w14:paraId="146A3B1C" w14:textId="25860075" w:rsidR="0061067B" w:rsidRPr="00F038C8" w:rsidRDefault="00283034" w:rsidP="00CE28E8">
      <w:pPr>
        <w:autoSpaceDE w:val="0"/>
        <w:autoSpaceDN w:val="0"/>
        <w:adjustRightInd w:val="0"/>
        <w:spacing w:after="0" w:line="360" w:lineRule="auto"/>
        <w:jc w:val="both"/>
        <w:rPr>
          <w:rFonts w:ascii="Times New Roman" w:hAnsi="Times New Roman" w:cs="Times New Roman"/>
          <w:color w:val="000000" w:themeColor="text1"/>
          <w:sz w:val="24"/>
          <w:szCs w:val="24"/>
        </w:rPr>
      </w:pPr>
      <w:r w:rsidRPr="00F038C8">
        <w:rPr>
          <w:rFonts w:ascii="Times New Roman" w:hAnsi="Times New Roman" w:cs="Times New Roman"/>
          <w:color w:val="000000" w:themeColor="text1"/>
          <w:sz w:val="24"/>
          <w:szCs w:val="24"/>
        </w:rPr>
        <w:t xml:space="preserve">Este trabalho tem o objetivo de </w:t>
      </w:r>
      <w:r w:rsidR="0056766F" w:rsidRPr="00F038C8">
        <w:rPr>
          <w:rFonts w:ascii="Times New Roman" w:hAnsi="Times New Roman" w:cs="Times New Roman"/>
          <w:color w:val="000000" w:themeColor="text1"/>
          <w:sz w:val="24"/>
          <w:szCs w:val="24"/>
        </w:rPr>
        <w:t>demonstrar um breve panorama de casos que envolveram comunidades indígenas em que houve a aplicabilidade da Convenção n. 169 da Organização Internacional do Trabalho (OIT)</w:t>
      </w:r>
      <w:r w:rsidR="00815C9B" w:rsidRPr="00F038C8">
        <w:rPr>
          <w:rFonts w:ascii="Times New Roman" w:hAnsi="Times New Roman" w:cs="Times New Roman"/>
          <w:color w:val="000000" w:themeColor="text1"/>
          <w:sz w:val="24"/>
          <w:szCs w:val="24"/>
        </w:rPr>
        <w:t xml:space="preserve">, tendo como base </w:t>
      </w:r>
      <w:r w:rsidR="00A861BD" w:rsidRPr="00F038C8">
        <w:rPr>
          <w:rFonts w:ascii="Times New Roman" w:hAnsi="Times New Roman" w:cs="Times New Roman"/>
          <w:color w:val="000000" w:themeColor="text1"/>
          <w:sz w:val="24"/>
          <w:szCs w:val="24"/>
        </w:rPr>
        <w:t>um trabalho</w:t>
      </w:r>
      <w:r w:rsidR="005E2E42" w:rsidRPr="00F038C8">
        <w:rPr>
          <w:rFonts w:ascii="Times New Roman" w:hAnsi="Times New Roman" w:cs="Times New Roman"/>
          <w:color w:val="000000" w:themeColor="text1"/>
          <w:sz w:val="24"/>
          <w:szCs w:val="24"/>
        </w:rPr>
        <w:t xml:space="preserve"> de Christian Courtis.</w:t>
      </w:r>
      <w:r w:rsidRPr="00F038C8">
        <w:rPr>
          <w:rFonts w:ascii="Times New Roman" w:hAnsi="Times New Roman" w:cs="Times New Roman"/>
          <w:color w:val="000000" w:themeColor="text1"/>
          <w:sz w:val="24"/>
          <w:szCs w:val="24"/>
        </w:rPr>
        <w:t xml:space="preserve"> Metodologicamente, recorreram-se a fontes bibliográficas primárias, secundárias, documentais e ao método dedutivo. </w:t>
      </w:r>
      <w:r w:rsidR="0056766F" w:rsidRPr="00F038C8">
        <w:rPr>
          <w:rFonts w:ascii="Times New Roman" w:hAnsi="Times New Roman" w:cs="Times New Roman"/>
          <w:color w:val="000000" w:themeColor="text1"/>
          <w:sz w:val="24"/>
          <w:szCs w:val="24"/>
        </w:rPr>
        <w:t xml:space="preserve">O art. 1º da Convenção n. 169 da OIT trata de quem pode ser considerado povo tribal e indígena, sendo que Yrigoyen Fajardo (2009) trata que o direito internacional identifica os povos indígenas por dois elementos objetivos e um subjetivo, sendo os primeiro feitos históricos e atuais, e o segundo é a autoconsciência da própria identidade, que vincula ambos os feitos. </w:t>
      </w:r>
      <w:r w:rsidR="007E53AC" w:rsidRPr="00F038C8">
        <w:rPr>
          <w:rFonts w:ascii="Times New Roman" w:hAnsi="Times New Roman" w:cs="Times New Roman"/>
          <w:color w:val="000000" w:themeColor="text1"/>
          <w:sz w:val="24"/>
          <w:szCs w:val="24"/>
        </w:rPr>
        <w:t>Contudo, existem problemas no reconhecimento dos direitos dos povos indígenas e tribais, que incluem ideias equivocadas de barbárie, selvageria (BELTRÃO</w:t>
      </w:r>
      <w:r w:rsidR="007E53AC" w:rsidRPr="00F038C8">
        <w:rPr>
          <w:rFonts w:ascii="Times New Roman" w:hAnsi="Times New Roman" w:cs="Times New Roman"/>
          <w:i/>
          <w:color w:val="000000" w:themeColor="text1"/>
          <w:sz w:val="24"/>
          <w:szCs w:val="24"/>
        </w:rPr>
        <w:t xml:space="preserve"> et al., </w:t>
      </w:r>
      <w:r w:rsidR="007E53AC" w:rsidRPr="00F038C8">
        <w:rPr>
          <w:rFonts w:ascii="Times New Roman" w:hAnsi="Times New Roman" w:cs="Times New Roman"/>
          <w:color w:val="000000" w:themeColor="text1"/>
          <w:sz w:val="24"/>
          <w:szCs w:val="24"/>
        </w:rPr>
        <w:t>2010), “inferioridade” e “incapacidade” como heranças da colonização dos “irmãos menores” pelos “irmãos maiores” (YRIGOYEN FAJARDO, 2009, p. 05</w:t>
      </w:r>
      <w:r w:rsidR="002C6B49" w:rsidRPr="00F038C8">
        <w:rPr>
          <w:rFonts w:ascii="Times New Roman" w:hAnsi="Times New Roman" w:cs="Times New Roman"/>
          <w:color w:val="000000" w:themeColor="text1"/>
          <w:sz w:val="24"/>
          <w:szCs w:val="24"/>
        </w:rPr>
        <w:t>)</w:t>
      </w:r>
      <w:r w:rsidR="007E53AC" w:rsidRPr="00F038C8">
        <w:rPr>
          <w:rFonts w:ascii="Times New Roman" w:hAnsi="Times New Roman" w:cs="Times New Roman"/>
          <w:color w:val="000000" w:themeColor="text1"/>
          <w:sz w:val="24"/>
          <w:szCs w:val="24"/>
        </w:rPr>
        <w:t xml:space="preserve">. </w:t>
      </w:r>
      <w:r w:rsidR="002C6B49" w:rsidRPr="00F038C8">
        <w:rPr>
          <w:rFonts w:ascii="Times New Roman" w:hAnsi="Times New Roman" w:cs="Times New Roman"/>
          <w:color w:val="000000" w:themeColor="text1"/>
          <w:sz w:val="24"/>
          <w:szCs w:val="24"/>
        </w:rPr>
        <w:t>Findo o</w:t>
      </w:r>
      <w:r w:rsidR="007E53AC" w:rsidRPr="00F038C8">
        <w:rPr>
          <w:rFonts w:ascii="Times New Roman" w:hAnsi="Times New Roman" w:cs="Times New Roman"/>
          <w:color w:val="000000" w:themeColor="text1"/>
          <w:sz w:val="24"/>
          <w:szCs w:val="24"/>
        </w:rPr>
        <w:t xml:space="preserve"> colonialismo, se gestou um neocolonialismo interno nos países com matizes distintas na América Latina, que não se refletiu necessariamente em melhoras nas condições dos povos indígenas e tribais dentro dos novos Estados (RÁBAGO DORBECKER, 2014, p. 371). Como consequências de concepções equivocadas sobre os povos indígenas temos a tutela indígena (YRIGOYEN FAJARDO, 2009, p. 05) que cria instrumentos para afastar a capacidade dos povos de controlar o seu destino. Porém, com</w:t>
      </w:r>
      <w:r w:rsidR="0020781A" w:rsidRPr="00F038C8">
        <w:rPr>
          <w:rFonts w:ascii="Times New Roman" w:hAnsi="Times New Roman" w:cs="Times New Roman"/>
          <w:color w:val="000000" w:themeColor="text1"/>
          <w:sz w:val="24"/>
          <w:szCs w:val="24"/>
        </w:rPr>
        <w:t xml:space="preserve"> as crescentes injustiças, </w:t>
      </w:r>
      <w:r w:rsidR="002C6B49" w:rsidRPr="00F038C8">
        <w:rPr>
          <w:rFonts w:ascii="Times New Roman" w:hAnsi="Times New Roman" w:cs="Times New Roman"/>
          <w:color w:val="000000" w:themeColor="text1"/>
          <w:sz w:val="24"/>
          <w:szCs w:val="24"/>
        </w:rPr>
        <w:t xml:space="preserve">insurge-se o </w:t>
      </w:r>
      <w:r w:rsidR="007E53AC" w:rsidRPr="00F038C8">
        <w:rPr>
          <w:rFonts w:ascii="Times New Roman" w:hAnsi="Times New Roman" w:cs="Times New Roman"/>
          <w:color w:val="000000" w:themeColor="text1"/>
          <w:sz w:val="24"/>
          <w:szCs w:val="24"/>
        </w:rPr>
        <w:t>protagonismo/ativismo dos povos indígenas em prol dos seus direitos (GARCIA SERRANO, 2011, p. 220), que tem sido uma constante histórica</w:t>
      </w:r>
      <w:r w:rsidR="002C6B49" w:rsidRPr="00F038C8">
        <w:rPr>
          <w:rFonts w:ascii="Times New Roman" w:hAnsi="Times New Roman" w:cs="Times New Roman"/>
          <w:color w:val="000000" w:themeColor="text1"/>
          <w:sz w:val="24"/>
          <w:szCs w:val="24"/>
        </w:rPr>
        <w:t xml:space="preserve"> surpreendente</w:t>
      </w:r>
      <w:r w:rsidR="007E53AC" w:rsidRPr="00F038C8">
        <w:rPr>
          <w:rFonts w:ascii="Times New Roman" w:hAnsi="Times New Roman" w:cs="Times New Roman"/>
          <w:color w:val="000000" w:themeColor="text1"/>
          <w:sz w:val="24"/>
          <w:szCs w:val="24"/>
        </w:rPr>
        <w:t xml:space="preserve"> (RÁBAGO DORBECKER, 2014, p. 381). </w:t>
      </w:r>
      <w:r w:rsidR="007B51AD" w:rsidRPr="00F038C8">
        <w:rPr>
          <w:rFonts w:ascii="Times New Roman" w:hAnsi="Times New Roman" w:cs="Times New Roman"/>
          <w:color w:val="000000" w:themeColor="text1"/>
          <w:sz w:val="24"/>
          <w:szCs w:val="24"/>
        </w:rPr>
        <w:t xml:space="preserve">Assim, a pauta indígena tem girado entorno do reconhecimento da pluralidade de culturas, cosmovisões indígenas, sensibilidades jurídicas e pluralismo jurídico, ao direito à autonomia, à auto-organização, aos costumes, línguas, crenças e tradições culturais, às terras tradicionalmente ocupadas (BELTRÃO </w:t>
      </w:r>
      <w:r w:rsidR="007B51AD" w:rsidRPr="00F038C8">
        <w:rPr>
          <w:rFonts w:ascii="Times New Roman" w:hAnsi="Times New Roman" w:cs="Times New Roman"/>
          <w:i/>
          <w:color w:val="000000" w:themeColor="text1"/>
          <w:sz w:val="24"/>
          <w:szCs w:val="24"/>
        </w:rPr>
        <w:t xml:space="preserve">et al., </w:t>
      </w:r>
      <w:r w:rsidR="007B51AD" w:rsidRPr="00F038C8">
        <w:rPr>
          <w:rFonts w:ascii="Times New Roman" w:hAnsi="Times New Roman" w:cs="Times New Roman"/>
          <w:color w:val="000000" w:themeColor="text1"/>
          <w:sz w:val="24"/>
          <w:szCs w:val="24"/>
        </w:rPr>
        <w:t xml:space="preserve">2010, p. 10), ao direito à consulta prévia, livre e informada (RÁBAGO </w:t>
      </w:r>
      <w:r w:rsidR="007B51AD" w:rsidRPr="00F038C8">
        <w:rPr>
          <w:rFonts w:ascii="Times New Roman" w:hAnsi="Times New Roman" w:cs="Times New Roman"/>
          <w:color w:val="000000" w:themeColor="text1"/>
          <w:sz w:val="24"/>
          <w:szCs w:val="24"/>
        </w:rPr>
        <w:lastRenderedPageBreak/>
        <w:t>DORBECKER, 2014; YRIGOYEN FAJARDO, 2009).</w:t>
      </w:r>
      <w:r w:rsidR="00C108A3" w:rsidRPr="00F038C8">
        <w:rPr>
          <w:rFonts w:ascii="Times New Roman" w:hAnsi="Times New Roman" w:cs="Times New Roman"/>
          <w:color w:val="000000" w:themeColor="text1"/>
          <w:sz w:val="24"/>
          <w:szCs w:val="24"/>
        </w:rPr>
        <w:t xml:space="preserve"> É importante esclarecer que as cosmovisões indígenas “[...] resumem um vínculo indissolúvel entre as concepções de mundo, a vinculação com a Mãe Terra e com todos os recursos naturais que há nela, sendo uma concepção holística do entorno, que abarca também a dimensão do sagrado” (CRUZ, 2005, p. 2)</w:t>
      </w:r>
      <w:r w:rsidR="00E914F3" w:rsidRPr="00F038C8">
        <w:rPr>
          <w:rFonts w:ascii="Times New Roman" w:hAnsi="Times New Roman" w:cs="Times New Roman"/>
          <w:color w:val="000000" w:themeColor="text1"/>
          <w:sz w:val="24"/>
          <w:szCs w:val="24"/>
        </w:rPr>
        <w:t xml:space="preserve">, abrindo espaço para sensibilidades jurídicas diversas, que “[...] traduzem conceito de justiça específico, o sentido de Direito particular a cada cultura, variando conforme o saber local” (ASSIS, 2012, p. 48), expressando assim um pluralismo jurídico com “[...] variedade de conceitos de justiça que convivem (e conflitam) no mesmo território (ASSIS, 2012, p. 48)”. </w:t>
      </w:r>
      <w:r w:rsidR="0050358C" w:rsidRPr="00F038C8">
        <w:rPr>
          <w:rFonts w:ascii="Times New Roman" w:hAnsi="Times New Roman" w:cs="Times New Roman"/>
          <w:color w:val="000000" w:themeColor="text1"/>
          <w:sz w:val="24"/>
          <w:szCs w:val="24"/>
        </w:rPr>
        <w:t xml:space="preserve">Deste modo, é possível estabelecer </w:t>
      </w:r>
      <w:r w:rsidR="002C6B49" w:rsidRPr="00F038C8">
        <w:rPr>
          <w:rFonts w:ascii="Times New Roman" w:hAnsi="Times New Roman" w:cs="Times New Roman"/>
          <w:color w:val="000000" w:themeColor="text1"/>
          <w:sz w:val="24"/>
          <w:szCs w:val="24"/>
        </w:rPr>
        <w:t>uma metodologia</w:t>
      </w:r>
      <w:r w:rsidR="0050358C" w:rsidRPr="00F038C8">
        <w:rPr>
          <w:rFonts w:ascii="Times New Roman" w:hAnsi="Times New Roman" w:cs="Times New Roman"/>
          <w:color w:val="000000" w:themeColor="text1"/>
          <w:sz w:val="24"/>
          <w:szCs w:val="24"/>
        </w:rPr>
        <w:t xml:space="preserve"> para </w:t>
      </w:r>
      <w:r w:rsidR="002C6B49" w:rsidRPr="00F038C8">
        <w:rPr>
          <w:rFonts w:ascii="Times New Roman" w:hAnsi="Times New Roman" w:cs="Times New Roman"/>
          <w:color w:val="000000" w:themeColor="text1"/>
          <w:sz w:val="24"/>
          <w:szCs w:val="24"/>
        </w:rPr>
        <w:t>a análise</w:t>
      </w:r>
      <w:r w:rsidR="0050358C" w:rsidRPr="00F038C8">
        <w:rPr>
          <w:rFonts w:ascii="Times New Roman" w:hAnsi="Times New Roman" w:cs="Times New Roman"/>
          <w:color w:val="000000" w:themeColor="text1"/>
          <w:sz w:val="24"/>
          <w:szCs w:val="24"/>
        </w:rPr>
        <w:t xml:space="preserve"> de sistemas jurídicos diferenciados e </w:t>
      </w:r>
      <w:r w:rsidR="002C6B49" w:rsidRPr="00F038C8">
        <w:rPr>
          <w:rFonts w:ascii="Times New Roman" w:hAnsi="Times New Roman" w:cs="Times New Roman"/>
          <w:color w:val="000000" w:themeColor="text1"/>
          <w:sz w:val="24"/>
          <w:szCs w:val="24"/>
        </w:rPr>
        <w:t xml:space="preserve">a </w:t>
      </w:r>
      <w:r w:rsidR="0050358C" w:rsidRPr="00F038C8">
        <w:rPr>
          <w:rFonts w:ascii="Times New Roman" w:hAnsi="Times New Roman" w:cs="Times New Roman"/>
          <w:color w:val="000000" w:themeColor="text1"/>
          <w:sz w:val="24"/>
          <w:szCs w:val="24"/>
        </w:rPr>
        <w:t xml:space="preserve">tradução intercultural do poder imaginativo de cada sensibilidade jurídica para gerenciar </w:t>
      </w:r>
      <w:r w:rsidR="002C6B49" w:rsidRPr="00F038C8">
        <w:rPr>
          <w:rFonts w:ascii="Times New Roman" w:hAnsi="Times New Roman" w:cs="Times New Roman"/>
          <w:color w:val="000000" w:themeColor="text1"/>
          <w:sz w:val="24"/>
          <w:szCs w:val="24"/>
        </w:rPr>
        <w:t>o diferente, objetivando o</w:t>
      </w:r>
      <w:r w:rsidR="0050358C" w:rsidRPr="00F038C8">
        <w:rPr>
          <w:rFonts w:ascii="Times New Roman" w:hAnsi="Times New Roman" w:cs="Times New Roman"/>
          <w:color w:val="000000" w:themeColor="text1"/>
          <w:sz w:val="24"/>
          <w:szCs w:val="24"/>
        </w:rPr>
        <w:t xml:space="preserve"> diálogo que possibilite a compreensão do “outro” e a melhoria da compreensão </w:t>
      </w:r>
      <w:r w:rsidR="00A82BDD" w:rsidRPr="00F038C8">
        <w:rPr>
          <w:rFonts w:ascii="Times New Roman" w:hAnsi="Times New Roman" w:cs="Times New Roman"/>
          <w:color w:val="000000" w:themeColor="text1"/>
          <w:sz w:val="24"/>
          <w:szCs w:val="24"/>
        </w:rPr>
        <w:t>das culturas e do direito</w:t>
      </w:r>
      <w:r w:rsidR="0050358C" w:rsidRPr="00F038C8">
        <w:rPr>
          <w:rFonts w:ascii="Times New Roman" w:hAnsi="Times New Roman" w:cs="Times New Roman"/>
          <w:color w:val="000000" w:themeColor="text1"/>
          <w:sz w:val="24"/>
          <w:szCs w:val="24"/>
        </w:rPr>
        <w:t xml:space="preserve"> em que se está inserido. </w:t>
      </w:r>
      <w:r w:rsidR="00A82BDD" w:rsidRPr="00F038C8">
        <w:rPr>
          <w:rFonts w:ascii="Times New Roman" w:hAnsi="Times New Roman" w:cs="Times New Roman"/>
          <w:color w:val="000000" w:themeColor="text1"/>
          <w:sz w:val="24"/>
          <w:szCs w:val="24"/>
        </w:rPr>
        <w:t xml:space="preserve">Refuta-se, assim, </w:t>
      </w:r>
      <w:r w:rsidR="00BE6953" w:rsidRPr="00F038C8">
        <w:rPr>
          <w:rFonts w:ascii="Times New Roman" w:hAnsi="Times New Roman" w:cs="Times New Roman"/>
          <w:color w:val="000000" w:themeColor="text1"/>
          <w:sz w:val="24"/>
          <w:szCs w:val="24"/>
        </w:rPr>
        <w:t xml:space="preserve">o discurso da hegemonia de produção e regulamentação nas </w:t>
      </w:r>
      <w:r w:rsidR="002C6B49" w:rsidRPr="00F038C8">
        <w:rPr>
          <w:rFonts w:ascii="Times New Roman" w:hAnsi="Times New Roman" w:cs="Times New Roman"/>
          <w:color w:val="000000" w:themeColor="text1"/>
          <w:sz w:val="24"/>
          <w:szCs w:val="24"/>
        </w:rPr>
        <w:t>categorias jurídicas estatais</w:t>
      </w:r>
      <w:r w:rsidR="00BE6953" w:rsidRPr="00F038C8">
        <w:rPr>
          <w:rFonts w:ascii="Times New Roman" w:hAnsi="Times New Roman" w:cs="Times New Roman"/>
          <w:color w:val="000000" w:themeColor="text1"/>
          <w:sz w:val="24"/>
          <w:szCs w:val="24"/>
        </w:rPr>
        <w:t>, abrindo espaço para que sistemas jurídicos diferenciados possam ser percebidos em sua dignidade de representação e aplicabilidade</w:t>
      </w:r>
      <w:r w:rsidR="00A82BDD" w:rsidRPr="00F038C8">
        <w:rPr>
          <w:rFonts w:ascii="Times New Roman" w:hAnsi="Times New Roman" w:cs="Times New Roman"/>
          <w:color w:val="000000" w:themeColor="text1"/>
          <w:sz w:val="24"/>
          <w:szCs w:val="24"/>
        </w:rPr>
        <w:t xml:space="preserve"> (ASSIS, 2012)</w:t>
      </w:r>
      <w:r w:rsidR="00BE6953" w:rsidRPr="00F038C8">
        <w:rPr>
          <w:rFonts w:ascii="Times New Roman" w:hAnsi="Times New Roman" w:cs="Times New Roman"/>
          <w:color w:val="000000" w:themeColor="text1"/>
          <w:sz w:val="24"/>
          <w:szCs w:val="24"/>
        </w:rPr>
        <w:t xml:space="preserve">. </w:t>
      </w:r>
      <w:r w:rsidR="00C73F02" w:rsidRPr="00F038C8">
        <w:rPr>
          <w:rFonts w:ascii="Times New Roman" w:hAnsi="Times New Roman" w:cs="Times New Roman"/>
          <w:color w:val="000000" w:themeColor="text1"/>
          <w:sz w:val="24"/>
          <w:szCs w:val="24"/>
        </w:rPr>
        <w:t>Conforme Yrigoyen Fajardo</w:t>
      </w:r>
      <w:r w:rsidR="004E26D6" w:rsidRPr="00F038C8">
        <w:rPr>
          <w:rFonts w:ascii="Times New Roman" w:hAnsi="Times New Roman" w:cs="Times New Roman"/>
          <w:color w:val="000000" w:themeColor="text1"/>
          <w:sz w:val="24"/>
          <w:szCs w:val="24"/>
        </w:rPr>
        <w:t xml:space="preserve"> (2009)</w:t>
      </w:r>
      <w:r w:rsidR="00C73F02" w:rsidRPr="00F038C8">
        <w:rPr>
          <w:rFonts w:ascii="Times New Roman" w:hAnsi="Times New Roman" w:cs="Times New Roman"/>
          <w:color w:val="000000" w:themeColor="text1"/>
          <w:sz w:val="24"/>
          <w:szCs w:val="24"/>
        </w:rPr>
        <w:t>, as fontes dos direitos indígenas e tribais são</w:t>
      </w:r>
      <w:r w:rsidR="002C6B49" w:rsidRPr="00F038C8">
        <w:rPr>
          <w:rFonts w:ascii="Times New Roman" w:hAnsi="Times New Roman" w:cs="Times New Roman"/>
          <w:color w:val="000000" w:themeColor="text1"/>
          <w:sz w:val="24"/>
          <w:szCs w:val="24"/>
        </w:rPr>
        <w:t xml:space="preserve">: </w:t>
      </w:r>
      <w:r w:rsidR="00C73F02" w:rsidRPr="00F038C8">
        <w:rPr>
          <w:rFonts w:ascii="Times New Roman" w:hAnsi="Times New Roman" w:cs="Times New Roman"/>
          <w:color w:val="000000" w:themeColor="text1"/>
          <w:sz w:val="24"/>
          <w:szCs w:val="24"/>
        </w:rPr>
        <w:t xml:space="preserve">a) </w:t>
      </w:r>
      <w:r w:rsidR="002C6B49" w:rsidRPr="00F038C8">
        <w:rPr>
          <w:rFonts w:ascii="Times New Roman" w:hAnsi="Times New Roman" w:cs="Times New Roman"/>
          <w:color w:val="000000" w:themeColor="text1"/>
          <w:sz w:val="24"/>
          <w:szCs w:val="24"/>
        </w:rPr>
        <w:t xml:space="preserve">a </w:t>
      </w:r>
      <w:r w:rsidR="00C73F02" w:rsidRPr="00F038C8">
        <w:rPr>
          <w:rFonts w:ascii="Times New Roman" w:hAnsi="Times New Roman" w:cs="Times New Roman"/>
          <w:color w:val="000000" w:themeColor="text1"/>
          <w:sz w:val="24"/>
          <w:szCs w:val="24"/>
        </w:rPr>
        <w:t xml:space="preserve">Convenção n. 169 da OIT; b) </w:t>
      </w:r>
      <w:r w:rsidR="002C6B49" w:rsidRPr="00F038C8">
        <w:rPr>
          <w:rFonts w:ascii="Times New Roman" w:hAnsi="Times New Roman" w:cs="Times New Roman"/>
          <w:color w:val="000000" w:themeColor="text1"/>
          <w:sz w:val="24"/>
          <w:szCs w:val="24"/>
        </w:rPr>
        <w:t xml:space="preserve">a </w:t>
      </w:r>
      <w:r w:rsidR="00C73F02" w:rsidRPr="00F038C8">
        <w:rPr>
          <w:rFonts w:ascii="Times New Roman" w:hAnsi="Times New Roman" w:cs="Times New Roman"/>
          <w:color w:val="000000" w:themeColor="text1"/>
          <w:sz w:val="24"/>
          <w:szCs w:val="24"/>
        </w:rPr>
        <w:t xml:space="preserve">Declaração das Nações Unidas sobre os Direitos dos Povos Indígenas de 2007; c) </w:t>
      </w:r>
      <w:r w:rsidR="002C6B49" w:rsidRPr="00F038C8">
        <w:rPr>
          <w:rFonts w:ascii="Times New Roman" w:hAnsi="Times New Roman" w:cs="Times New Roman"/>
          <w:color w:val="000000" w:themeColor="text1"/>
          <w:sz w:val="24"/>
          <w:szCs w:val="24"/>
        </w:rPr>
        <w:t xml:space="preserve">as </w:t>
      </w:r>
      <w:r w:rsidR="00C73F02" w:rsidRPr="00F038C8">
        <w:rPr>
          <w:rFonts w:ascii="Times New Roman" w:hAnsi="Times New Roman" w:cs="Times New Roman"/>
          <w:color w:val="000000" w:themeColor="text1"/>
          <w:sz w:val="24"/>
          <w:szCs w:val="24"/>
        </w:rPr>
        <w:t xml:space="preserve">Decisões dentro do Sistema Interamericano de Direitos Humanos (Corte Interamericana de Direitos Humanos); d) </w:t>
      </w:r>
      <w:r w:rsidR="002C6B49" w:rsidRPr="00F038C8">
        <w:rPr>
          <w:rFonts w:ascii="Times New Roman" w:hAnsi="Times New Roman" w:cs="Times New Roman"/>
          <w:color w:val="000000" w:themeColor="text1"/>
          <w:sz w:val="24"/>
          <w:szCs w:val="24"/>
        </w:rPr>
        <w:t xml:space="preserve">as </w:t>
      </w:r>
      <w:r w:rsidR="00C73F02" w:rsidRPr="00F038C8">
        <w:rPr>
          <w:rFonts w:ascii="Times New Roman" w:hAnsi="Times New Roman" w:cs="Times New Roman"/>
          <w:color w:val="000000" w:themeColor="text1"/>
          <w:sz w:val="24"/>
          <w:szCs w:val="24"/>
        </w:rPr>
        <w:t xml:space="preserve">Recomendações da Comissão Interamericana de Direitos Humanos; e) </w:t>
      </w:r>
      <w:r w:rsidR="002C6B49" w:rsidRPr="00F038C8">
        <w:rPr>
          <w:rFonts w:ascii="Times New Roman" w:hAnsi="Times New Roman" w:cs="Times New Roman"/>
          <w:color w:val="000000" w:themeColor="text1"/>
          <w:sz w:val="24"/>
          <w:szCs w:val="24"/>
        </w:rPr>
        <w:t xml:space="preserve">as </w:t>
      </w:r>
      <w:r w:rsidR="00C73F02" w:rsidRPr="00F038C8">
        <w:rPr>
          <w:rFonts w:ascii="Times New Roman" w:hAnsi="Times New Roman" w:cs="Times New Roman"/>
          <w:color w:val="000000" w:themeColor="text1"/>
          <w:sz w:val="24"/>
          <w:szCs w:val="24"/>
        </w:rPr>
        <w:t xml:space="preserve">Constituições dos Países da América Latina; f) </w:t>
      </w:r>
      <w:r w:rsidR="002C6B49" w:rsidRPr="00F038C8">
        <w:rPr>
          <w:rFonts w:ascii="Times New Roman" w:hAnsi="Times New Roman" w:cs="Times New Roman"/>
          <w:color w:val="000000" w:themeColor="text1"/>
          <w:sz w:val="24"/>
          <w:szCs w:val="24"/>
        </w:rPr>
        <w:t xml:space="preserve">as </w:t>
      </w:r>
      <w:r w:rsidR="00C73F02" w:rsidRPr="00F038C8">
        <w:rPr>
          <w:rFonts w:ascii="Times New Roman" w:hAnsi="Times New Roman" w:cs="Times New Roman"/>
          <w:color w:val="000000" w:themeColor="text1"/>
          <w:sz w:val="24"/>
          <w:szCs w:val="24"/>
        </w:rPr>
        <w:t>Decisões dos Tribunais dos Países.</w:t>
      </w:r>
      <w:r w:rsidR="002B4F72" w:rsidRPr="00F038C8">
        <w:rPr>
          <w:rFonts w:ascii="Times New Roman" w:hAnsi="Times New Roman" w:cs="Times New Roman"/>
          <w:color w:val="000000" w:themeColor="text1"/>
          <w:sz w:val="24"/>
          <w:szCs w:val="24"/>
        </w:rPr>
        <w:t xml:space="preserve"> Antes de adentrar nas decisões que envolveram povos indígenas na América Latina, há de se lembrar que seu contexto traz heranças da colonização, transição de regimes autoritários, reformas constitucionais, bem como a valorização dos tratados internacionais de direitos humanos como contrariedade ao passado colonizador e autoritário. </w:t>
      </w:r>
      <w:r w:rsidR="004E26D6" w:rsidRPr="00F038C8">
        <w:rPr>
          <w:rFonts w:ascii="Times New Roman" w:hAnsi="Times New Roman" w:cs="Times New Roman"/>
          <w:color w:val="000000" w:themeColor="text1"/>
          <w:sz w:val="24"/>
          <w:szCs w:val="24"/>
        </w:rPr>
        <w:t xml:space="preserve">Com base nas análises de Christian Courtis (2009), </w:t>
      </w:r>
      <w:r w:rsidR="0088715F" w:rsidRPr="00F038C8">
        <w:rPr>
          <w:rFonts w:ascii="Times New Roman" w:hAnsi="Times New Roman" w:cs="Times New Roman"/>
          <w:color w:val="000000" w:themeColor="text1"/>
          <w:sz w:val="24"/>
          <w:szCs w:val="24"/>
        </w:rPr>
        <w:t>i</w:t>
      </w:r>
      <w:r w:rsidR="002B4F72" w:rsidRPr="00F038C8">
        <w:rPr>
          <w:rFonts w:ascii="Times New Roman" w:hAnsi="Times New Roman" w:cs="Times New Roman"/>
          <w:color w:val="000000" w:themeColor="text1"/>
          <w:sz w:val="24"/>
          <w:szCs w:val="24"/>
        </w:rPr>
        <w:t xml:space="preserve">nicia-se com o Caso </w:t>
      </w:r>
      <w:r w:rsidR="002B4F72" w:rsidRPr="00F038C8">
        <w:rPr>
          <w:rFonts w:ascii="Times New Roman" w:hAnsi="Times New Roman" w:cs="Times New Roman"/>
          <w:i/>
          <w:iCs/>
          <w:color w:val="000000" w:themeColor="text1"/>
          <w:sz w:val="24"/>
          <w:szCs w:val="24"/>
        </w:rPr>
        <w:t xml:space="preserve">Yakye Axa </w:t>
      </w:r>
      <w:r w:rsidR="002B4F72" w:rsidRPr="00F038C8">
        <w:rPr>
          <w:rFonts w:ascii="Times New Roman" w:hAnsi="Times New Roman" w:cs="Times New Roman"/>
          <w:color w:val="000000" w:themeColor="text1"/>
          <w:sz w:val="24"/>
          <w:szCs w:val="24"/>
        </w:rPr>
        <w:t xml:space="preserve">vs. Paraguai, </w:t>
      </w:r>
      <w:r w:rsidR="00BE56FD" w:rsidRPr="00F038C8">
        <w:rPr>
          <w:rFonts w:ascii="Times New Roman" w:hAnsi="Times New Roman" w:cs="Times New Roman"/>
          <w:color w:val="000000" w:themeColor="text1"/>
          <w:sz w:val="24"/>
          <w:szCs w:val="24"/>
        </w:rPr>
        <w:t xml:space="preserve">no qual </w:t>
      </w:r>
      <w:r w:rsidR="002B4F72" w:rsidRPr="00F038C8">
        <w:rPr>
          <w:rFonts w:ascii="Times New Roman" w:hAnsi="Times New Roman" w:cs="Times New Roman"/>
          <w:color w:val="000000" w:themeColor="text1"/>
          <w:sz w:val="24"/>
          <w:szCs w:val="24"/>
        </w:rPr>
        <w:t xml:space="preserve">houve reivindicação de titulação do território ancestral de uma comunidade indígena de caçadores-coletores do Chaco paraguaio, vivendo em situação de extrema pobreza. Seus territórios ancestrais se encontravam sob a propriedade privada de terceiros. Imputou-se ao Estado a violação dos direitos à vida, à propriedade privada, ao devido processo e à proteção judicial. </w:t>
      </w:r>
      <w:r w:rsidR="008A2795" w:rsidRPr="00F038C8">
        <w:rPr>
          <w:rFonts w:ascii="Times New Roman" w:hAnsi="Times New Roman" w:cs="Times New Roman"/>
          <w:color w:val="000000" w:themeColor="text1"/>
          <w:sz w:val="24"/>
          <w:szCs w:val="24"/>
        </w:rPr>
        <w:t xml:space="preserve">De acordo com Courtis (2009), a decisão da Corte Interamericana optou pelo alcance do direito de propriedade e de melhoria de condições de vida – e dos direitos à vida e ao devido processo e à proteção judicial </w:t>
      </w:r>
      <w:r w:rsidR="00A61315" w:rsidRPr="00F038C8">
        <w:rPr>
          <w:rFonts w:ascii="Times New Roman" w:hAnsi="Times New Roman" w:cs="Times New Roman"/>
          <w:color w:val="000000" w:themeColor="text1"/>
          <w:sz w:val="24"/>
          <w:szCs w:val="24"/>
        </w:rPr>
        <w:t xml:space="preserve">usando a </w:t>
      </w:r>
      <w:r w:rsidR="008A2795" w:rsidRPr="00F038C8">
        <w:rPr>
          <w:rFonts w:ascii="Times New Roman" w:hAnsi="Times New Roman" w:cs="Times New Roman"/>
          <w:color w:val="000000" w:themeColor="text1"/>
          <w:sz w:val="24"/>
          <w:szCs w:val="24"/>
        </w:rPr>
        <w:t>Convenção 169</w:t>
      </w:r>
      <w:r w:rsidR="00A61315" w:rsidRPr="00F038C8">
        <w:rPr>
          <w:rFonts w:ascii="Times New Roman" w:hAnsi="Times New Roman" w:cs="Times New Roman"/>
          <w:color w:val="000000" w:themeColor="text1"/>
          <w:sz w:val="24"/>
          <w:szCs w:val="24"/>
        </w:rPr>
        <w:t xml:space="preserve"> (arts. 13 e 16.4)</w:t>
      </w:r>
      <w:r w:rsidR="008A2795" w:rsidRPr="00F038C8">
        <w:rPr>
          <w:rFonts w:ascii="Times New Roman" w:hAnsi="Times New Roman" w:cs="Times New Roman"/>
          <w:color w:val="000000" w:themeColor="text1"/>
          <w:sz w:val="24"/>
          <w:szCs w:val="24"/>
        </w:rPr>
        <w:t>.</w:t>
      </w:r>
      <w:r w:rsidR="00440AC9" w:rsidRPr="00F038C8">
        <w:rPr>
          <w:rFonts w:ascii="Times New Roman" w:hAnsi="Times New Roman" w:cs="Times New Roman"/>
          <w:color w:val="000000" w:themeColor="text1"/>
          <w:sz w:val="24"/>
          <w:szCs w:val="24"/>
        </w:rPr>
        <w:t xml:space="preserve"> Vale ressaltar que a mesma </w:t>
      </w:r>
      <w:r w:rsidR="00A61315" w:rsidRPr="00F038C8">
        <w:rPr>
          <w:rFonts w:ascii="Times New Roman" w:hAnsi="Times New Roman" w:cs="Times New Roman"/>
          <w:color w:val="000000" w:themeColor="text1"/>
          <w:sz w:val="24"/>
          <w:szCs w:val="24"/>
        </w:rPr>
        <w:t xml:space="preserve">interpretação foi usada nos Casos </w:t>
      </w:r>
      <w:r w:rsidR="00A61315" w:rsidRPr="00F038C8">
        <w:rPr>
          <w:rFonts w:ascii="Times New Roman" w:hAnsi="Times New Roman" w:cs="Times New Roman"/>
          <w:i/>
          <w:iCs/>
          <w:color w:val="000000" w:themeColor="text1"/>
          <w:sz w:val="24"/>
          <w:szCs w:val="24"/>
        </w:rPr>
        <w:t>Sawhoyamaxa</w:t>
      </w:r>
      <w:r w:rsidR="00A61315" w:rsidRPr="00F038C8">
        <w:rPr>
          <w:rFonts w:ascii="Times New Roman" w:hAnsi="Times New Roman" w:cs="Times New Roman"/>
          <w:color w:val="000000" w:themeColor="text1"/>
          <w:sz w:val="24"/>
          <w:szCs w:val="24"/>
        </w:rPr>
        <w:t xml:space="preserve"> vs. Paraguai e </w:t>
      </w:r>
      <w:r w:rsidR="00A61315" w:rsidRPr="00F038C8">
        <w:rPr>
          <w:rFonts w:ascii="Times New Roman" w:hAnsi="Times New Roman" w:cs="Times New Roman"/>
          <w:i/>
          <w:iCs/>
          <w:color w:val="000000" w:themeColor="text1"/>
          <w:sz w:val="24"/>
          <w:szCs w:val="24"/>
        </w:rPr>
        <w:t>Saramaka</w:t>
      </w:r>
      <w:r w:rsidR="00A61315" w:rsidRPr="00F038C8">
        <w:rPr>
          <w:rFonts w:ascii="Times New Roman" w:hAnsi="Times New Roman" w:cs="Times New Roman"/>
          <w:color w:val="000000" w:themeColor="text1"/>
          <w:sz w:val="24"/>
          <w:szCs w:val="24"/>
        </w:rPr>
        <w:t xml:space="preserve"> vs. Suriname. </w:t>
      </w:r>
      <w:r w:rsidR="00815C9B" w:rsidRPr="00F038C8">
        <w:rPr>
          <w:rFonts w:ascii="Times New Roman" w:hAnsi="Times New Roman" w:cs="Times New Roman"/>
          <w:color w:val="000000" w:themeColor="text1"/>
          <w:sz w:val="24"/>
          <w:szCs w:val="24"/>
        </w:rPr>
        <w:t xml:space="preserve">Em termos de tribunais locais, houve o caso da Comunidade </w:t>
      </w:r>
      <w:proofErr w:type="spellStart"/>
      <w:r w:rsidR="00815C9B" w:rsidRPr="00F038C8">
        <w:rPr>
          <w:rFonts w:ascii="Times New Roman" w:hAnsi="Times New Roman" w:cs="Times New Roman"/>
          <w:i/>
          <w:iCs/>
          <w:color w:val="000000" w:themeColor="text1"/>
          <w:sz w:val="24"/>
          <w:szCs w:val="24"/>
        </w:rPr>
        <w:lastRenderedPageBreak/>
        <w:t>Quera</w:t>
      </w:r>
      <w:proofErr w:type="spellEnd"/>
      <w:r w:rsidR="00815C9B" w:rsidRPr="00F038C8">
        <w:rPr>
          <w:rFonts w:ascii="Times New Roman" w:hAnsi="Times New Roman" w:cs="Times New Roman"/>
          <w:i/>
          <w:iCs/>
          <w:color w:val="000000" w:themeColor="text1"/>
          <w:sz w:val="24"/>
          <w:szCs w:val="24"/>
        </w:rPr>
        <w:t xml:space="preserve"> y </w:t>
      </w:r>
      <w:r w:rsidR="00F718FF" w:rsidRPr="00F038C8">
        <w:rPr>
          <w:rFonts w:ascii="Times New Roman" w:hAnsi="Times New Roman" w:cs="Times New Roman"/>
          <w:i/>
          <w:iCs/>
          <w:color w:val="000000" w:themeColor="text1"/>
          <w:sz w:val="24"/>
          <w:szCs w:val="24"/>
        </w:rPr>
        <w:t>A</w:t>
      </w:r>
      <w:r w:rsidR="00815C9B" w:rsidRPr="00F038C8">
        <w:rPr>
          <w:rFonts w:ascii="Times New Roman" w:hAnsi="Times New Roman" w:cs="Times New Roman"/>
          <w:i/>
          <w:iCs/>
          <w:color w:val="000000" w:themeColor="text1"/>
          <w:sz w:val="24"/>
          <w:szCs w:val="24"/>
        </w:rPr>
        <w:t xml:space="preserve">guas </w:t>
      </w:r>
      <w:proofErr w:type="spellStart"/>
      <w:r w:rsidR="00815C9B" w:rsidRPr="00F038C8">
        <w:rPr>
          <w:rFonts w:ascii="Times New Roman" w:hAnsi="Times New Roman" w:cs="Times New Roman"/>
          <w:i/>
          <w:iCs/>
          <w:color w:val="000000" w:themeColor="text1"/>
          <w:sz w:val="24"/>
          <w:szCs w:val="24"/>
        </w:rPr>
        <w:t>Calientes</w:t>
      </w:r>
      <w:proofErr w:type="spellEnd"/>
      <w:r w:rsidR="00815C9B" w:rsidRPr="00F038C8">
        <w:rPr>
          <w:rFonts w:ascii="Times New Roman" w:hAnsi="Times New Roman" w:cs="Times New Roman"/>
          <w:color w:val="000000" w:themeColor="text1"/>
          <w:sz w:val="24"/>
          <w:szCs w:val="24"/>
        </w:rPr>
        <w:t xml:space="preserve"> (Argentina)</w:t>
      </w:r>
      <w:r w:rsidR="00745F61" w:rsidRPr="00F038C8">
        <w:rPr>
          <w:rFonts w:ascii="Times New Roman" w:hAnsi="Times New Roman" w:cs="Times New Roman"/>
          <w:color w:val="000000" w:themeColor="text1"/>
          <w:sz w:val="24"/>
          <w:szCs w:val="24"/>
        </w:rPr>
        <w:t>, no qual houve u</w:t>
      </w:r>
      <w:r w:rsidR="00815C9B" w:rsidRPr="00F038C8">
        <w:rPr>
          <w:rFonts w:ascii="Times New Roman" w:hAnsi="Times New Roman" w:cs="Times New Roman"/>
          <w:color w:val="000000" w:themeColor="text1"/>
          <w:sz w:val="24"/>
          <w:szCs w:val="24"/>
        </w:rPr>
        <w:t xml:space="preserve">m pedido de usucapião iniciado por uma comunidade indígena, cuja particularidade era a reivindicação de titulação coletiva ou comunitária da terra, em nome da comunidade como sujeito titular – e não de seus membros individuais (Courtis, 2009). O tribunal considerou a ocupação pacífica por mais de vinte anos, como também a posse pré-hispânica de seus territórios. Na </w:t>
      </w:r>
      <w:r w:rsidR="005C0C26" w:rsidRPr="00F038C8">
        <w:rPr>
          <w:rFonts w:ascii="Times New Roman" w:hAnsi="Times New Roman" w:cs="Times New Roman"/>
          <w:color w:val="000000" w:themeColor="text1"/>
          <w:sz w:val="24"/>
          <w:szCs w:val="24"/>
        </w:rPr>
        <w:t xml:space="preserve">Colômbia, de acordo com Courtis (2009), a Sentença SEU-039/97 tratou de um </w:t>
      </w:r>
      <w:r w:rsidR="005C0C26" w:rsidRPr="00F038C8">
        <w:rPr>
          <w:rFonts w:ascii="Times New Roman" w:hAnsi="Times New Roman" w:cs="Times New Roman"/>
          <w:i/>
          <w:color w:val="000000" w:themeColor="text1"/>
          <w:sz w:val="24"/>
          <w:szCs w:val="24"/>
        </w:rPr>
        <w:t xml:space="preserve">leading case </w:t>
      </w:r>
      <w:r w:rsidR="005C0C26" w:rsidRPr="00F038C8">
        <w:rPr>
          <w:rFonts w:ascii="Times New Roman" w:hAnsi="Times New Roman" w:cs="Times New Roman"/>
          <w:color w:val="000000" w:themeColor="text1"/>
          <w:sz w:val="24"/>
          <w:szCs w:val="24"/>
        </w:rPr>
        <w:t xml:space="preserve">continental relacionado à comunidade </w:t>
      </w:r>
      <w:r w:rsidR="005C0C26" w:rsidRPr="00F038C8">
        <w:rPr>
          <w:rFonts w:ascii="Times New Roman" w:hAnsi="Times New Roman" w:cs="Times New Roman"/>
          <w:i/>
          <w:iCs/>
          <w:color w:val="000000" w:themeColor="text1"/>
          <w:sz w:val="24"/>
          <w:szCs w:val="24"/>
        </w:rPr>
        <w:t>U’wa</w:t>
      </w:r>
      <w:r w:rsidR="005C0C26" w:rsidRPr="00F038C8">
        <w:rPr>
          <w:rFonts w:ascii="Times New Roman" w:hAnsi="Times New Roman" w:cs="Times New Roman"/>
          <w:color w:val="000000" w:themeColor="text1"/>
          <w:sz w:val="24"/>
          <w:szCs w:val="24"/>
        </w:rPr>
        <w:t xml:space="preserve"> contra o Ministério do Meio Ambiente e a Sociedade Ocidental da Colômbia por caracterizar que os demandados violaram os direitos da comunidade ao não efetuar de maneira completa e séria o processo de consulta prévia à concessão de uma licença da exploração de hidrocarbonetos dentro de seu território.</w:t>
      </w:r>
      <w:r w:rsidR="005305AD" w:rsidRPr="00F038C8">
        <w:rPr>
          <w:rFonts w:ascii="Times New Roman" w:hAnsi="Times New Roman" w:cs="Times New Roman"/>
          <w:color w:val="000000" w:themeColor="text1"/>
          <w:sz w:val="24"/>
          <w:szCs w:val="24"/>
        </w:rPr>
        <w:t xml:space="preserve"> A Corte Constitucional colombiana destacou que não somente os indivíduos membros das comunidades indígenas são sujeitos de direitos, mas que a Constituição reconhece que também o é a comunidade como coletivo. Depois, tratou que os interesses de exploração de recursos naturais para garantir um desenvolvimento sustentável e o direito de conservação da identidade cultural, étnica, econômica e social das comunidades assentadas nos territórios a serem explorados devem ser harmonizados</w:t>
      </w:r>
      <w:r w:rsidR="00F718FF" w:rsidRPr="00F038C8">
        <w:rPr>
          <w:rFonts w:ascii="Times New Roman" w:hAnsi="Times New Roman" w:cs="Times New Roman"/>
          <w:color w:val="000000" w:themeColor="text1"/>
          <w:sz w:val="24"/>
          <w:szCs w:val="24"/>
        </w:rPr>
        <w:t xml:space="preserve"> (COURTIS, 2009)</w:t>
      </w:r>
      <w:r w:rsidR="002A01F3" w:rsidRPr="00F038C8">
        <w:rPr>
          <w:rFonts w:ascii="Times New Roman" w:hAnsi="Times New Roman" w:cs="Times New Roman"/>
          <w:color w:val="000000" w:themeColor="text1"/>
          <w:sz w:val="24"/>
          <w:szCs w:val="24"/>
        </w:rPr>
        <w:t xml:space="preserve">. Há de se destacar que a Corte </w:t>
      </w:r>
      <w:r w:rsidR="00067689" w:rsidRPr="00F038C8">
        <w:rPr>
          <w:rFonts w:ascii="Times New Roman" w:hAnsi="Times New Roman" w:cs="Times New Roman"/>
          <w:color w:val="000000" w:themeColor="text1"/>
          <w:sz w:val="24"/>
          <w:szCs w:val="24"/>
        </w:rPr>
        <w:t>Constitucional</w:t>
      </w:r>
      <w:r w:rsidR="002A01F3" w:rsidRPr="00F038C8">
        <w:rPr>
          <w:rFonts w:ascii="Times New Roman" w:hAnsi="Times New Roman" w:cs="Times New Roman"/>
          <w:color w:val="000000" w:themeColor="text1"/>
          <w:sz w:val="24"/>
          <w:szCs w:val="24"/>
        </w:rPr>
        <w:t xml:space="preserve"> da Colômbia estabeleceu </w:t>
      </w:r>
      <w:r w:rsidR="00B85B5E" w:rsidRPr="00F038C8">
        <w:rPr>
          <w:rFonts w:ascii="Times New Roman" w:hAnsi="Times New Roman" w:cs="Times New Roman"/>
          <w:color w:val="000000" w:themeColor="text1"/>
          <w:sz w:val="24"/>
          <w:szCs w:val="24"/>
        </w:rPr>
        <w:t>a</w:t>
      </w:r>
      <w:r w:rsidR="002A01F3" w:rsidRPr="00F038C8">
        <w:rPr>
          <w:rFonts w:ascii="Times New Roman" w:hAnsi="Times New Roman" w:cs="Times New Roman"/>
          <w:color w:val="000000" w:themeColor="text1"/>
          <w:sz w:val="24"/>
          <w:szCs w:val="24"/>
        </w:rPr>
        <w:t xml:space="preserve"> </w:t>
      </w:r>
      <w:r w:rsidR="00B85B5E" w:rsidRPr="00F038C8">
        <w:rPr>
          <w:rFonts w:ascii="Times New Roman" w:hAnsi="Times New Roman" w:cs="Times New Roman"/>
          <w:color w:val="000000" w:themeColor="text1"/>
          <w:sz w:val="24"/>
          <w:szCs w:val="24"/>
        </w:rPr>
        <w:t>importância</w:t>
      </w:r>
      <w:r w:rsidR="002A01F3" w:rsidRPr="00F038C8">
        <w:rPr>
          <w:rFonts w:ascii="Times New Roman" w:hAnsi="Times New Roman" w:cs="Times New Roman"/>
          <w:color w:val="000000" w:themeColor="text1"/>
          <w:sz w:val="24"/>
          <w:szCs w:val="24"/>
        </w:rPr>
        <w:t xml:space="preserve"> de consulta aos povos indígenas. </w:t>
      </w:r>
      <w:r w:rsidR="00613CE6" w:rsidRPr="00F038C8">
        <w:rPr>
          <w:rFonts w:ascii="Times New Roman" w:hAnsi="Times New Roman" w:cs="Times New Roman"/>
          <w:color w:val="000000" w:themeColor="text1"/>
          <w:sz w:val="24"/>
          <w:szCs w:val="24"/>
        </w:rPr>
        <w:t>A</w:t>
      </w:r>
      <w:r w:rsidR="00542393" w:rsidRPr="00F038C8">
        <w:rPr>
          <w:rFonts w:ascii="Times New Roman" w:hAnsi="Times New Roman" w:cs="Times New Roman"/>
          <w:color w:val="000000" w:themeColor="text1"/>
          <w:sz w:val="24"/>
          <w:szCs w:val="24"/>
        </w:rPr>
        <w:t>ssim, a</w:t>
      </w:r>
      <w:r w:rsidR="00613CE6" w:rsidRPr="00F038C8">
        <w:rPr>
          <w:rFonts w:ascii="Times New Roman" w:hAnsi="Times New Roman" w:cs="Times New Roman"/>
          <w:color w:val="000000" w:themeColor="text1"/>
          <w:sz w:val="24"/>
          <w:szCs w:val="24"/>
        </w:rPr>
        <w:t xml:space="preserve"> Corte afirm</w:t>
      </w:r>
      <w:r w:rsidR="00542393" w:rsidRPr="00F038C8">
        <w:rPr>
          <w:rFonts w:ascii="Times New Roman" w:hAnsi="Times New Roman" w:cs="Times New Roman"/>
          <w:color w:val="000000" w:themeColor="text1"/>
          <w:sz w:val="24"/>
          <w:szCs w:val="24"/>
        </w:rPr>
        <w:t>ou</w:t>
      </w:r>
      <w:r w:rsidR="00613CE6" w:rsidRPr="00F038C8">
        <w:rPr>
          <w:rFonts w:ascii="Times New Roman" w:hAnsi="Times New Roman" w:cs="Times New Roman"/>
          <w:color w:val="000000" w:themeColor="text1"/>
          <w:sz w:val="24"/>
          <w:szCs w:val="24"/>
        </w:rPr>
        <w:t xml:space="preserve"> que trata-se de um direito fundamental, já que esse é o mecanismo mediante o qual se assegura a subsistência da comunidade como grupo social, afirmando que a Convenção 169 faz parte do chamado “bloco de constitucionalidade”, </w:t>
      </w:r>
      <w:r w:rsidR="00B85B5E" w:rsidRPr="00F038C8">
        <w:rPr>
          <w:rFonts w:ascii="Times New Roman" w:hAnsi="Times New Roman" w:cs="Times New Roman"/>
          <w:color w:val="000000" w:themeColor="text1"/>
          <w:sz w:val="24"/>
          <w:szCs w:val="24"/>
        </w:rPr>
        <w:t>requerente de</w:t>
      </w:r>
      <w:r w:rsidR="00613CE6" w:rsidRPr="00F038C8">
        <w:rPr>
          <w:rFonts w:ascii="Times New Roman" w:hAnsi="Times New Roman" w:cs="Times New Roman"/>
          <w:color w:val="000000" w:themeColor="text1"/>
          <w:sz w:val="24"/>
          <w:szCs w:val="24"/>
        </w:rPr>
        <w:t xml:space="preserve"> interpretação integrada dos direitos fundamentais reconhecidos na Constituição Política e nos demais instrumentos normativos que integram esse bloco. </w:t>
      </w:r>
      <w:r w:rsidR="00E07A84" w:rsidRPr="00F038C8">
        <w:rPr>
          <w:rFonts w:ascii="Times New Roman" w:hAnsi="Times New Roman" w:cs="Times New Roman"/>
          <w:color w:val="000000" w:themeColor="text1"/>
          <w:sz w:val="24"/>
          <w:szCs w:val="24"/>
        </w:rPr>
        <w:t>O mesmo entendimento foi aplicado em sentenças</w:t>
      </w:r>
      <w:r w:rsidR="00CE05B6" w:rsidRPr="00F038C8">
        <w:rPr>
          <w:rFonts w:ascii="Times New Roman" w:hAnsi="Times New Roman" w:cs="Times New Roman"/>
          <w:color w:val="000000" w:themeColor="text1"/>
          <w:sz w:val="24"/>
          <w:szCs w:val="24"/>
        </w:rPr>
        <w:t xml:space="preserve"> locais</w:t>
      </w:r>
      <w:r w:rsidR="00E07A84" w:rsidRPr="00F038C8">
        <w:rPr>
          <w:rFonts w:ascii="Times New Roman" w:hAnsi="Times New Roman" w:cs="Times New Roman"/>
          <w:color w:val="000000" w:themeColor="text1"/>
          <w:sz w:val="24"/>
          <w:szCs w:val="24"/>
        </w:rPr>
        <w:t xml:space="preserve"> posteriores (</w:t>
      </w:r>
      <w:r w:rsidR="00F718FF" w:rsidRPr="00F038C8">
        <w:rPr>
          <w:rFonts w:ascii="Times New Roman" w:hAnsi="Times New Roman" w:cs="Times New Roman"/>
          <w:color w:val="000000" w:themeColor="text1"/>
          <w:sz w:val="24"/>
          <w:szCs w:val="24"/>
        </w:rPr>
        <w:t>COURTIS</w:t>
      </w:r>
      <w:r w:rsidR="00E07A84" w:rsidRPr="00F038C8">
        <w:rPr>
          <w:rFonts w:ascii="Times New Roman" w:hAnsi="Times New Roman" w:cs="Times New Roman"/>
          <w:color w:val="000000" w:themeColor="text1"/>
          <w:sz w:val="24"/>
          <w:szCs w:val="24"/>
        </w:rPr>
        <w:t xml:space="preserve">, 2009). </w:t>
      </w:r>
      <w:r w:rsidR="002E58E9" w:rsidRPr="00F038C8">
        <w:rPr>
          <w:rFonts w:ascii="Times New Roman" w:hAnsi="Times New Roman" w:cs="Times New Roman"/>
          <w:color w:val="000000" w:themeColor="text1"/>
          <w:sz w:val="24"/>
          <w:szCs w:val="24"/>
        </w:rPr>
        <w:t xml:space="preserve">No Equador, o Tribunal Constitucional lidou com o Caso Arcos vs. </w:t>
      </w:r>
      <w:r w:rsidR="002E58E9" w:rsidRPr="00F038C8">
        <w:rPr>
          <w:rFonts w:ascii="Times New Roman" w:hAnsi="Times New Roman" w:cs="Times New Roman"/>
          <w:i/>
          <w:iCs/>
          <w:color w:val="000000" w:themeColor="text1"/>
          <w:sz w:val="24"/>
          <w:szCs w:val="24"/>
        </w:rPr>
        <w:t>Dirección Regional de Minería</w:t>
      </w:r>
      <w:r w:rsidR="002E58E9" w:rsidRPr="00F038C8">
        <w:rPr>
          <w:rFonts w:ascii="Times New Roman" w:hAnsi="Times New Roman" w:cs="Times New Roman"/>
          <w:color w:val="000000" w:themeColor="text1"/>
          <w:sz w:val="24"/>
          <w:szCs w:val="24"/>
        </w:rPr>
        <w:t xml:space="preserve">, sendo este um recurso de amparo – iniciado pelo Defensor do Povo, representando os direitos de comunidades indígenas </w:t>
      </w:r>
      <w:r w:rsidR="002E58E9" w:rsidRPr="00F038C8">
        <w:rPr>
          <w:rFonts w:ascii="Times New Roman" w:hAnsi="Times New Roman" w:cs="Times New Roman"/>
          <w:i/>
          <w:iCs/>
          <w:color w:val="000000" w:themeColor="text1"/>
          <w:sz w:val="24"/>
          <w:szCs w:val="24"/>
        </w:rPr>
        <w:t>chachis</w:t>
      </w:r>
      <w:r w:rsidR="002E58E9" w:rsidRPr="00F038C8">
        <w:rPr>
          <w:rFonts w:ascii="Times New Roman" w:hAnsi="Times New Roman" w:cs="Times New Roman"/>
          <w:color w:val="000000" w:themeColor="text1"/>
          <w:sz w:val="24"/>
          <w:szCs w:val="24"/>
        </w:rPr>
        <w:t xml:space="preserve"> e de comunidades afrodescendentes da província de Esmeraldas – dirigida contra uma concessão de mineração, por parte das autoridades governamentais, à uma empresa privada para “prospectar, explorar, aproveitar, beneficiar, fundir, refinar e comercializar minerais” existentes em um terreno situado no território das comunidades. Entre outros agravos, a demanda se funda no descumprimento da obrigação de consulta prévia às comunidades afetadas, invocando-se nesse sentido o artigo 15 da Convenção 169 da OIT (</w:t>
      </w:r>
      <w:r w:rsidR="00E76576" w:rsidRPr="00F038C8">
        <w:rPr>
          <w:rFonts w:ascii="Times New Roman" w:hAnsi="Times New Roman" w:cs="Times New Roman"/>
          <w:color w:val="000000" w:themeColor="text1"/>
          <w:sz w:val="24"/>
          <w:szCs w:val="24"/>
        </w:rPr>
        <w:t>COURTIS</w:t>
      </w:r>
      <w:r w:rsidR="002E58E9" w:rsidRPr="00F038C8">
        <w:rPr>
          <w:rFonts w:ascii="Times New Roman" w:hAnsi="Times New Roman" w:cs="Times New Roman"/>
          <w:color w:val="000000" w:themeColor="text1"/>
          <w:sz w:val="24"/>
          <w:szCs w:val="24"/>
        </w:rPr>
        <w:t xml:space="preserve">, 2009). </w:t>
      </w:r>
      <w:r w:rsidR="00C248F7" w:rsidRPr="00F038C8">
        <w:rPr>
          <w:rFonts w:ascii="Times New Roman" w:hAnsi="Times New Roman" w:cs="Times New Roman"/>
          <w:color w:val="000000" w:themeColor="text1"/>
          <w:sz w:val="24"/>
          <w:szCs w:val="24"/>
        </w:rPr>
        <w:t xml:space="preserve">O Tribunal Constitucional confirmou a sentença de primeira instância e ordenou a suspensão da concessão de mineração impugnada, dando por provado, que a concessão afetaria ambientalmente os centros </w:t>
      </w:r>
      <w:r w:rsidR="00C248F7" w:rsidRPr="00F038C8">
        <w:rPr>
          <w:rFonts w:ascii="Times New Roman" w:hAnsi="Times New Roman" w:cs="Times New Roman"/>
          <w:i/>
          <w:iCs/>
          <w:color w:val="000000" w:themeColor="text1"/>
          <w:sz w:val="24"/>
          <w:szCs w:val="24"/>
        </w:rPr>
        <w:t>chachis</w:t>
      </w:r>
      <w:r w:rsidR="00C248F7" w:rsidRPr="00F038C8">
        <w:rPr>
          <w:rFonts w:ascii="Times New Roman" w:hAnsi="Times New Roman" w:cs="Times New Roman"/>
          <w:color w:val="000000" w:themeColor="text1"/>
          <w:sz w:val="24"/>
          <w:szCs w:val="24"/>
        </w:rPr>
        <w:t xml:space="preserve"> e </w:t>
      </w:r>
      <w:r w:rsidR="00C248F7" w:rsidRPr="00F038C8">
        <w:rPr>
          <w:rFonts w:ascii="Times New Roman" w:hAnsi="Times New Roman" w:cs="Times New Roman"/>
          <w:color w:val="000000" w:themeColor="text1"/>
          <w:sz w:val="24"/>
          <w:szCs w:val="24"/>
        </w:rPr>
        <w:lastRenderedPageBreak/>
        <w:t>os povos negros que habitam determinada zona e alteraria</w:t>
      </w:r>
      <w:r w:rsidR="001248A8" w:rsidRPr="00F038C8">
        <w:rPr>
          <w:rFonts w:ascii="Times New Roman" w:hAnsi="Times New Roman" w:cs="Times New Roman"/>
          <w:color w:val="000000" w:themeColor="text1"/>
          <w:sz w:val="24"/>
          <w:szCs w:val="24"/>
        </w:rPr>
        <w:t xml:space="preserve"> substancialmente</w:t>
      </w:r>
      <w:r w:rsidR="00C248F7" w:rsidRPr="00F038C8">
        <w:rPr>
          <w:rFonts w:ascii="Times New Roman" w:hAnsi="Times New Roman" w:cs="Times New Roman"/>
          <w:color w:val="000000" w:themeColor="text1"/>
          <w:sz w:val="24"/>
          <w:szCs w:val="24"/>
        </w:rPr>
        <w:t xml:space="preserve"> os seus modos de vida. O tribunal </w:t>
      </w:r>
      <w:r w:rsidR="000241A7" w:rsidRPr="00F038C8">
        <w:rPr>
          <w:rFonts w:ascii="Times New Roman" w:hAnsi="Times New Roman" w:cs="Times New Roman"/>
          <w:color w:val="000000" w:themeColor="text1"/>
          <w:sz w:val="24"/>
          <w:szCs w:val="24"/>
        </w:rPr>
        <w:t>ressaltou</w:t>
      </w:r>
      <w:r w:rsidR="00C248F7" w:rsidRPr="00F038C8">
        <w:rPr>
          <w:rFonts w:ascii="Times New Roman" w:hAnsi="Times New Roman" w:cs="Times New Roman"/>
          <w:color w:val="000000" w:themeColor="text1"/>
          <w:sz w:val="24"/>
          <w:szCs w:val="24"/>
        </w:rPr>
        <w:t xml:space="preserve"> que tanto a Constituição como a Convenção 169 da OIT requer a realização de uma consulta prévia (</w:t>
      </w:r>
      <w:r w:rsidR="00E76576" w:rsidRPr="00F038C8">
        <w:rPr>
          <w:rFonts w:ascii="Times New Roman" w:hAnsi="Times New Roman" w:cs="Times New Roman"/>
          <w:color w:val="000000" w:themeColor="text1"/>
          <w:sz w:val="24"/>
          <w:szCs w:val="24"/>
        </w:rPr>
        <w:t>COURTIS</w:t>
      </w:r>
      <w:r w:rsidR="00C248F7" w:rsidRPr="00F038C8">
        <w:rPr>
          <w:rFonts w:ascii="Times New Roman" w:hAnsi="Times New Roman" w:cs="Times New Roman"/>
          <w:color w:val="000000" w:themeColor="text1"/>
          <w:sz w:val="24"/>
          <w:szCs w:val="24"/>
        </w:rPr>
        <w:t xml:space="preserve">, 2009). </w:t>
      </w:r>
      <w:r w:rsidR="004E26D6" w:rsidRPr="00F038C8">
        <w:rPr>
          <w:rFonts w:ascii="Times New Roman" w:hAnsi="Times New Roman" w:cs="Times New Roman"/>
          <w:color w:val="000000" w:themeColor="text1"/>
          <w:sz w:val="24"/>
          <w:szCs w:val="24"/>
        </w:rPr>
        <w:t xml:space="preserve">Outro </w:t>
      </w:r>
      <w:r w:rsidR="00E4774B" w:rsidRPr="00F038C8">
        <w:rPr>
          <w:rFonts w:ascii="Times New Roman" w:hAnsi="Times New Roman" w:cs="Times New Roman"/>
          <w:color w:val="000000" w:themeColor="text1"/>
          <w:sz w:val="24"/>
          <w:szCs w:val="24"/>
        </w:rPr>
        <w:t xml:space="preserve">caso ocorreu na Argentina, com demanda apresentada pelo Defensor do Povo contra o Estado nacional e a Província do Chaco, denunciando a situação de extrema miséria de comunidades da etnia </w:t>
      </w:r>
      <w:r w:rsidR="00E4774B" w:rsidRPr="00F038C8">
        <w:rPr>
          <w:rFonts w:ascii="Times New Roman" w:hAnsi="Times New Roman" w:cs="Times New Roman"/>
          <w:i/>
          <w:iCs/>
          <w:color w:val="000000" w:themeColor="text1"/>
          <w:sz w:val="24"/>
          <w:szCs w:val="24"/>
        </w:rPr>
        <w:t>toba</w:t>
      </w:r>
      <w:r w:rsidR="00E4774B" w:rsidRPr="00F038C8">
        <w:rPr>
          <w:rFonts w:ascii="Times New Roman" w:hAnsi="Times New Roman" w:cs="Times New Roman"/>
          <w:color w:val="000000" w:themeColor="text1"/>
          <w:sz w:val="24"/>
          <w:szCs w:val="24"/>
        </w:rPr>
        <w:t>, habitantes da província. A Corte Suprema de Justiça considerou que as afirmações do Defensor do Povo eram verossímeis e ordenou liminarmente ao Estado</w:t>
      </w:r>
      <w:r w:rsidR="00E76576" w:rsidRPr="00F038C8">
        <w:rPr>
          <w:rFonts w:ascii="Times New Roman" w:hAnsi="Times New Roman" w:cs="Times New Roman"/>
          <w:color w:val="000000" w:themeColor="text1"/>
          <w:sz w:val="24"/>
          <w:szCs w:val="24"/>
        </w:rPr>
        <w:t xml:space="preserve"> (COURTIS, 2009)</w:t>
      </w:r>
      <w:r w:rsidR="00E4774B" w:rsidRPr="00F038C8">
        <w:rPr>
          <w:rFonts w:ascii="Times New Roman" w:hAnsi="Times New Roman" w:cs="Times New Roman"/>
          <w:color w:val="000000" w:themeColor="text1"/>
          <w:sz w:val="24"/>
          <w:szCs w:val="24"/>
        </w:rPr>
        <w:t xml:space="preserve">. </w:t>
      </w:r>
      <w:r w:rsidR="003D5112" w:rsidRPr="00F038C8">
        <w:rPr>
          <w:rFonts w:ascii="Times New Roman" w:hAnsi="Times New Roman" w:cs="Times New Roman"/>
          <w:color w:val="000000" w:themeColor="text1"/>
          <w:sz w:val="24"/>
          <w:szCs w:val="24"/>
        </w:rPr>
        <w:t xml:space="preserve">Na Colômbia, a Sentença T-704/06, o tribunal teve de considerar  um pedido de tutela, iniciada pela associação de chefes de uma comunidade indígena em situação de extrema pobreza contra autoridades municipais e nacionais. </w:t>
      </w:r>
      <w:r w:rsidR="00076788" w:rsidRPr="00F038C8">
        <w:rPr>
          <w:rFonts w:ascii="Times New Roman" w:hAnsi="Times New Roman" w:cs="Times New Roman"/>
          <w:color w:val="000000" w:themeColor="text1"/>
          <w:sz w:val="24"/>
          <w:szCs w:val="24"/>
        </w:rPr>
        <w:t>Conforme Courtis (2009), a</w:t>
      </w:r>
      <w:r w:rsidR="003D5112" w:rsidRPr="00F038C8">
        <w:rPr>
          <w:rFonts w:ascii="Times New Roman" w:hAnsi="Times New Roman" w:cs="Times New Roman"/>
          <w:color w:val="000000" w:themeColor="text1"/>
          <w:sz w:val="24"/>
          <w:szCs w:val="24"/>
        </w:rPr>
        <w:t xml:space="preserve"> comunidade denunciou a omissão das autoridades envolvidas em tornar efetiva a entrega de remessas orçamentárias destinadas à comunidade e correspondentes a um período de quatro anos. </w:t>
      </w:r>
      <w:r w:rsidR="008B5EEC" w:rsidRPr="00F038C8">
        <w:rPr>
          <w:rFonts w:ascii="Times New Roman" w:hAnsi="Times New Roman" w:cs="Times New Roman"/>
          <w:color w:val="000000" w:themeColor="text1"/>
          <w:sz w:val="24"/>
          <w:szCs w:val="24"/>
        </w:rPr>
        <w:t xml:space="preserve">Apontou o autor que </w:t>
      </w:r>
      <w:r w:rsidR="003D5112" w:rsidRPr="00F038C8">
        <w:rPr>
          <w:rFonts w:ascii="Times New Roman" w:hAnsi="Times New Roman" w:cs="Times New Roman"/>
          <w:color w:val="000000" w:themeColor="text1"/>
          <w:sz w:val="24"/>
          <w:szCs w:val="24"/>
        </w:rPr>
        <w:t>o tribunal</w:t>
      </w:r>
      <w:r w:rsidR="008B5EEC" w:rsidRPr="00F038C8">
        <w:rPr>
          <w:rFonts w:ascii="Times New Roman" w:hAnsi="Times New Roman" w:cs="Times New Roman"/>
          <w:color w:val="000000" w:themeColor="text1"/>
          <w:sz w:val="24"/>
          <w:szCs w:val="24"/>
        </w:rPr>
        <w:t xml:space="preserve"> decidiu</w:t>
      </w:r>
      <w:r w:rsidR="003D5112" w:rsidRPr="00F038C8">
        <w:rPr>
          <w:rFonts w:ascii="Times New Roman" w:hAnsi="Times New Roman" w:cs="Times New Roman"/>
          <w:color w:val="000000" w:themeColor="text1"/>
          <w:sz w:val="24"/>
          <w:szCs w:val="24"/>
        </w:rPr>
        <w:t xml:space="preserve"> que o Estado </w:t>
      </w:r>
      <w:r w:rsidR="008B5EEC" w:rsidRPr="00F038C8">
        <w:rPr>
          <w:rFonts w:ascii="Times New Roman" w:hAnsi="Times New Roman" w:cs="Times New Roman"/>
          <w:color w:val="000000" w:themeColor="text1"/>
          <w:sz w:val="24"/>
          <w:szCs w:val="24"/>
        </w:rPr>
        <w:t>foi</w:t>
      </w:r>
      <w:r w:rsidR="003D5112" w:rsidRPr="00F038C8">
        <w:rPr>
          <w:rFonts w:ascii="Times New Roman" w:hAnsi="Times New Roman" w:cs="Times New Roman"/>
          <w:color w:val="000000" w:themeColor="text1"/>
          <w:sz w:val="24"/>
          <w:szCs w:val="24"/>
        </w:rPr>
        <w:t xml:space="preserve"> obrigado a desenvolver ações positivas para o pleno gozo desses direitos pelas comunidades indígenas, enfatizando a estreita relação entre o gozo de direitos econômicos, sociais e culturais e o gozo do direito à subsistência e identidade cultural. Isso se traduz na obrigação de dar às comunidades indígenas, em especial àquelas mais desatendidas, os recursos necessários para satisfazer tais direitos (</w:t>
      </w:r>
      <w:r w:rsidR="00E76576" w:rsidRPr="00F038C8">
        <w:rPr>
          <w:rFonts w:ascii="Times New Roman" w:hAnsi="Times New Roman" w:cs="Times New Roman"/>
          <w:color w:val="000000" w:themeColor="text1"/>
          <w:sz w:val="24"/>
          <w:szCs w:val="24"/>
        </w:rPr>
        <w:t>COURTIS</w:t>
      </w:r>
      <w:r w:rsidR="003D5112" w:rsidRPr="00F038C8">
        <w:rPr>
          <w:rFonts w:ascii="Times New Roman" w:hAnsi="Times New Roman" w:cs="Times New Roman"/>
          <w:color w:val="000000" w:themeColor="text1"/>
          <w:sz w:val="24"/>
          <w:szCs w:val="24"/>
        </w:rPr>
        <w:t xml:space="preserve">, 2009). Na Costa Rica, </w:t>
      </w:r>
      <w:r w:rsidR="0020115F" w:rsidRPr="00F038C8">
        <w:rPr>
          <w:rFonts w:ascii="Times New Roman" w:hAnsi="Times New Roman" w:cs="Times New Roman"/>
          <w:color w:val="000000" w:themeColor="text1"/>
          <w:sz w:val="24"/>
          <w:szCs w:val="24"/>
        </w:rPr>
        <w:t xml:space="preserve">a Corte Suprema deu decisão positiva a uma comunidade indígena ante um recurso de amparo promovido pela Associação de Desenvolvimento da Reserva Indígena de </w:t>
      </w:r>
      <w:r w:rsidR="0020115F" w:rsidRPr="00F038C8">
        <w:rPr>
          <w:rFonts w:ascii="Times New Roman" w:hAnsi="Times New Roman" w:cs="Times New Roman"/>
          <w:i/>
          <w:iCs/>
          <w:color w:val="000000" w:themeColor="text1"/>
          <w:sz w:val="24"/>
          <w:szCs w:val="24"/>
        </w:rPr>
        <w:t>Guaymí de Osa</w:t>
      </w:r>
      <w:r w:rsidR="0020115F" w:rsidRPr="00F038C8">
        <w:rPr>
          <w:rFonts w:ascii="Times New Roman" w:hAnsi="Times New Roman" w:cs="Times New Roman"/>
          <w:color w:val="000000" w:themeColor="text1"/>
          <w:sz w:val="24"/>
          <w:szCs w:val="24"/>
        </w:rPr>
        <w:t>, na qual se denuncia a omissão das autoridades administrativas em prestar colaboração necessária para reparar uma ponte arrasada pelas fortes chuvas naquela região</w:t>
      </w:r>
      <w:r w:rsidR="0037180D" w:rsidRPr="00F038C8">
        <w:rPr>
          <w:rFonts w:ascii="Times New Roman" w:hAnsi="Times New Roman" w:cs="Times New Roman"/>
          <w:color w:val="000000" w:themeColor="text1"/>
          <w:sz w:val="24"/>
          <w:szCs w:val="24"/>
        </w:rPr>
        <w:t xml:space="preserve"> (COURTIS, 2009)</w:t>
      </w:r>
      <w:r w:rsidR="0020115F" w:rsidRPr="00F038C8">
        <w:rPr>
          <w:rFonts w:ascii="Times New Roman" w:hAnsi="Times New Roman" w:cs="Times New Roman"/>
          <w:color w:val="000000" w:themeColor="text1"/>
          <w:sz w:val="24"/>
          <w:szCs w:val="24"/>
        </w:rPr>
        <w:t xml:space="preserve">. A população da Reserva Indígena de </w:t>
      </w:r>
      <w:r w:rsidR="0020115F" w:rsidRPr="00F038C8">
        <w:rPr>
          <w:rFonts w:ascii="Times New Roman" w:hAnsi="Times New Roman" w:cs="Times New Roman"/>
          <w:i/>
          <w:iCs/>
          <w:color w:val="000000" w:themeColor="text1"/>
          <w:sz w:val="24"/>
          <w:szCs w:val="24"/>
        </w:rPr>
        <w:t>Guaymí</w:t>
      </w:r>
      <w:r w:rsidR="0020115F" w:rsidRPr="00F038C8">
        <w:rPr>
          <w:rFonts w:ascii="Times New Roman" w:hAnsi="Times New Roman" w:cs="Times New Roman"/>
          <w:color w:val="000000" w:themeColor="text1"/>
          <w:sz w:val="24"/>
          <w:szCs w:val="24"/>
        </w:rPr>
        <w:t xml:space="preserve"> ficou incomunicável por vários dias e foi obrigada a cruzar o rio a nado ou a cavalo. </w:t>
      </w:r>
      <w:r w:rsidR="00BE2AED" w:rsidRPr="00F038C8">
        <w:rPr>
          <w:rFonts w:ascii="Times New Roman" w:hAnsi="Times New Roman" w:cs="Times New Roman"/>
          <w:color w:val="000000" w:themeColor="text1"/>
          <w:sz w:val="24"/>
          <w:szCs w:val="24"/>
        </w:rPr>
        <w:t>Segundo Courtis (2009), a</w:t>
      </w:r>
      <w:r w:rsidR="0020115F" w:rsidRPr="00F038C8">
        <w:rPr>
          <w:rFonts w:ascii="Times New Roman" w:hAnsi="Times New Roman" w:cs="Times New Roman"/>
          <w:color w:val="000000" w:themeColor="text1"/>
          <w:sz w:val="24"/>
          <w:szCs w:val="24"/>
        </w:rPr>
        <w:t>s autoridades não atenderam ao pedido, com a desculpa de que não foi prorrogado o posto de mestre de obras, que era necessário para realizar a reparação solicitada. A Associação alegava a violação, entre outras normas, do artigo 6 da Convenção 169 da OIT</w:t>
      </w:r>
      <w:r w:rsidR="008A7A6A" w:rsidRPr="00F038C8">
        <w:rPr>
          <w:rFonts w:ascii="Times New Roman" w:hAnsi="Times New Roman" w:cs="Times New Roman"/>
          <w:color w:val="000000" w:themeColor="text1"/>
          <w:sz w:val="24"/>
          <w:szCs w:val="24"/>
        </w:rPr>
        <w:t xml:space="preserve"> (COURTIS, 2009)</w:t>
      </w:r>
      <w:r w:rsidR="0020115F" w:rsidRPr="00F038C8">
        <w:rPr>
          <w:rFonts w:ascii="Times New Roman" w:hAnsi="Times New Roman" w:cs="Times New Roman"/>
          <w:color w:val="000000" w:themeColor="text1"/>
          <w:sz w:val="24"/>
          <w:szCs w:val="24"/>
        </w:rPr>
        <w:t>.</w:t>
      </w:r>
      <w:r w:rsidR="007D25BB" w:rsidRPr="00F038C8">
        <w:rPr>
          <w:rFonts w:ascii="Times New Roman" w:hAnsi="Times New Roman" w:cs="Times New Roman"/>
          <w:color w:val="000000" w:themeColor="text1"/>
          <w:sz w:val="24"/>
          <w:szCs w:val="24"/>
        </w:rPr>
        <w:t xml:space="preserve"> Na Guatemala, houve o respeito pelas decisões judiciais das comunidades indígenas em matéria de direito penal determinou a suspensão de casos do sistema jurídico estatal quando, sobre a mesma questão, já houver resolução por parte das autoridades comunitárias, por aplicação do princípio </w:t>
      </w:r>
      <w:r w:rsidR="007D25BB" w:rsidRPr="00F038C8">
        <w:rPr>
          <w:rFonts w:ascii="Times New Roman" w:hAnsi="Times New Roman" w:cs="Times New Roman"/>
          <w:i/>
          <w:iCs/>
          <w:color w:val="000000" w:themeColor="text1"/>
          <w:sz w:val="24"/>
          <w:szCs w:val="24"/>
        </w:rPr>
        <w:t>ne bis in idem (</w:t>
      </w:r>
      <w:r w:rsidR="007D25BB" w:rsidRPr="00F038C8">
        <w:rPr>
          <w:rFonts w:ascii="Times New Roman" w:hAnsi="Times New Roman" w:cs="Times New Roman"/>
          <w:color w:val="000000" w:themeColor="text1"/>
          <w:sz w:val="24"/>
          <w:szCs w:val="24"/>
        </w:rPr>
        <w:t>COURTIS, 2009). Na Bolívia, na Sentença</w:t>
      </w:r>
      <w:r w:rsidR="007D25BB" w:rsidRPr="00F038C8">
        <w:rPr>
          <w:rFonts w:ascii="Times New Roman" w:hAnsi="Times New Roman" w:cs="Times New Roman"/>
          <w:i/>
          <w:iCs/>
          <w:color w:val="000000" w:themeColor="text1"/>
          <w:sz w:val="24"/>
          <w:szCs w:val="24"/>
        </w:rPr>
        <w:t xml:space="preserve"> </w:t>
      </w:r>
      <w:r w:rsidR="007D25BB" w:rsidRPr="00F038C8">
        <w:rPr>
          <w:rFonts w:ascii="Times New Roman" w:hAnsi="Times New Roman" w:cs="Times New Roman"/>
          <w:color w:val="000000" w:themeColor="text1"/>
          <w:sz w:val="24"/>
          <w:szCs w:val="24"/>
        </w:rPr>
        <w:t>Constitucional 295/03, o tribunal teve que atender a um pedido de tutela constitucional interposta por um casal de uma comunidade indígena a quem a comunidade havia imposto – embora ainda não executado – a sanção de expulsão e a ameaça de corte do fornecimento de energia e de água</w:t>
      </w:r>
      <w:r w:rsidR="00207F29" w:rsidRPr="00F038C8">
        <w:rPr>
          <w:rFonts w:ascii="Times New Roman" w:hAnsi="Times New Roman" w:cs="Times New Roman"/>
          <w:color w:val="000000" w:themeColor="text1"/>
          <w:sz w:val="24"/>
          <w:szCs w:val="24"/>
        </w:rPr>
        <w:t xml:space="preserve"> (COURTIS, 2009)</w:t>
      </w:r>
      <w:r w:rsidR="007D25BB" w:rsidRPr="00F038C8">
        <w:rPr>
          <w:rFonts w:ascii="Times New Roman" w:hAnsi="Times New Roman" w:cs="Times New Roman"/>
          <w:color w:val="000000" w:themeColor="text1"/>
          <w:sz w:val="24"/>
          <w:szCs w:val="24"/>
        </w:rPr>
        <w:t xml:space="preserve">. Após uma audiência e uma perícia antropológica, o </w:t>
      </w:r>
      <w:r w:rsidR="007D25BB" w:rsidRPr="00F038C8">
        <w:rPr>
          <w:rFonts w:ascii="Times New Roman" w:hAnsi="Times New Roman" w:cs="Times New Roman"/>
          <w:color w:val="000000" w:themeColor="text1"/>
          <w:sz w:val="24"/>
          <w:szCs w:val="24"/>
        </w:rPr>
        <w:lastRenderedPageBreak/>
        <w:t xml:space="preserve">tribunal deu por acolhida as demandas da comunidade. </w:t>
      </w:r>
      <w:r w:rsidR="00533CDA" w:rsidRPr="00F038C8">
        <w:rPr>
          <w:rFonts w:ascii="Times New Roman" w:hAnsi="Times New Roman" w:cs="Times New Roman"/>
          <w:color w:val="000000" w:themeColor="text1"/>
          <w:sz w:val="24"/>
          <w:szCs w:val="24"/>
        </w:rPr>
        <w:t xml:space="preserve">Critica-se o fato de </w:t>
      </w:r>
      <w:r w:rsidR="00155B00" w:rsidRPr="00F038C8">
        <w:rPr>
          <w:rFonts w:ascii="Times New Roman" w:hAnsi="Times New Roman" w:cs="Times New Roman"/>
          <w:color w:val="000000" w:themeColor="text1"/>
          <w:sz w:val="24"/>
          <w:szCs w:val="24"/>
        </w:rPr>
        <w:t>Courtis</w:t>
      </w:r>
      <w:r w:rsidR="00207F29" w:rsidRPr="00F038C8">
        <w:rPr>
          <w:rFonts w:ascii="Times New Roman" w:hAnsi="Times New Roman" w:cs="Times New Roman"/>
          <w:color w:val="000000" w:themeColor="text1"/>
          <w:sz w:val="24"/>
          <w:szCs w:val="24"/>
        </w:rPr>
        <w:t xml:space="preserve"> (2009)</w:t>
      </w:r>
      <w:r w:rsidR="00155B00" w:rsidRPr="00F038C8">
        <w:rPr>
          <w:rFonts w:ascii="Times New Roman" w:hAnsi="Times New Roman" w:cs="Times New Roman"/>
          <w:color w:val="000000" w:themeColor="text1"/>
          <w:sz w:val="24"/>
          <w:szCs w:val="24"/>
        </w:rPr>
        <w:t xml:space="preserve"> não</w:t>
      </w:r>
      <w:r w:rsidR="00533CDA" w:rsidRPr="00F038C8">
        <w:rPr>
          <w:rFonts w:ascii="Times New Roman" w:hAnsi="Times New Roman" w:cs="Times New Roman"/>
          <w:color w:val="000000" w:themeColor="text1"/>
          <w:sz w:val="24"/>
          <w:szCs w:val="24"/>
        </w:rPr>
        <w:t xml:space="preserve"> ter feito</w:t>
      </w:r>
      <w:r w:rsidR="00155B00" w:rsidRPr="00F038C8">
        <w:rPr>
          <w:rFonts w:ascii="Times New Roman" w:hAnsi="Times New Roman" w:cs="Times New Roman"/>
          <w:color w:val="000000" w:themeColor="text1"/>
          <w:sz w:val="24"/>
          <w:szCs w:val="24"/>
        </w:rPr>
        <w:t xml:space="preserve"> menção a casos brasileiros emblemáticos. </w:t>
      </w:r>
      <w:r w:rsidR="005F18D2" w:rsidRPr="00F038C8">
        <w:rPr>
          <w:rFonts w:ascii="Times New Roman" w:hAnsi="Times New Roman" w:cs="Times New Roman"/>
          <w:color w:val="000000" w:themeColor="text1"/>
          <w:sz w:val="24"/>
          <w:szCs w:val="24"/>
        </w:rPr>
        <w:t>Assim</w:t>
      </w:r>
      <w:r w:rsidR="007D25BB" w:rsidRPr="00F038C8">
        <w:rPr>
          <w:rFonts w:ascii="Times New Roman" w:hAnsi="Times New Roman" w:cs="Times New Roman"/>
          <w:color w:val="000000" w:themeColor="text1"/>
          <w:sz w:val="24"/>
          <w:szCs w:val="24"/>
        </w:rPr>
        <w:t>,</w:t>
      </w:r>
      <w:r w:rsidR="005F18D2" w:rsidRPr="00F038C8">
        <w:rPr>
          <w:rFonts w:ascii="Times New Roman" w:hAnsi="Times New Roman" w:cs="Times New Roman"/>
          <w:color w:val="000000" w:themeColor="text1"/>
          <w:sz w:val="24"/>
          <w:szCs w:val="24"/>
        </w:rPr>
        <w:t xml:space="preserve"> no Brasil</w:t>
      </w:r>
      <w:r w:rsidR="00134C94" w:rsidRPr="00F038C8">
        <w:rPr>
          <w:rFonts w:ascii="Times New Roman" w:hAnsi="Times New Roman" w:cs="Times New Roman"/>
          <w:color w:val="000000" w:themeColor="text1"/>
          <w:sz w:val="24"/>
          <w:szCs w:val="24"/>
        </w:rPr>
        <w:t xml:space="preserve"> </w:t>
      </w:r>
      <w:r w:rsidR="00155B00" w:rsidRPr="00F038C8">
        <w:rPr>
          <w:rFonts w:ascii="Times New Roman" w:hAnsi="Times New Roman" w:cs="Times New Roman"/>
          <w:color w:val="000000" w:themeColor="text1"/>
          <w:sz w:val="24"/>
          <w:szCs w:val="24"/>
        </w:rPr>
        <w:t xml:space="preserve">valeria citar </w:t>
      </w:r>
      <w:r w:rsidR="005F18D2" w:rsidRPr="00F038C8">
        <w:rPr>
          <w:rFonts w:ascii="Times New Roman" w:hAnsi="Times New Roman" w:cs="Times New Roman"/>
          <w:color w:val="000000" w:themeColor="text1"/>
          <w:sz w:val="24"/>
          <w:szCs w:val="24"/>
        </w:rPr>
        <w:t>por exemplo</w:t>
      </w:r>
      <w:r w:rsidR="0061067B" w:rsidRPr="00F038C8">
        <w:rPr>
          <w:rFonts w:ascii="Times New Roman" w:hAnsi="Times New Roman" w:cs="Times New Roman"/>
          <w:color w:val="000000" w:themeColor="text1"/>
          <w:sz w:val="24"/>
          <w:szCs w:val="24"/>
        </w:rPr>
        <w:t xml:space="preserve">: a) </w:t>
      </w:r>
      <w:r w:rsidR="00155B00" w:rsidRPr="00F038C8">
        <w:rPr>
          <w:rFonts w:ascii="Times New Roman" w:hAnsi="Times New Roman" w:cs="Times New Roman"/>
          <w:color w:val="000000" w:themeColor="text1"/>
          <w:sz w:val="24"/>
          <w:szCs w:val="24"/>
        </w:rPr>
        <w:t>o caso do PET 3388</w:t>
      </w:r>
      <w:r w:rsidR="0047659C" w:rsidRPr="00F038C8">
        <w:rPr>
          <w:rFonts w:ascii="Times New Roman" w:hAnsi="Times New Roman" w:cs="Times New Roman"/>
          <w:color w:val="000000" w:themeColor="text1"/>
          <w:sz w:val="24"/>
          <w:szCs w:val="24"/>
        </w:rPr>
        <w:t>, no qual o Supremo Tribunal Federal considerou válidos a portaria e o decreto presidencial que homologaram a demarcação da reserva indígena Raposa Serra do Sol, em Roraima (BRASIL, 2013)</w:t>
      </w:r>
      <w:r w:rsidR="0061067B" w:rsidRPr="00F038C8">
        <w:rPr>
          <w:rFonts w:ascii="Times New Roman" w:hAnsi="Times New Roman" w:cs="Times New Roman"/>
          <w:color w:val="000000" w:themeColor="text1"/>
          <w:sz w:val="24"/>
          <w:szCs w:val="24"/>
        </w:rPr>
        <w:t>; b) O</w:t>
      </w:r>
      <w:r w:rsidR="007D25BB" w:rsidRPr="00F038C8">
        <w:rPr>
          <w:rFonts w:ascii="Times New Roman" w:hAnsi="Times New Roman" w:cs="Times New Roman"/>
          <w:color w:val="000000" w:themeColor="text1"/>
          <w:sz w:val="24"/>
          <w:szCs w:val="24"/>
        </w:rPr>
        <w:t xml:space="preserve"> primeiro julgamento em sede de Tribunal do Júri composto inteiramente por membros de uma comunidade indígena a etnia Macuxi, no interior da </w:t>
      </w:r>
      <w:r w:rsidR="0047659C" w:rsidRPr="00F038C8">
        <w:rPr>
          <w:rFonts w:ascii="Times New Roman" w:hAnsi="Times New Roman" w:cs="Times New Roman"/>
          <w:color w:val="000000" w:themeColor="text1"/>
          <w:sz w:val="24"/>
          <w:szCs w:val="24"/>
        </w:rPr>
        <w:t>supracitada reserva</w:t>
      </w:r>
      <w:r w:rsidR="0061067B" w:rsidRPr="00F038C8">
        <w:rPr>
          <w:rFonts w:ascii="Times New Roman" w:hAnsi="Times New Roman" w:cs="Times New Roman"/>
          <w:color w:val="000000" w:themeColor="text1"/>
          <w:sz w:val="24"/>
          <w:szCs w:val="24"/>
        </w:rPr>
        <w:t xml:space="preserve"> (COSTA, 2015); c) Caso das Comunidades Indígenas da Bacia do Rio Xingu vs. Brasil (</w:t>
      </w:r>
      <w:r w:rsidR="004028AA" w:rsidRPr="00F038C8">
        <w:rPr>
          <w:rFonts w:ascii="Times New Roman" w:hAnsi="Times New Roman" w:cs="Times New Roman"/>
          <w:color w:val="000000" w:themeColor="text1"/>
          <w:sz w:val="24"/>
          <w:szCs w:val="24"/>
        </w:rPr>
        <w:t>PAIVA</w:t>
      </w:r>
      <w:r w:rsidR="006962D2" w:rsidRPr="00F038C8">
        <w:rPr>
          <w:rFonts w:ascii="Times New Roman" w:hAnsi="Times New Roman" w:cs="Times New Roman"/>
          <w:color w:val="000000" w:themeColor="text1"/>
          <w:sz w:val="24"/>
          <w:szCs w:val="24"/>
        </w:rPr>
        <w:t xml:space="preserve"> E HEEMANN</w:t>
      </w:r>
      <w:r w:rsidR="0061067B" w:rsidRPr="00F038C8">
        <w:rPr>
          <w:rFonts w:ascii="Times New Roman" w:hAnsi="Times New Roman" w:cs="Times New Roman"/>
          <w:color w:val="000000" w:themeColor="text1"/>
          <w:sz w:val="24"/>
          <w:szCs w:val="24"/>
        </w:rPr>
        <w:t>, 201</w:t>
      </w:r>
      <w:r w:rsidR="004028AA" w:rsidRPr="00F038C8">
        <w:rPr>
          <w:rFonts w:ascii="Times New Roman" w:hAnsi="Times New Roman" w:cs="Times New Roman"/>
          <w:color w:val="000000" w:themeColor="text1"/>
          <w:sz w:val="24"/>
          <w:szCs w:val="24"/>
        </w:rPr>
        <w:t>5</w:t>
      </w:r>
      <w:r w:rsidR="0061067B" w:rsidRPr="00F038C8">
        <w:rPr>
          <w:rFonts w:ascii="Times New Roman" w:hAnsi="Times New Roman" w:cs="Times New Roman"/>
          <w:color w:val="000000" w:themeColor="text1"/>
          <w:sz w:val="24"/>
          <w:szCs w:val="24"/>
        </w:rPr>
        <w:t xml:space="preserve">), dentre outros. </w:t>
      </w:r>
      <w:r w:rsidR="005442BB" w:rsidRPr="00F038C8">
        <w:rPr>
          <w:rFonts w:ascii="Times New Roman" w:hAnsi="Times New Roman" w:cs="Times New Roman"/>
          <w:color w:val="000000" w:themeColor="text1"/>
          <w:sz w:val="24"/>
          <w:szCs w:val="24"/>
        </w:rPr>
        <w:t>Se conclui que entre entraves e progressos na América Latina, a Convenção n. 169 da OIT é</w:t>
      </w:r>
      <w:r w:rsidR="005442BB" w:rsidRPr="00F038C8">
        <w:rPr>
          <w:rFonts w:ascii="Times New Roman" w:hAnsi="Times New Roman" w:cs="Times New Roman"/>
          <w:sz w:val="24"/>
          <w:szCs w:val="24"/>
        </w:rPr>
        <w:t xml:space="preserve">“[...] modelo inspirador de reformas constitucionais e legais em matéria indígena na região” (COURTIS, 2009, p. 56), porém, ainda há muito o que evoluir, tratando-se de um processo lento, complexo e longe de ser </w:t>
      </w:r>
      <w:r w:rsidR="00021F1D" w:rsidRPr="00F038C8">
        <w:rPr>
          <w:rFonts w:ascii="Times New Roman" w:hAnsi="Times New Roman" w:cs="Times New Roman"/>
          <w:sz w:val="24"/>
          <w:szCs w:val="24"/>
        </w:rPr>
        <w:t>finalizado</w:t>
      </w:r>
      <w:r w:rsidR="005442BB" w:rsidRPr="00F038C8">
        <w:rPr>
          <w:rFonts w:ascii="Times New Roman" w:hAnsi="Times New Roman" w:cs="Times New Roman"/>
          <w:sz w:val="24"/>
          <w:szCs w:val="24"/>
        </w:rPr>
        <w:t>.</w:t>
      </w:r>
    </w:p>
    <w:p w14:paraId="1EA8549C" w14:textId="77777777" w:rsidR="005E2E42" w:rsidRPr="00F038C8" w:rsidRDefault="005E2E42" w:rsidP="00CE28E8">
      <w:pPr>
        <w:autoSpaceDE w:val="0"/>
        <w:autoSpaceDN w:val="0"/>
        <w:adjustRightInd w:val="0"/>
        <w:spacing w:after="0" w:line="360" w:lineRule="auto"/>
        <w:jc w:val="both"/>
        <w:rPr>
          <w:rFonts w:ascii="Times New Roman" w:hAnsi="Times New Roman" w:cs="Times New Roman"/>
          <w:color w:val="000000" w:themeColor="text1"/>
          <w:spacing w:val="-5"/>
          <w:sz w:val="24"/>
          <w:szCs w:val="24"/>
          <w:shd w:val="clear" w:color="auto" w:fill="FFFFFF"/>
        </w:rPr>
      </w:pPr>
    </w:p>
    <w:p w14:paraId="44098B8B" w14:textId="24C91052" w:rsidR="00CE28E8" w:rsidRPr="00F038C8" w:rsidRDefault="00CE28E8" w:rsidP="00CE28E8">
      <w:pPr>
        <w:pStyle w:val="Corpo"/>
        <w:spacing w:after="0" w:line="360" w:lineRule="auto"/>
        <w:jc w:val="both"/>
        <w:outlineLvl w:val="0"/>
        <w:rPr>
          <w:rFonts w:hAnsi="Times New Roman" w:cs="Times New Roman"/>
          <w:color w:val="000000" w:themeColor="text1"/>
          <w:sz w:val="24"/>
          <w:szCs w:val="24"/>
          <w:lang w:val="pt-BR"/>
        </w:rPr>
      </w:pPr>
      <w:r w:rsidRPr="00F038C8">
        <w:rPr>
          <w:rFonts w:hAnsi="Times New Roman" w:cs="Times New Roman"/>
          <w:b/>
          <w:bCs/>
          <w:color w:val="000000" w:themeColor="text1"/>
          <w:sz w:val="24"/>
          <w:szCs w:val="24"/>
          <w:lang w:val="pt-BR"/>
        </w:rPr>
        <w:t xml:space="preserve">Palavras-Chave: </w:t>
      </w:r>
      <w:r w:rsidR="00860AE5" w:rsidRPr="00F038C8">
        <w:rPr>
          <w:rFonts w:hAnsi="Times New Roman" w:cs="Times New Roman"/>
          <w:color w:val="000000" w:themeColor="text1"/>
          <w:sz w:val="24"/>
          <w:szCs w:val="24"/>
          <w:lang w:val="pt-BR"/>
        </w:rPr>
        <w:t>Convenção n. 169 da OIT</w:t>
      </w:r>
      <w:r w:rsidR="00794FB9">
        <w:rPr>
          <w:rFonts w:hAnsi="Times New Roman" w:cs="Times New Roman"/>
          <w:color w:val="000000" w:themeColor="text1"/>
          <w:sz w:val="24"/>
          <w:szCs w:val="24"/>
          <w:lang w:val="pt-BR"/>
        </w:rPr>
        <w:t>,</w:t>
      </w:r>
      <w:r w:rsidRPr="00F038C8">
        <w:rPr>
          <w:rFonts w:hAnsi="Times New Roman" w:cs="Times New Roman"/>
          <w:color w:val="000000" w:themeColor="text1"/>
          <w:sz w:val="24"/>
          <w:szCs w:val="24"/>
          <w:lang w:val="pt-BR"/>
        </w:rPr>
        <w:t xml:space="preserve"> </w:t>
      </w:r>
      <w:r w:rsidR="00860AE5" w:rsidRPr="00F038C8">
        <w:rPr>
          <w:rFonts w:hAnsi="Times New Roman" w:cs="Times New Roman"/>
          <w:color w:val="000000" w:themeColor="text1"/>
          <w:sz w:val="24"/>
          <w:szCs w:val="24"/>
          <w:lang w:val="pt-BR"/>
        </w:rPr>
        <w:t>Tribunais na América Latina</w:t>
      </w:r>
      <w:r w:rsidR="00794FB9">
        <w:rPr>
          <w:rFonts w:hAnsi="Times New Roman" w:cs="Times New Roman"/>
          <w:color w:val="000000" w:themeColor="text1"/>
          <w:sz w:val="24"/>
          <w:szCs w:val="24"/>
          <w:lang w:val="pt-BR"/>
        </w:rPr>
        <w:t>,</w:t>
      </w:r>
      <w:r w:rsidRPr="00F038C8">
        <w:rPr>
          <w:rFonts w:hAnsi="Times New Roman" w:cs="Times New Roman"/>
          <w:color w:val="000000" w:themeColor="text1"/>
          <w:sz w:val="24"/>
          <w:szCs w:val="24"/>
          <w:lang w:val="pt-BR"/>
        </w:rPr>
        <w:t xml:space="preserve"> </w:t>
      </w:r>
      <w:r w:rsidR="00860AE5" w:rsidRPr="00F038C8">
        <w:rPr>
          <w:rFonts w:hAnsi="Times New Roman" w:cs="Times New Roman"/>
          <w:color w:val="000000" w:themeColor="text1"/>
          <w:sz w:val="24"/>
          <w:szCs w:val="24"/>
          <w:lang w:val="pt-BR"/>
        </w:rPr>
        <w:t>Comunidades Indígenas.</w:t>
      </w:r>
    </w:p>
    <w:p w14:paraId="3D3B197B" w14:textId="77777777" w:rsidR="00CE28E8" w:rsidRPr="00F038C8" w:rsidRDefault="00CE28E8" w:rsidP="00CE28E8">
      <w:pPr>
        <w:pStyle w:val="Corpo"/>
        <w:spacing w:after="0" w:line="360" w:lineRule="auto"/>
        <w:jc w:val="both"/>
        <w:outlineLvl w:val="0"/>
        <w:rPr>
          <w:rFonts w:hAnsi="Times New Roman" w:cs="Times New Roman"/>
          <w:color w:val="000000" w:themeColor="text1"/>
          <w:sz w:val="24"/>
          <w:szCs w:val="24"/>
          <w:lang w:val="pt-BR"/>
        </w:rPr>
      </w:pPr>
    </w:p>
    <w:p w14:paraId="1F4D5030" w14:textId="77777777" w:rsidR="00CE28E8" w:rsidRPr="00F038C8" w:rsidRDefault="00CE28E8" w:rsidP="00CE28E8">
      <w:pPr>
        <w:pStyle w:val="Corpo"/>
        <w:spacing w:after="0" w:line="360" w:lineRule="auto"/>
        <w:jc w:val="both"/>
        <w:outlineLvl w:val="0"/>
        <w:rPr>
          <w:rFonts w:hAnsi="Times New Roman" w:cs="Times New Roman"/>
          <w:b/>
          <w:bCs/>
          <w:color w:val="000000" w:themeColor="text1"/>
          <w:sz w:val="24"/>
          <w:szCs w:val="24"/>
          <w:lang w:val="pt-BR"/>
        </w:rPr>
      </w:pPr>
      <w:r w:rsidRPr="00F038C8">
        <w:rPr>
          <w:rFonts w:hAnsi="Times New Roman" w:cs="Times New Roman"/>
          <w:b/>
          <w:bCs/>
          <w:color w:val="000000" w:themeColor="text1"/>
          <w:sz w:val="24"/>
          <w:szCs w:val="24"/>
          <w:lang w:val="pt-BR"/>
        </w:rPr>
        <w:t>Referências</w:t>
      </w:r>
    </w:p>
    <w:p w14:paraId="7F22CA93" w14:textId="77777777" w:rsidR="00C77E59" w:rsidRPr="00F038C8" w:rsidRDefault="00C77E59" w:rsidP="00CE28E8">
      <w:pPr>
        <w:spacing w:after="120" w:line="360" w:lineRule="auto"/>
        <w:jc w:val="both"/>
        <w:rPr>
          <w:rFonts w:ascii="Times New Roman" w:eastAsia="Times New Roman" w:hAnsi="Times New Roman" w:cs="Times New Roman"/>
          <w:bCs/>
          <w:iCs/>
          <w:color w:val="222222"/>
          <w:sz w:val="24"/>
          <w:szCs w:val="24"/>
        </w:rPr>
      </w:pPr>
      <w:r w:rsidRPr="00F038C8">
        <w:rPr>
          <w:rFonts w:ascii="Times New Roman" w:eastAsia="Times New Roman" w:hAnsi="Times New Roman" w:cs="Times New Roman"/>
          <w:bCs/>
          <w:iCs/>
          <w:color w:val="222222"/>
          <w:sz w:val="24"/>
          <w:szCs w:val="24"/>
        </w:rPr>
        <w:t xml:space="preserve">BELTRÃO, Jane Felipe; LIBARDI DE SOUZA, Estella; MASTOP-LIMA, Luiza de Nazaré; FERNANDES, Rosani de Fatima. “Povos indígenas, narrativas e possibilidades de diálogo frente ao ‘humanismo’ etnocêntrico” </w:t>
      </w:r>
      <w:r w:rsidRPr="00F038C8">
        <w:rPr>
          <w:rFonts w:ascii="Times New Roman" w:eastAsia="Times New Roman" w:hAnsi="Times New Roman" w:cs="Times New Roman"/>
          <w:bCs/>
          <w:i/>
          <w:iCs/>
          <w:color w:val="222222"/>
          <w:sz w:val="24"/>
          <w:szCs w:val="24"/>
        </w:rPr>
        <w:t xml:space="preserve">In </w:t>
      </w:r>
      <w:r w:rsidRPr="00F038C8">
        <w:rPr>
          <w:rFonts w:ascii="Times New Roman" w:eastAsia="Times New Roman" w:hAnsi="Times New Roman" w:cs="Times New Roman"/>
          <w:sz w:val="24"/>
          <w:szCs w:val="24"/>
        </w:rPr>
        <w:t>CANCELA, Cristina Donza; MOUTINHO, Laura; SIMÕES, Júlio (Orgs.).</w:t>
      </w:r>
      <w:r w:rsidRPr="00F038C8">
        <w:rPr>
          <w:rFonts w:ascii="Times New Roman" w:eastAsia="Times New Roman" w:hAnsi="Times New Roman" w:cs="Times New Roman"/>
          <w:i/>
          <w:sz w:val="24"/>
          <w:szCs w:val="24"/>
        </w:rPr>
        <w:t xml:space="preserve"> Raça, etnicidade, sexualidade e gênero em perspectiva comparada</w:t>
      </w:r>
      <w:r w:rsidRPr="00F038C8">
        <w:rPr>
          <w:rFonts w:ascii="Times New Roman" w:eastAsia="Times New Roman" w:hAnsi="Times New Roman" w:cs="Times New Roman"/>
          <w:sz w:val="24"/>
          <w:szCs w:val="24"/>
        </w:rPr>
        <w:t xml:space="preserve">. São Paulo, Terceiro Nome, 2014. </w:t>
      </w:r>
    </w:p>
    <w:p w14:paraId="74C26B8D" w14:textId="77777777" w:rsidR="00C77E59" w:rsidRPr="00F038C8" w:rsidRDefault="00C77E59" w:rsidP="00CE28E8">
      <w:pPr>
        <w:spacing w:after="120" w:line="360" w:lineRule="auto"/>
        <w:jc w:val="both"/>
        <w:rPr>
          <w:rFonts w:ascii="Times New Roman" w:hAnsi="Times New Roman" w:cs="Times New Roman"/>
          <w:sz w:val="24"/>
          <w:szCs w:val="24"/>
        </w:rPr>
      </w:pPr>
      <w:r w:rsidRPr="00F038C8">
        <w:rPr>
          <w:rFonts w:ascii="Times New Roman" w:hAnsi="Times New Roman" w:cs="Times New Roman"/>
          <w:sz w:val="24"/>
          <w:szCs w:val="24"/>
        </w:rPr>
        <w:t xml:space="preserve">BUOB CONCHA, Luis Carlos. “Direito à água: entendendo seus componentes econômico, social e cultural como fatores de desenvolvimento para os povos indígenas”. </w:t>
      </w:r>
      <w:r w:rsidRPr="00F038C8">
        <w:rPr>
          <w:rFonts w:ascii="Times New Roman" w:hAnsi="Times New Roman" w:cs="Times New Roman"/>
          <w:i/>
          <w:sz w:val="24"/>
          <w:szCs w:val="24"/>
        </w:rPr>
        <w:t>SUR. Revista Internacional de Direitos Humanos</w:t>
      </w:r>
      <w:r w:rsidRPr="00F038C8">
        <w:rPr>
          <w:rFonts w:ascii="Times New Roman" w:hAnsi="Times New Roman" w:cs="Times New Roman"/>
          <w:sz w:val="24"/>
          <w:szCs w:val="24"/>
        </w:rPr>
        <w:t xml:space="preserve">, n. 17, dez. 2012, p. 41-61. Disponível em: </w:t>
      </w:r>
      <w:hyperlink r:id="rId7" w:history="1">
        <w:r w:rsidRPr="00F038C8">
          <w:rPr>
            <w:rStyle w:val="Hyperlink"/>
            <w:rFonts w:ascii="Times New Roman" w:eastAsia="Times New Roman" w:hAnsi="Times New Roman" w:cs="Times New Roman"/>
            <w:sz w:val="24"/>
            <w:szCs w:val="24"/>
          </w:rPr>
          <w:t>www.scielo.br/</w:t>
        </w:r>
        <w:r w:rsidRPr="00F038C8">
          <w:rPr>
            <w:rStyle w:val="Hyperlink"/>
            <w:rFonts w:ascii="Times New Roman" w:eastAsia="Times New Roman" w:hAnsi="Times New Roman" w:cs="Times New Roman"/>
            <w:b/>
            <w:bCs/>
            <w:sz w:val="24"/>
            <w:szCs w:val="24"/>
          </w:rPr>
          <w:t>sur</w:t>
        </w:r>
      </w:hyperlink>
      <w:r w:rsidRPr="00F038C8">
        <w:rPr>
          <w:rStyle w:val="HTMLCite"/>
          <w:rFonts w:ascii="Times New Roman" w:eastAsia="Times New Roman" w:hAnsi="Times New Roman" w:cs="Times New Roman"/>
          <w:b/>
          <w:bCs/>
          <w:sz w:val="24"/>
          <w:szCs w:val="24"/>
        </w:rPr>
        <w:t>.</w:t>
      </w:r>
    </w:p>
    <w:p w14:paraId="5C600E82" w14:textId="15881EAD" w:rsidR="00155B00" w:rsidRPr="00F038C8" w:rsidRDefault="00155B00" w:rsidP="00CE28E8">
      <w:pPr>
        <w:spacing w:after="120" w:line="360" w:lineRule="auto"/>
        <w:jc w:val="both"/>
        <w:rPr>
          <w:rFonts w:ascii="Times New Roman" w:hAnsi="Times New Roman" w:cs="Times New Roman"/>
          <w:sz w:val="24"/>
          <w:szCs w:val="24"/>
        </w:rPr>
      </w:pPr>
      <w:r w:rsidRPr="00F038C8">
        <w:rPr>
          <w:rFonts w:ascii="Times New Roman" w:hAnsi="Times New Roman" w:cs="Times New Roman"/>
          <w:sz w:val="24"/>
          <w:szCs w:val="24"/>
        </w:rPr>
        <w:t xml:space="preserve">COSTA, </w:t>
      </w:r>
      <w:proofErr w:type="spellStart"/>
      <w:r w:rsidRPr="00F038C8">
        <w:rPr>
          <w:rFonts w:ascii="Times New Roman" w:hAnsi="Times New Roman" w:cs="Times New Roman"/>
          <w:sz w:val="24"/>
          <w:szCs w:val="24"/>
        </w:rPr>
        <w:t>Emilly</w:t>
      </w:r>
      <w:proofErr w:type="spellEnd"/>
      <w:r w:rsidRPr="00F038C8">
        <w:rPr>
          <w:rFonts w:ascii="Times New Roman" w:hAnsi="Times New Roman" w:cs="Times New Roman"/>
          <w:sz w:val="24"/>
          <w:szCs w:val="24"/>
        </w:rPr>
        <w:t xml:space="preserve">. Júri indígena em Roraima absolve réu de tentativa de homicídio. 2015. Disponível em: </w:t>
      </w:r>
    </w:p>
    <w:p w14:paraId="52883D1D" w14:textId="4F25133E" w:rsidR="00134C94" w:rsidRPr="00F038C8" w:rsidRDefault="00134C94" w:rsidP="00CE28E8">
      <w:pPr>
        <w:spacing w:after="120" w:line="360" w:lineRule="auto"/>
        <w:jc w:val="both"/>
        <w:rPr>
          <w:rFonts w:ascii="Times New Roman" w:hAnsi="Times New Roman" w:cs="Times New Roman"/>
          <w:sz w:val="24"/>
          <w:szCs w:val="24"/>
        </w:rPr>
      </w:pPr>
      <w:r w:rsidRPr="00F038C8">
        <w:rPr>
          <w:rFonts w:ascii="Times New Roman" w:hAnsi="Times New Roman" w:cs="Times New Roman"/>
          <w:sz w:val="24"/>
          <w:szCs w:val="24"/>
        </w:rPr>
        <w:t xml:space="preserve">COURTIS, Christian. “Anotações sobre a aplicação da Convenção 169 da OIT sobre povos indígenas por tribunais da América Latina”. </w:t>
      </w:r>
      <w:r w:rsidRPr="00F038C8">
        <w:rPr>
          <w:rFonts w:ascii="Times New Roman" w:hAnsi="Times New Roman" w:cs="Times New Roman"/>
          <w:i/>
          <w:sz w:val="24"/>
          <w:szCs w:val="24"/>
        </w:rPr>
        <w:t>SUR. Revista Internacional de Direitos Humanos</w:t>
      </w:r>
      <w:r w:rsidRPr="00F038C8">
        <w:rPr>
          <w:rFonts w:ascii="Times New Roman" w:hAnsi="Times New Roman" w:cs="Times New Roman"/>
          <w:sz w:val="24"/>
          <w:szCs w:val="24"/>
        </w:rPr>
        <w:t xml:space="preserve">, n. 10, jun. 2009, p. 53-81. Disponível em: </w:t>
      </w:r>
      <w:hyperlink r:id="rId8" w:history="1">
        <w:r w:rsidRPr="00F038C8">
          <w:rPr>
            <w:rStyle w:val="Hyperlink"/>
            <w:rFonts w:ascii="Times New Roman" w:eastAsia="Times New Roman" w:hAnsi="Times New Roman" w:cs="Times New Roman"/>
            <w:sz w:val="24"/>
            <w:szCs w:val="24"/>
          </w:rPr>
          <w:t>www.scielo.br/</w:t>
        </w:r>
        <w:r w:rsidRPr="00F038C8">
          <w:rPr>
            <w:rStyle w:val="Hyperlink"/>
            <w:rFonts w:ascii="Times New Roman" w:eastAsia="Times New Roman" w:hAnsi="Times New Roman" w:cs="Times New Roman"/>
            <w:b/>
            <w:bCs/>
            <w:sz w:val="24"/>
            <w:szCs w:val="24"/>
          </w:rPr>
          <w:t>sur</w:t>
        </w:r>
      </w:hyperlink>
      <w:r w:rsidRPr="00F038C8">
        <w:rPr>
          <w:rStyle w:val="HTMLCite"/>
          <w:rFonts w:ascii="Times New Roman" w:eastAsia="Times New Roman" w:hAnsi="Times New Roman" w:cs="Times New Roman"/>
          <w:b/>
          <w:bCs/>
          <w:sz w:val="24"/>
          <w:szCs w:val="24"/>
        </w:rPr>
        <w:t>.</w:t>
      </w:r>
    </w:p>
    <w:p w14:paraId="402CBED9" w14:textId="20E0BABA" w:rsidR="00134C94" w:rsidRPr="00F038C8" w:rsidRDefault="00134C94" w:rsidP="00CE28E8">
      <w:pPr>
        <w:spacing w:after="120" w:line="360" w:lineRule="auto"/>
        <w:jc w:val="both"/>
        <w:rPr>
          <w:rFonts w:ascii="Times New Roman" w:hAnsi="Times New Roman" w:cs="Times New Roman"/>
          <w:bCs/>
          <w:sz w:val="24"/>
          <w:szCs w:val="24"/>
          <w:lang w:val="en-US"/>
        </w:rPr>
      </w:pPr>
      <w:r w:rsidRPr="00F038C8">
        <w:rPr>
          <w:rFonts w:ascii="Times New Roman" w:hAnsi="Times New Roman" w:cs="Times New Roman"/>
          <w:bCs/>
          <w:sz w:val="24"/>
          <w:szCs w:val="24"/>
          <w:lang w:val="es-ES"/>
        </w:rPr>
        <w:t xml:space="preserve">CRUZ, Rodrigo de la. </w:t>
      </w:r>
      <w:r w:rsidRPr="00F038C8">
        <w:rPr>
          <w:rFonts w:ascii="Times New Roman" w:hAnsi="Times New Roman" w:cs="Times New Roman"/>
          <w:bCs/>
          <w:i/>
          <w:sz w:val="24"/>
          <w:szCs w:val="24"/>
          <w:lang w:val="es-ES"/>
        </w:rPr>
        <w:t xml:space="preserve">Descripción de la comprensión corriente del consentimiento libre, previo e informado de los pueblos indígenas como un asunto metodológico, en las actividades </w:t>
      </w:r>
      <w:r w:rsidRPr="00F038C8">
        <w:rPr>
          <w:rFonts w:ascii="Times New Roman" w:hAnsi="Times New Roman" w:cs="Times New Roman"/>
          <w:bCs/>
          <w:i/>
          <w:sz w:val="24"/>
          <w:szCs w:val="24"/>
          <w:lang w:val="es-ES"/>
        </w:rPr>
        <w:lastRenderedPageBreak/>
        <w:t>relacionadas con pueblos indígenas: significado y desafíos</w:t>
      </w:r>
      <w:r w:rsidRPr="00F038C8">
        <w:rPr>
          <w:rFonts w:ascii="Times New Roman" w:hAnsi="Times New Roman" w:cs="Times New Roman"/>
          <w:bCs/>
          <w:sz w:val="24"/>
          <w:szCs w:val="24"/>
          <w:lang w:val="es-ES"/>
        </w:rPr>
        <w:t xml:space="preserve">. </w:t>
      </w:r>
      <w:r w:rsidRPr="00F038C8">
        <w:rPr>
          <w:rFonts w:ascii="Times New Roman" w:hAnsi="Times New Roman" w:cs="Times New Roman"/>
          <w:bCs/>
          <w:sz w:val="24"/>
          <w:szCs w:val="24"/>
          <w:lang w:val="en-US"/>
        </w:rPr>
        <w:t xml:space="preserve">United Nations, Departament of Economic and Social Affairs, </w:t>
      </w:r>
      <w:r w:rsidRPr="00F038C8">
        <w:rPr>
          <w:rFonts w:ascii="Times New Roman" w:hAnsi="Times New Roman" w:cs="Times New Roman"/>
          <w:bCs/>
          <w:i/>
          <w:sz w:val="24"/>
          <w:szCs w:val="24"/>
          <w:lang w:val="en-US"/>
        </w:rPr>
        <w:t>mimeo</w:t>
      </w:r>
      <w:r w:rsidRPr="00F038C8">
        <w:rPr>
          <w:rFonts w:ascii="Times New Roman" w:hAnsi="Times New Roman" w:cs="Times New Roman"/>
          <w:bCs/>
          <w:sz w:val="24"/>
          <w:szCs w:val="24"/>
          <w:lang w:val="en-US"/>
        </w:rPr>
        <w:t>, 2005.</w:t>
      </w:r>
    </w:p>
    <w:p w14:paraId="3F3EEA00" w14:textId="2B59B983" w:rsidR="00C77E59" w:rsidRPr="00F038C8" w:rsidRDefault="00C77E59" w:rsidP="00CE28E8">
      <w:pPr>
        <w:tabs>
          <w:tab w:val="left" w:pos="1560"/>
        </w:tabs>
        <w:spacing w:line="360" w:lineRule="auto"/>
        <w:jc w:val="both"/>
        <w:rPr>
          <w:rFonts w:ascii="Times New Roman" w:hAnsi="Times New Roman" w:cs="Times New Roman"/>
          <w:iCs/>
          <w:sz w:val="24"/>
          <w:szCs w:val="24"/>
        </w:rPr>
      </w:pPr>
      <w:r w:rsidRPr="00F038C8">
        <w:rPr>
          <w:rFonts w:ascii="Times New Roman" w:hAnsi="Times New Roman" w:cs="Times New Roman"/>
          <w:iCs/>
          <w:sz w:val="24"/>
          <w:szCs w:val="24"/>
          <w:lang w:val="en-US"/>
        </w:rPr>
        <w:t xml:space="preserve">GARCIA SERRANO, Fernando. </w:t>
      </w:r>
      <w:r w:rsidRPr="00F038C8">
        <w:rPr>
          <w:rFonts w:ascii="Times New Roman" w:hAnsi="Times New Roman" w:cs="Times New Roman"/>
          <w:iCs/>
          <w:sz w:val="24"/>
          <w:szCs w:val="24"/>
          <w:lang w:val="es-ES"/>
        </w:rPr>
        <w:t xml:space="preserve">“La participación política del </w:t>
      </w:r>
      <w:proofErr w:type="spellStart"/>
      <w:r w:rsidRPr="00F038C8">
        <w:rPr>
          <w:rFonts w:ascii="Times New Roman" w:hAnsi="Times New Roman" w:cs="Times New Roman"/>
          <w:iCs/>
          <w:sz w:val="24"/>
          <w:szCs w:val="24"/>
          <w:lang w:val="es-ES"/>
        </w:rPr>
        <w:t>movimento</w:t>
      </w:r>
      <w:proofErr w:type="spellEnd"/>
      <w:r w:rsidRPr="00F038C8">
        <w:rPr>
          <w:rFonts w:ascii="Times New Roman" w:hAnsi="Times New Roman" w:cs="Times New Roman"/>
          <w:iCs/>
          <w:sz w:val="24"/>
          <w:szCs w:val="24"/>
          <w:lang w:val="es-ES"/>
        </w:rPr>
        <w:t xml:space="preserve"> indígena ecuatoriano; balance crítico (1990-2007)”</w:t>
      </w:r>
      <w:r w:rsidRPr="00F038C8">
        <w:rPr>
          <w:rFonts w:ascii="Times New Roman" w:hAnsi="Times New Roman" w:cs="Times New Roman"/>
          <w:i/>
          <w:iCs/>
          <w:sz w:val="24"/>
          <w:szCs w:val="24"/>
          <w:lang w:val="es-ES"/>
        </w:rPr>
        <w:t xml:space="preserve"> In </w:t>
      </w:r>
      <w:r w:rsidRPr="00F038C8">
        <w:rPr>
          <w:rFonts w:ascii="Times New Roman" w:hAnsi="Times New Roman" w:cs="Times New Roman"/>
          <w:iCs/>
          <w:sz w:val="24"/>
          <w:szCs w:val="24"/>
          <w:lang w:val="es-ES"/>
        </w:rPr>
        <w:t xml:space="preserve">CHENAUT, Victoria; GÓMEZ, Magdalena; ORTIZ, Héctor; SIERRA, María Teresa (Coords.). </w:t>
      </w:r>
      <w:r w:rsidRPr="00F038C8">
        <w:rPr>
          <w:rFonts w:ascii="Times New Roman" w:hAnsi="Times New Roman" w:cs="Times New Roman"/>
          <w:i/>
          <w:iCs/>
          <w:sz w:val="24"/>
          <w:szCs w:val="24"/>
          <w:lang w:val="es-ES"/>
        </w:rPr>
        <w:t xml:space="preserve">Justicia y Diversidad en América Latina. Pueblos indígenas ante la globalización. </w:t>
      </w:r>
      <w:r w:rsidRPr="00F038C8">
        <w:rPr>
          <w:rFonts w:ascii="Times New Roman" w:hAnsi="Times New Roman" w:cs="Times New Roman"/>
          <w:iCs/>
          <w:sz w:val="24"/>
          <w:szCs w:val="24"/>
        </w:rPr>
        <w:t>México/Ecuador, Ciesas/Flacso, La Casa Chata, 2011, p. 219-235.</w:t>
      </w:r>
    </w:p>
    <w:p w14:paraId="2C2EB11B" w14:textId="5231A89E" w:rsidR="006C062A" w:rsidRPr="00F038C8" w:rsidRDefault="006C062A" w:rsidP="00CE28E8">
      <w:pPr>
        <w:tabs>
          <w:tab w:val="left" w:pos="1560"/>
        </w:tabs>
        <w:spacing w:line="360" w:lineRule="auto"/>
        <w:jc w:val="both"/>
        <w:rPr>
          <w:rFonts w:ascii="Times New Roman" w:hAnsi="Times New Roman" w:cs="Times New Roman"/>
          <w:iCs/>
          <w:sz w:val="24"/>
          <w:szCs w:val="24"/>
        </w:rPr>
      </w:pPr>
      <w:r w:rsidRPr="00F038C8">
        <w:rPr>
          <w:rFonts w:ascii="Times New Roman" w:hAnsi="Times New Roman" w:cs="Times New Roman"/>
          <w:iCs/>
          <w:sz w:val="24"/>
          <w:szCs w:val="24"/>
        </w:rPr>
        <w:t xml:space="preserve">PAIVA, Caio Cezar de Figueiredo; HEEMANN, Thimotie Aragon. </w:t>
      </w:r>
      <w:r w:rsidRPr="00F038C8">
        <w:rPr>
          <w:rFonts w:ascii="Times New Roman" w:hAnsi="Times New Roman" w:cs="Times New Roman"/>
          <w:i/>
          <w:sz w:val="24"/>
          <w:szCs w:val="24"/>
        </w:rPr>
        <w:t>Jurisprudência Internacional de Direitos Humanos</w:t>
      </w:r>
      <w:r w:rsidRPr="00F038C8">
        <w:rPr>
          <w:rFonts w:ascii="Times New Roman" w:hAnsi="Times New Roman" w:cs="Times New Roman"/>
          <w:iCs/>
          <w:sz w:val="24"/>
          <w:szCs w:val="24"/>
        </w:rPr>
        <w:t>. Manaus: Dizer o Direito, 2015.</w:t>
      </w:r>
    </w:p>
    <w:p w14:paraId="51F9D9CA" w14:textId="1344D2AA" w:rsidR="00134C94" w:rsidRPr="00F038C8" w:rsidRDefault="00134C94" w:rsidP="00CE28E8">
      <w:pPr>
        <w:spacing w:after="120" w:line="360" w:lineRule="auto"/>
        <w:jc w:val="both"/>
        <w:rPr>
          <w:rFonts w:ascii="Times New Roman" w:hAnsi="Times New Roman" w:cs="Times New Roman"/>
          <w:sz w:val="24"/>
          <w:szCs w:val="24"/>
        </w:rPr>
      </w:pPr>
      <w:r w:rsidRPr="00F038C8">
        <w:rPr>
          <w:rFonts w:ascii="Times New Roman" w:hAnsi="Times New Roman" w:cs="Times New Roman"/>
          <w:sz w:val="24"/>
          <w:szCs w:val="24"/>
        </w:rPr>
        <w:t xml:space="preserve">RÁBAGO DORBECKER, Miguel. </w:t>
      </w:r>
      <w:r w:rsidRPr="00F038C8">
        <w:rPr>
          <w:rFonts w:ascii="Times New Roman" w:hAnsi="Times New Roman" w:cs="Times New Roman"/>
          <w:sz w:val="24"/>
          <w:szCs w:val="24"/>
          <w:lang w:val="es-ES"/>
        </w:rPr>
        <w:t xml:space="preserve">“Formación histórica del derecho a la consulta previa, libre e informada y su horizonte de posibilidades en América Latina” </w:t>
      </w:r>
      <w:r w:rsidRPr="00F038C8">
        <w:rPr>
          <w:rFonts w:ascii="Times New Roman" w:hAnsi="Times New Roman" w:cs="Times New Roman"/>
          <w:i/>
          <w:sz w:val="24"/>
          <w:szCs w:val="24"/>
          <w:lang w:val="es-ES"/>
        </w:rPr>
        <w:t>In</w:t>
      </w:r>
      <w:r w:rsidRPr="00F038C8">
        <w:rPr>
          <w:rFonts w:ascii="Times New Roman" w:hAnsi="Times New Roman" w:cs="Times New Roman"/>
          <w:sz w:val="24"/>
          <w:szCs w:val="24"/>
          <w:lang w:val="es-ES"/>
        </w:rPr>
        <w:t xml:space="preserve"> LOPES, Ana Maria D’Ávila; </w:t>
      </w:r>
    </w:p>
    <w:p w14:paraId="7924EA67" w14:textId="7EDA65DB" w:rsidR="00134C94" w:rsidRPr="00F038C8" w:rsidRDefault="00134C94" w:rsidP="00CE28E8">
      <w:pPr>
        <w:tabs>
          <w:tab w:val="left" w:pos="1560"/>
        </w:tabs>
        <w:spacing w:line="360" w:lineRule="auto"/>
        <w:jc w:val="both"/>
        <w:rPr>
          <w:rFonts w:ascii="Times New Roman" w:hAnsi="Times New Roman" w:cs="Times New Roman"/>
          <w:sz w:val="24"/>
          <w:szCs w:val="24"/>
        </w:rPr>
      </w:pPr>
      <w:r w:rsidRPr="00F038C8">
        <w:rPr>
          <w:rFonts w:ascii="Times New Roman" w:hAnsi="Times New Roman" w:cs="Times New Roman"/>
          <w:bCs/>
          <w:color w:val="000000"/>
          <w:sz w:val="24"/>
          <w:szCs w:val="24"/>
          <w:lang w:val="es-ES"/>
        </w:rPr>
        <w:t xml:space="preserve">YRIGOYEN FAJARDO, Raquel. “De la tutela a los derechos de libre determinación del desarollo, participación, consulta </w:t>
      </w:r>
      <w:r w:rsidR="00067689" w:rsidRPr="00F038C8">
        <w:rPr>
          <w:rFonts w:ascii="Times New Roman" w:hAnsi="Times New Roman" w:cs="Times New Roman"/>
          <w:bCs/>
          <w:color w:val="000000"/>
          <w:sz w:val="24"/>
          <w:szCs w:val="24"/>
          <w:lang w:val="es-ES"/>
        </w:rPr>
        <w:t>y</w:t>
      </w:r>
      <w:r w:rsidRPr="00F038C8">
        <w:rPr>
          <w:rFonts w:ascii="Times New Roman" w:hAnsi="Times New Roman" w:cs="Times New Roman"/>
          <w:bCs/>
          <w:color w:val="000000"/>
          <w:sz w:val="24"/>
          <w:szCs w:val="24"/>
          <w:lang w:val="es-ES"/>
        </w:rPr>
        <w:t xml:space="preserve"> </w:t>
      </w:r>
      <w:r w:rsidRPr="00F038C8">
        <w:rPr>
          <w:rFonts w:ascii="Times New Roman" w:hAnsi="Times New Roman" w:cs="Times New Roman"/>
          <w:bCs/>
          <w:sz w:val="24"/>
          <w:szCs w:val="24"/>
          <w:lang w:val="es-ES"/>
        </w:rPr>
        <w:t xml:space="preserve">consentimiento: fundamentos, balance y retos para su implementación”. </w:t>
      </w:r>
      <w:r w:rsidRPr="00F038C8">
        <w:rPr>
          <w:rFonts w:ascii="Times New Roman" w:hAnsi="Times New Roman" w:cs="Times New Roman"/>
          <w:bCs/>
          <w:i/>
          <w:sz w:val="24"/>
          <w:szCs w:val="24"/>
        </w:rPr>
        <w:t>Amazônica – Revista de Antropologia</w:t>
      </w:r>
      <w:r w:rsidRPr="00F038C8">
        <w:rPr>
          <w:rFonts w:ascii="Times New Roman" w:hAnsi="Times New Roman" w:cs="Times New Roman"/>
          <w:bCs/>
          <w:sz w:val="24"/>
          <w:szCs w:val="24"/>
        </w:rPr>
        <w:t xml:space="preserve">, v. 1, n. 2, set. 2009, p. 368-405. Disponível em: </w:t>
      </w:r>
      <w:hyperlink r:id="rId9" w:tgtFrame="_blank" w:history="1">
        <w:r w:rsidRPr="00F038C8">
          <w:rPr>
            <w:rStyle w:val="Hyperlink"/>
            <w:rFonts w:ascii="Times New Roman" w:eastAsia="Times New Roman" w:hAnsi="Times New Roman" w:cs="Times New Roman"/>
            <w:sz w:val="24"/>
            <w:szCs w:val="24"/>
          </w:rPr>
          <w:t>http://www.periodicos.ufpa.br/index.php/amazonica/index</w:t>
        </w:r>
      </w:hyperlink>
      <w:r w:rsidRPr="00F038C8">
        <w:rPr>
          <w:rFonts w:ascii="Times New Roman" w:eastAsia="Times New Roman" w:hAnsi="Times New Roman" w:cs="Times New Roman"/>
          <w:sz w:val="24"/>
          <w:szCs w:val="24"/>
        </w:rPr>
        <w:t xml:space="preserve">. </w:t>
      </w:r>
    </w:p>
    <w:p w14:paraId="0739C30B" w14:textId="5E83861F" w:rsidR="00A61315" w:rsidRPr="00F038C8" w:rsidRDefault="00A61315" w:rsidP="00CE28E8">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2287358" w14:textId="4DFC1F50" w:rsidR="002B4F72" w:rsidRPr="00F038C8" w:rsidRDefault="002B4F72" w:rsidP="00CE28E8">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2EAC9D4" w14:textId="04DDC593" w:rsidR="00C73F02" w:rsidRPr="00F038C8" w:rsidRDefault="00C73F02" w:rsidP="00CE28E8">
      <w:pPr>
        <w:pStyle w:val="NoSpacing"/>
        <w:spacing w:line="360" w:lineRule="auto"/>
        <w:jc w:val="both"/>
        <w:rPr>
          <w:rFonts w:ascii="Times New Roman" w:hAnsi="Times New Roman" w:cs="Times New Roman"/>
          <w:color w:val="000000" w:themeColor="text1"/>
          <w:sz w:val="24"/>
          <w:szCs w:val="24"/>
        </w:rPr>
      </w:pPr>
    </w:p>
    <w:p w14:paraId="29478FF6" w14:textId="29673862" w:rsidR="00BE6953" w:rsidRPr="00F038C8" w:rsidRDefault="00BE6953" w:rsidP="00CE28E8">
      <w:pPr>
        <w:pStyle w:val="NoSpacing"/>
        <w:spacing w:line="360" w:lineRule="auto"/>
        <w:jc w:val="both"/>
        <w:rPr>
          <w:rFonts w:ascii="Times New Roman" w:hAnsi="Times New Roman" w:cs="Times New Roman"/>
          <w:color w:val="000000" w:themeColor="text1"/>
          <w:sz w:val="24"/>
          <w:szCs w:val="24"/>
        </w:rPr>
      </w:pPr>
    </w:p>
    <w:p w14:paraId="765990BC" w14:textId="396AA616" w:rsidR="0050358C" w:rsidRPr="00F038C8" w:rsidRDefault="0050358C" w:rsidP="00CE28E8">
      <w:pPr>
        <w:pStyle w:val="NoSpacing"/>
        <w:spacing w:line="360" w:lineRule="auto"/>
        <w:jc w:val="both"/>
        <w:rPr>
          <w:rFonts w:ascii="Times New Roman" w:hAnsi="Times New Roman" w:cs="Times New Roman"/>
          <w:color w:val="000000" w:themeColor="text1"/>
          <w:sz w:val="24"/>
          <w:szCs w:val="24"/>
        </w:rPr>
      </w:pPr>
    </w:p>
    <w:p w14:paraId="1D70EF26" w14:textId="65127DEC" w:rsidR="007E53AC" w:rsidRPr="00F038C8" w:rsidRDefault="007E53AC" w:rsidP="00CE28E8">
      <w:pPr>
        <w:pStyle w:val="NoSpacing"/>
        <w:spacing w:line="360" w:lineRule="auto"/>
        <w:jc w:val="both"/>
        <w:rPr>
          <w:rFonts w:ascii="Times New Roman" w:hAnsi="Times New Roman" w:cs="Times New Roman"/>
          <w:color w:val="000000" w:themeColor="text1"/>
          <w:sz w:val="24"/>
          <w:szCs w:val="24"/>
        </w:rPr>
      </w:pPr>
    </w:p>
    <w:p w14:paraId="33DC2290" w14:textId="109350C9" w:rsidR="007E53AC" w:rsidRPr="00F038C8" w:rsidRDefault="007E53AC" w:rsidP="00CE28E8">
      <w:pPr>
        <w:pStyle w:val="NoSpacing"/>
        <w:spacing w:line="360" w:lineRule="auto"/>
        <w:jc w:val="both"/>
        <w:rPr>
          <w:rFonts w:ascii="Times New Roman" w:hAnsi="Times New Roman" w:cs="Times New Roman"/>
          <w:color w:val="000000" w:themeColor="text1"/>
          <w:sz w:val="24"/>
          <w:szCs w:val="24"/>
        </w:rPr>
      </w:pPr>
    </w:p>
    <w:p w14:paraId="524439B0" w14:textId="1F26B040" w:rsidR="0056766F" w:rsidRPr="00F038C8" w:rsidRDefault="0056766F" w:rsidP="00CE28E8">
      <w:pPr>
        <w:pStyle w:val="Corpo"/>
        <w:spacing w:after="0" w:line="360" w:lineRule="auto"/>
        <w:jc w:val="both"/>
        <w:outlineLvl w:val="0"/>
        <w:rPr>
          <w:rFonts w:hAnsi="Times New Roman" w:cs="Times New Roman"/>
          <w:color w:val="000000" w:themeColor="text1"/>
          <w:sz w:val="24"/>
          <w:szCs w:val="24"/>
          <w:lang w:val="pt-BR"/>
        </w:rPr>
      </w:pPr>
    </w:p>
    <w:p w14:paraId="4AB3955E" w14:textId="77777777" w:rsidR="0056766F" w:rsidRPr="00F038C8" w:rsidRDefault="0056766F" w:rsidP="00CE28E8">
      <w:pPr>
        <w:pStyle w:val="Corpo"/>
        <w:spacing w:after="0" w:line="360" w:lineRule="auto"/>
        <w:jc w:val="both"/>
        <w:outlineLvl w:val="0"/>
        <w:rPr>
          <w:rFonts w:hAnsi="Times New Roman" w:cs="Times New Roman"/>
          <w:color w:val="000000" w:themeColor="text1"/>
          <w:sz w:val="24"/>
          <w:szCs w:val="24"/>
          <w:lang w:val="pt-BR"/>
        </w:rPr>
      </w:pPr>
    </w:p>
    <w:p w14:paraId="674FE870" w14:textId="77777777" w:rsidR="00283034" w:rsidRPr="00F038C8" w:rsidRDefault="00283034" w:rsidP="00CE28E8">
      <w:pPr>
        <w:pStyle w:val="Corpo"/>
        <w:spacing w:after="0" w:line="360" w:lineRule="auto"/>
        <w:jc w:val="both"/>
        <w:outlineLvl w:val="0"/>
        <w:rPr>
          <w:rFonts w:hAnsi="Times New Roman" w:cs="Times New Roman"/>
          <w:color w:val="000000" w:themeColor="text1"/>
          <w:sz w:val="24"/>
          <w:szCs w:val="24"/>
          <w:lang w:val="pt-BR"/>
        </w:rPr>
      </w:pPr>
    </w:p>
    <w:sectPr w:rsidR="00283034" w:rsidRPr="00F038C8" w:rsidSect="009972BC">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D95B1" w14:textId="77777777" w:rsidR="00984FFC" w:rsidRDefault="00984FFC" w:rsidP="00646E7E">
      <w:pPr>
        <w:spacing w:after="0" w:line="240" w:lineRule="auto"/>
      </w:pPr>
      <w:r>
        <w:separator/>
      </w:r>
    </w:p>
  </w:endnote>
  <w:endnote w:type="continuationSeparator" w:id="0">
    <w:p w14:paraId="6003119F" w14:textId="77777777" w:rsidR="00984FFC" w:rsidRDefault="00984FFC"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FA853" w14:textId="77777777" w:rsidR="00984FFC" w:rsidRDefault="00984FFC" w:rsidP="00646E7E">
      <w:pPr>
        <w:spacing w:after="0" w:line="240" w:lineRule="auto"/>
      </w:pPr>
      <w:r>
        <w:separator/>
      </w:r>
    </w:p>
  </w:footnote>
  <w:footnote w:type="continuationSeparator" w:id="0">
    <w:p w14:paraId="4C11D7AF" w14:textId="77777777" w:rsidR="00984FFC" w:rsidRDefault="00984FFC"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Header"/>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Header"/>
      <w:rPr>
        <w:noProof/>
      </w:rPr>
    </w:pPr>
  </w:p>
  <w:p w14:paraId="0CCD5649" w14:textId="3C73D615" w:rsidR="00E14A86" w:rsidRDefault="00E14A86" w:rsidP="00844166">
    <w:pPr>
      <w:pStyle w:val="Header"/>
      <w:rPr>
        <w:noProof/>
      </w:rPr>
    </w:pPr>
  </w:p>
  <w:p w14:paraId="42E8B9DF" w14:textId="752F7C78" w:rsidR="00E14A86" w:rsidRDefault="00E14A86" w:rsidP="00844166">
    <w:pPr>
      <w:pStyle w:val="Header"/>
      <w:rPr>
        <w:noProof/>
      </w:rPr>
    </w:pPr>
  </w:p>
  <w:p w14:paraId="516CC3D3" w14:textId="77777777" w:rsidR="00E14A86" w:rsidRPr="00844166" w:rsidRDefault="00E14A86" w:rsidP="0084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04E75"/>
    <w:rsid w:val="00021F1D"/>
    <w:rsid w:val="000241A7"/>
    <w:rsid w:val="00067689"/>
    <w:rsid w:val="00076788"/>
    <w:rsid w:val="000A64FA"/>
    <w:rsid w:val="001248A8"/>
    <w:rsid w:val="00134C94"/>
    <w:rsid w:val="00155B00"/>
    <w:rsid w:val="001C3963"/>
    <w:rsid w:val="001D5A8C"/>
    <w:rsid w:val="0020054E"/>
    <w:rsid w:val="0020115F"/>
    <w:rsid w:val="0020781A"/>
    <w:rsid w:val="00207F29"/>
    <w:rsid w:val="00270FDD"/>
    <w:rsid w:val="00283034"/>
    <w:rsid w:val="002A01F3"/>
    <w:rsid w:val="002B4F72"/>
    <w:rsid w:val="002C6B49"/>
    <w:rsid w:val="002E58E9"/>
    <w:rsid w:val="00303562"/>
    <w:rsid w:val="003474EE"/>
    <w:rsid w:val="0037180D"/>
    <w:rsid w:val="003D5112"/>
    <w:rsid w:val="004028AA"/>
    <w:rsid w:val="00440AC9"/>
    <w:rsid w:val="0047404F"/>
    <w:rsid w:val="0047659C"/>
    <w:rsid w:val="004A2EB8"/>
    <w:rsid w:val="004C430C"/>
    <w:rsid w:val="004E26D6"/>
    <w:rsid w:val="0050358C"/>
    <w:rsid w:val="005305AD"/>
    <w:rsid w:val="00533CDA"/>
    <w:rsid w:val="00542393"/>
    <w:rsid w:val="005442BB"/>
    <w:rsid w:val="0056766F"/>
    <w:rsid w:val="00596825"/>
    <w:rsid w:val="0059725F"/>
    <w:rsid w:val="005C0C26"/>
    <w:rsid w:val="005E0457"/>
    <w:rsid w:val="005E2E42"/>
    <w:rsid w:val="005F18D2"/>
    <w:rsid w:val="00603CE9"/>
    <w:rsid w:val="0061067B"/>
    <w:rsid w:val="00613CE6"/>
    <w:rsid w:val="00641DAE"/>
    <w:rsid w:val="00646E7E"/>
    <w:rsid w:val="00676FA5"/>
    <w:rsid w:val="006962D2"/>
    <w:rsid w:val="006C062A"/>
    <w:rsid w:val="00745F61"/>
    <w:rsid w:val="00794FB9"/>
    <w:rsid w:val="007B51AD"/>
    <w:rsid w:val="007D25BB"/>
    <w:rsid w:val="007E53AC"/>
    <w:rsid w:val="00815C9B"/>
    <w:rsid w:val="00844166"/>
    <w:rsid w:val="0085002E"/>
    <w:rsid w:val="00860AE5"/>
    <w:rsid w:val="00870E69"/>
    <w:rsid w:val="0088715F"/>
    <w:rsid w:val="008A2795"/>
    <w:rsid w:val="008A3A7C"/>
    <w:rsid w:val="008A7A6A"/>
    <w:rsid w:val="008B5EEC"/>
    <w:rsid w:val="008C2C7F"/>
    <w:rsid w:val="00984FFC"/>
    <w:rsid w:val="0099182E"/>
    <w:rsid w:val="009972BC"/>
    <w:rsid w:val="009A7209"/>
    <w:rsid w:val="009B16A0"/>
    <w:rsid w:val="009B57DB"/>
    <w:rsid w:val="00A61315"/>
    <w:rsid w:val="00A82BDD"/>
    <w:rsid w:val="00A861BD"/>
    <w:rsid w:val="00AD1CFA"/>
    <w:rsid w:val="00AE0F8E"/>
    <w:rsid w:val="00B60B9B"/>
    <w:rsid w:val="00B85B5E"/>
    <w:rsid w:val="00BE2AED"/>
    <w:rsid w:val="00BE56FD"/>
    <w:rsid w:val="00BE6953"/>
    <w:rsid w:val="00C108A3"/>
    <w:rsid w:val="00C248F7"/>
    <w:rsid w:val="00C35757"/>
    <w:rsid w:val="00C73F02"/>
    <w:rsid w:val="00C77E59"/>
    <w:rsid w:val="00CD1519"/>
    <w:rsid w:val="00CD7521"/>
    <w:rsid w:val="00CE05B6"/>
    <w:rsid w:val="00CE28E8"/>
    <w:rsid w:val="00D54BF0"/>
    <w:rsid w:val="00E07A84"/>
    <w:rsid w:val="00E14A86"/>
    <w:rsid w:val="00E35B4F"/>
    <w:rsid w:val="00E4774B"/>
    <w:rsid w:val="00E55D80"/>
    <w:rsid w:val="00E76576"/>
    <w:rsid w:val="00E914F3"/>
    <w:rsid w:val="00EC6E70"/>
    <w:rsid w:val="00EF1BF7"/>
    <w:rsid w:val="00F038C8"/>
    <w:rsid w:val="00F718FF"/>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line="240" w:lineRule="auto"/>
    </w:pPr>
    <w:rPr>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styleId="UnresolvedMention">
    <w:name w:val="Unresolved Mention"/>
    <w:basedOn w:val="DefaultParagraphFont"/>
    <w:uiPriority w:val="99"/>
    <w:semiHidden/>
    <w:unhideWhenUsed/>
    <w:rsid w:val="00E14A86"/>
    <w:rPr>
      <w:color w:val="605E5C"/>
      <w:shd w:val="clear" w:color="auto" w:fill="E1DFDD"/>
    </w:rPr>
  </w:style>
  <w:style w:type="paragraph" w:customStyle="1" w:styleId="Corpo">
    <w:name w:val="Corpo"/>
    <w:rsid w:val="00283034"/>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0"/>
      <w:szCs w:val="20"/>
      <w:u w:color="000000"/>
      <w:bdr w:val="nil"/>
      <w:lang w:val="pt-PT" w:eastAsia="pt-BR"/>
    </w:rPr>
  </w:style>
  <w:style w:type="paragraph" w:styleId="FootnoteText">
    <w:name w:val="footnote text"/>
    <w:link w:val="FootnoteTextChar"/>
    <w:uiPriority w:val="99"/>
    <w:rsid w:val="002830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pt-PT" w:eastAsia="pt-BR"/>
    </w:rPr>
  </w:style>
  <w:style w:type="character" w:customStyle="1" w:styleId="FootnoteTextChar">
    <w:name w:val="Footnote Text Char"/>
    <w:basedOn w:val="DefaultParagraphFont"/>
    <w:link w:val="FootnoteText"/>
    <w:uiPriority w:val="99"/>
    <w:rsid w:val="00283034"/>
    <w:rPr>
      <w:rFonts w:ascii="Times New Roman" w:eastAsia="Times New Roman" w:hAnsi="Times New Roman" w:cs="Times New Roman"/>
      <w:color w:val="000000"/>
      <w:sz w:val="20"/>
      <w:szCs w:val="20"/>
      <w:u w:color="000000"/>
      <w:bdr w:val="nil"/>
      <w:lang w:val="pt-PT" w:eastAsia="pt-BR"/>
    </w:rPr>
  </w:style>
  <w:style w:type="character" w:styleId="FootnoteReference">
    <w:name w:val="footnote reference"/>
    <w:basedOn w:val="DefaultParagraphFont"/>
    <w:unhideWhenUsed/>
    <w:rsid w:val="00283034"/>
    <w:rPr>
      <w:vertAlign w:val="superscript"/>
    </w:rPr>
  </w:style>
  <w:style w:type="paragraph" w:customStyle="1" w:styleId="Padro">
    <w:name w:val="Padrão"/>
    <w:rsid w:val="0028303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pt-BR"/>
    </w:rPr>
  </w:style>
  <w:style w:type="paragraph" w:styleId="NoSpacing">
    <w:name w:val="No Spacing"/>
    <w:uiPriority w:val="1"/>
    <w:qFormat/>
    <w:rsid w:val="007E53AC"/>
    <w:pPr>
      <w:spacing w:after="0" w:line="240" w:lineRule="auto"/>
    </w:pPr>
  </w:style>
  <w:style w:type="character" w:customStyle="1" w:styleId="apple-converted-space">
    <w:name w:val="apple-converted-space"/>
    <w:basedOn w:val="DefaultParagraphFont"/>
    <w:rsid w:val="007D25BB"/>
  </w:style>
  <w:style w:type="character" w:styleId="HTMLCite">
    <w:name w:val="HTML Cite"/>
    <w:uiPriority w:val="99"/>
    <w:semiHidden/>
    <w:unhideWhenUsed/>
    <w:rsid w:val="00134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ur" TargetMode="External"/><Relationship Id="rId3" Type="http://schemas.openxmlformats.org/officeDocument/2006/relationships/settings" Target="settings.xml"/><Relationship Id="rId7" Type="http://schemas.openxmlformats.org/officeDocument/2006/relationships/hyperlink" Target="http://www.scielo.br/s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iodicos.ufpa.br/index.php/amazonica/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74</cp:revision>
  <cp:lastPrinted>2020-10-10T20:41:00Z</cp:lastPrinted>
  <dcterms:created xsi:type="dcterms:W3CDTF">2020-11-15T19:19:00Z</dcterms:created>
  <dcterms:modified xsi:type="dcterms:W3CDTF">2020-11-17T19:25:00Z</dcterms:modified>
</cp:coreProperties>
</file>