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INFLUÊNCIA DA DIETA DA ÉGUA NO </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DESENVOLVIMENTO FISIOLÓGICO DE POTROS</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Camilly Muniz de </w:t>
      </w:r>
      <w:r w:rsidDel="00000000" w:rsidR="00000000" w:rsidRPr="00000000">
        <w:rPr>
          <w:rFonts w:ascii="Times New Roman" w:cs="Times New Roman" w:eastAsia="Times New Roman" w:hAnsi="Times New Roman"/>
          <w:b w:val="1"/>
          <w:bCs w:val="1"/>
          <w:sz w:val="24"/>
          <w:szCs w:val="24"/>
          <w:rtl w:val="0"/>
        </w:rPr>
        <w:t xml:space="preserve">SOUZA¹</w:t>
      </w:r>
      <w:r w:rsidDel="00000000" w:rsidR="00000000" w:rsidRPr="00000000">
        <w:rPr>
          <w:rFonts w:ascii="Times New Roman" w:cs="Times New Roman" w:eastAsia="Times New Roman" w:hAnsi="Times New Roman"/>
          <w:sz w:val="24"/>
          <w:szCs w:val="24"/>
          <w:rtl w:val="0"/>
        </w:rPr>
        <w:t xml:space="preserve">; Bruna Karoline de Oliveira </w:t>
      </w:r>
      <w:r w:rsidDel="00000000" w:rsidR="00000000" w:rsidRPr="00000000">
        <w:rPr>
          <w:rFonts w:ascii="Times New Roman" w:cs="Times New Roman" w:eastAsia="Times New Roman" w:hAnsi="Times New Roman"/>
          <w:b w:val="1"/>
          <w:bCs w:val="1"/>
          <w:sz w:val="24"/>
          <w:szCs w:val="24"/>
          <w:rtl w:val="0"/>
        </w:rPr>
        <w:t xml:space="preserve">RIBEIRO²</w:t>
      </w:r>
      <w:r w:rsidDel="00000000" w:rsidR="00000000" w:rsidRPr="00000000">
        <w:rPr>
          <w:rFonts w:ascii="Times New Roman" w:cs="Times New Roman" w:eastAsia="Times New Roman" w:hAnsi="Times New Roman"/>
          <w:sz w:val="24"/>
          <w:szCs w:val="24"/>
          <w:rtl w:val="0"/>
        </w:rPr>
        <w:t xml:space="preserve">; Edilson Noberto </w:t>
      </w:r>
      <w:r w:rsidDel="00000000" w:rsidR="00000000" w:rsidRPr="00000000">
        <w:rPr>
          <w:rFonts w:ascii="Times New Roman" w:cs="Times New Roman" w:eastAsia="Times New Roman" w:hAnsi="Times New Roman"/>
          <w:b w:val="1"/>
          <w:bCs w:val="1"/>
          <w:sz w:val="24"/>
          <w:szCs w:val="24"/>
          <w:rtl w:val="0"/>
        </w:rPr>
        <w:t xml:space="preserve">SOARES³</w:t>
      </w:r>
      <w:r w:rsidDel="00000000" w:rsidR="00000000" w:rsidRPr="00000000">
        <w:rPr>
          <w:rFonts w:ascii="Times New Roman" w:cs="Times New Roman" w:eastAsia="Times New Roman" w:hAnsi="Times New Roman"/>
          <w:sz w:val="24"/>
          <w:szCs w:val="24"/>
          <w:rtl w:val="0"/>
        </w:rPr>
        <w:t xml:space="preserve">; José Clementino </w:t>
      </w:r>
      <w:r w:rsidDel="00000000" w:rsidR="00000000" w:rsidRPr="00000000">
        <w:rPr>
          <w:rFonts w:ascii="Times New Roman" w:cs="Times New Roman" w:eastAsia="Times New Roman" w:hAnsi="Times New Roman"/>
          <w:b w:val="1"/>
          <w:bCs w:val="1"/>
          <w:sz w:val="24"/>
          <w:szCs w:val="24"/>
          <w:rtl w:val="0"/>
        </w:rPr>
        <w:t xml:space="preserve">NETO</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Ryan Thaislan da Silva </w:t>
      </w:r>
      <w:r w:rsidDel="00000000" w:rsidR="00000000" w:rsidRPr="00000000">
        <w:rPr>
          <w:rFonts w:ascii="Times New Roman" w:cs="Times New Roman" w:eastAsia="Times New Roman" w:hAnsi="Times New Roman"/>
          <w:b w:val="1"/>
          <w:bCs w:val="1"/>
          <w:sz w:val="24"/>
          <w:szCs w:val="24"/>
          <w:rtl w:val="0"/>
        </w:rPr>
        <w:t xml:space="preserve">SOUSA</w:t>
      </w:r>
      <w:r w:rsidDel="00000000" w:rsidR="00000000" w:rsidRPr="00000000">
        <w:rPr>
          <w:rFonts w:ascii="Times New Roman" w:cs="Times New Roman" w:eastAsia="Times New Roman" w:hAnsi="Times New Roman"/>
          <w:b w:val="1"/>
          <w:bCs w:val="1"/>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Eduardo Gabriel de Farias </w:t>
      </w:r>
      <w:r w:rsidDel="00000000" w:rsidR="00000000" w:rsidRPr="00000000">
        <w:rPr>
          <w:rFonts w:ascii="Times New Roman" w:cs="Times New Roman" w:eastAsia="Times New Roman" w:hAnsi="Times New Roman"/>
          <w:b w:val="1"/>
          <w:bCs w:val="1"/>
          <w:sz w:val="24"/>
          <w:szCs w:val="24"/>
          <w:rtl w:val="0"/>
        </w:rPr>
        <w:t xml:space="preserve">DANTAS</w:t>
      </w:r>
      <w:r w:rsidDel="00000000" w:rsidR="00000000" w:rsidRPr="00000000">
        <w:rPr>
          <w:rFonts w:ascii="Times New Roman" w:cs="Times New Roman" w:eastAsia="Times New Roman" w:hAnsi="Times New Roman"/>
          <w:b w:val="1"/>
          <w:bCs w:val="1"/>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Nagela Maria Henrique </w:t>
      </w:r>
      <w:r w:rsidDel="00000000" w:rsidR="00000000" w:rsidRPr="00000000">
        <w:rPr>
          <w:rFonts w:ascii="Times New Roman" w:cs="Times New Roman" w:eastAsia="Times New Roman" w:hAnsi="Times New Roman"/>
          <w:b w:val="1"/>
          <w:bCs w:val="1"/>
          <w:sz w:val="24"/>
          <w:szCs w:val="24"/>
          <w:rtl w:val="0"/>
        </w:rPr>
        <w:t xml:space="preserve">MASCARENHAS</w:t>
      </w:r>
      <w:r w:rsidDel="00000000" w:rsidR="00000000" w:rsidRPr="00000000">
        <w:rPr>
          <w:rFonts w:ascii="Times New Roman" w:cs="Times New Roman" w:eastAsia="Times New Roman" w:hAnsi="Times New Roman"/>
          <w:b w:val="1"/>
          <w:bCs w:val="1"/>
          <w:sz w:val="24"/>
          <w:szCs w:val="24"/>
          <w:vertAlign w:val="superscript"/>
          <w:rtl w:val="0"/>
        </w:rPr>
        <w:t xml:space="preserve">7</w:t>
      </w:r>
      <w:r w:rsidDel="00000000" w:rsidR="00000000" w:rsidRPr="00000000">
        <w:rPr>
          <w:rFonts w:ascii="Times New Roman" w:cs="Times New Roman" w:eastAsia="Times New Roman" w:hAnsi="Times New Roman"/>
          <w:sz w:val="24"/>
          <w:szCs w:val="24"/>
          <w:rtl w:val="0"/>
        </w:rPr>
        <w:t xml:space="preserve">; Francisco de Asss Romero da Mota </w:t>
      </w:r>
      <w:r w:rsidDel="00000000" w:rsidR="00000000" w:rsidRPr="00000000">
        <w:rPr>
          <w:rFonts w:ascii="Times New Roman" w:cs="Times New Roman" w:eastAsia="Times New Roman" w:hAnsi="Times New Roman"/>
          <w:b w:val="1"/>
          <w:bCs w:val="1"/>
          <w:sz w:val="24"/>
          <w:szCs w:val="24"/>
          <w:rtl w:val="0"/>
        </w:rPr>
        <w:t xml:space="preserve">SOUSA</w:t>
      </w:r>
      <w:r w:rsidDel="00000000" w:rsidR="00000000" w:rsidRPr="00000000">
        <w:rPr>
          <w:rFonts w:ascii="Times New Roman" w:cs="Times New Roman" w:eastAsia="Times New Roman" w:hAnsi="Times New Roman"/>
          <w:b w:val="1"/>
          <w:bCs w:val="1"/>
          <w:sz w:val="24"/>
          <w:szCs w:val="24"/>
          <w:vertAlign w:val="superscript"/>
          <w:rtl w:val="0"/>
        </w:rPr>
        <w:t xml:space="preserve">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Discente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w:t>
      </w:r>
      <w:r w:rsidDel="00000000" w:rsidR="00000000" w:rsidRPr="00000000">
        <w:rPr>
          <w:rFonts w:ascii="Times New Roman" w:cs="Times New Roman" w:eastAsia="Times New Roman" w:hAnsi="Times New Roman"/>
          <w:sz w:val="20"/>
          <w:szCs w:val="20"/>
          <w:rtl w:val="0"/>
        </w:rPr>
        <w:t xml:space="preserve">e Medicina Veterinária da Faculdade Rebouças, Campina Grande-PB.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color w:val="1155cc"/>
            <w:sz w:val="20"/>
            <w:szCs w:val="20"/>
            <w:u w:val="single"/>
            <w:rtl w:val="0"/>
          </w:rPr>
          <w:t xml:space="preserve">camillymuniz3245@gmail.com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Discente de Medicina Veterinária da Faculdade Rebouças, Campina Grande-PB.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color w:val="1155cc"/>
            <w:sz w:val="20"/>
            <w:szCs w:val="20"/>
            <w:u w:val="single"/>
            <w:rtl w:val="0"/>
          </w:rPr>
          <w:t xml:space="preserve">brunakarolinevet24@gmail.com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Discente de Medicina Veterinária da Faculdade Rebouças, Campina Grande-PB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hyperlink r:id="rId9">
        <w:r w:rsidDel="00000000" w:rsidR="00000000" w:rsidRPr="00000000">
          <w:rPr>
            <w:rFonts w:ascii="Times New Roman" w:cs="Times New Roman" w:eastAsia="Times New Roman" w:hAnsi="Times New Roman"/>
            <w:color w:val="1155cc"/>
            <w:sz w:val="20"/>
            <w:szCs w:val="20"/>
            <w:u w:val="single"/>
            <w:rtl w:val="0"/>
          </w:rPr>
          <w:t xml:space="preserve">edilsonnoberto1990@gmail.com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Discente de Medicina Veterinária da Faculdade Rebouças, Campina Grande-PB. E-mail: </w:t>
      </w:r>
      <w:hyperlink r:id="rId10">
        <w:r w:rsidDel="00000000" w:rsidR="00000000" w:rsidRPr="00000000">
          <w:rPr>
            <w:rFonts w:ascii="Times New Roman" w:cs="Times New Roman" w:eastAsia="Times New Roman" w:hAnsi="Times New Roman"/>
            <w:color w:val="1155cc"/>
            <w:sz w:val="20"/>
            <w:szCs w:val="20"/>
            <w:u w:val="single"/>
            <w:rtl w:val="0"/>
          </w:rPr>
          <w:t xml:space="preserve">joseclementino81@icloud.com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Discente de Medicina Veterinária da Faculdade Rebouças, Campina Grande-PB. E-mail: </w:t>
      </w:r>
      <w:hyperlink r:id="rId11">
        <w:r w:rsidDel="00000000" w:rsidR="00000000" w:rsidRPr="00000000">
          <w:rPr>
            <w:rFonts w:ascii="Times New Roman" w:cs="Times New Roman" w:eastAsia="Times New Roman" w:hAnsi="Times New Roman"/>
            <w:color w:val="1155cc"/>
            <w:sz w:val="20"/>
            <w:szCs w:val="20"/>
            <w:u w:val="single"/>
            <w:rtl w:val="0"/>
          </w:rPr>
          <w:t xml:space="preserve">ryansilv083@gmail.com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6</w:t>
      </w:r>
      <w:r w:rsidDel="00000000" w:rsidR="00000000" w:rsidRPr="00000000">
        <w:rPr>
          <w:rFonts w:ascii="Times New Roman" w:cs="Times New Roman" w:eastAsia="Times New Roman" w:hAnsi="Times New Roman"/>
          <w:sz w:val="20"/>
          <w:szCs w:val="20"/>
          <w:rtl w:val="0"/>
        </w:rPr>
        <w:t xml:space="preserve"> Discente de Medicina Veterinária da Faculdade Rebouças, Campina Grande-PB. E-mail: </w:t>
      </w:r>
      <w:hyperlink r:id="rId12">
        <w:r w:rsidDel="00000000" w:rsidR="00000000" w:rsidRPr="00000000">
          <w:rPr>
            <w:rFonts w:ascii="Times New Roman" w:cs="Times New Roman" w:eastAsia="Times New Roman" w:hAnsi="Times New Roman"/>
            <w:color w:val="1155cc"/>
            <w:sz w:val="20"/>
            <w:szCs w:val="20"/>
            <w:u w:val="single"/>
            <w:rtl w:val="0"/>
          </w:rPr>
          <w:t xml:space="preserve">eduardogf4d@gmail.com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7 </w:t>
      </w:r>
      <w:r w:rsidDel="00000000" w:rsidR="00000000" w:rsidRPr="00000000">
        <w:rPr>
          <w:rFonts w:ascii="Times New Roman" w:cs="Times New Roman" w:eastAsia="Times New Roman" w:hAnsi="Times New Roman"/>
          <w:sz w:val="20"/>
          <w:szCs w:val="20"/>
          <w:rtl w:val="0"/>
        </w:rPr>
        <w:t xml:space="preserve">Docente da Faculdade Rebouças, Campina Grande-PB. E-mail: </w:t>
      </w:r>
      <w:hyperlink r:id="rId13">
        <w:r w:rsidDel="00000000" w:rsidR="00000000" w:rsidRPr="00000000">
          <w:rPr>
            <w:rFonts w:ascii="Times New Roman" w:cs="Times New Roman" w:eastAsia="Times New Roman" w:hAnsi="Times New Roman"/>
            <w:color w:val="1155cc"/>
            <w:sz w:val="20"/>
            <w:szCs w:val="20"/>
            <w:u w:val="single"/>
            <w:rtl w:val="0"/>
          </w:rPr>
          <w:t xml:space="preserve">eng.nagelamaria@gmail.com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Docente da Faculdade Rebouças, Campina Grande-PB.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w:t>
      </w:r>
      <w:hyperlink r:id="rId14">
        <w:r w:rsidDel="00000000" w:rsidR="00000000" w:rsidRPr="00000000">
          <w:rPr>
            <w:rFonts w:ascii="Times New Roman" w:cs="Times New Roman" w:eastAsia="Times New Roman" w:hAnsi="Times New Roman"/>
            <w:color w:val="1155cc"/>
            <w:sz w:val="20"/>
            <w:szCs w:val="20"/>
            <w:u w:val="single"/>
            <w:rtl w:val="0"/>
          </w:rPr>
          <w:t xml:space="preserve">assis.agronomia@gmail.com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color w:val="00000a"/>
          <w:rtl w:val="0"/>
        </w:rPr>
        <w:t xml:space="preserve">A nutrição de éguas durante a gestação e lactação desempenha papel determinante no desenvolvimento inicial dos potros, influenciando diretamente parâmetros fisiológicos, metabólicos e adaptativos. Este estudo teve como objetivo avaliar a relação entre o manejo alimentar materno e o desenvolvimento fisiológico de potros, considerando indicadores clínicos e condições ambientais. A pesquisa foi conduzida no município de Lagoa Seca (PB), com oito potros submetidos à avaliação de parâmetros fisiológicos e variáveis ambientais. Os resultados evidenciaram que os animais apresentaram valores dentro dos padrões de normalidade, mesmo sob condição de leve desconforto térmico (ITU = 25,82), sugerindo adequada capacidade de adaptação. Esses achados indicam que a nutrição materna pode ter contribuído para o equilíbrio fisiológico dos potros, favorecendo a manutenção da homeostase. Conclui-se que o manejo alimentar das éguas, aliado ao controle ambiental, exerce influência significativa sobre o desenvolvimento e o bem-estar dos potros.</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equinocultura; manejo alimentar; fisiologia animal; adaptação térmica;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 nutrição de éguas gestantes e lactantes exerce influência direta sobre o desenvolvimento dos potros, especialmente nos aspectos fisiológicos e metabólicos. Durante essas fases, a demanda nutricional materna aumenta significativamente, sendo essencial para garantir adequado crescimento, desenvolvimento imunológico e capacidade adaptativa dos neonatos.</w:t>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Dietas inadequadas podem comprometer o equilíbrio fisiológico dos potros, predispondo-os a alterações metabólicas e redução da eficiência produtiva futura. Além disso, fatores ambientais, como temperatura e umidade, podem intensificar desafios fisiológicos, exigindo maior capacidade de adaptação dos animais. Diante disso, o presente estudo teve como objetivo avaliar a influência do manejo alimentar de éguas sobre parâmetros fisiológicos de potros, considerando também as condições ambientais às quais estão expostos.</w:t>
      </w: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Material e métodos: </w:t>
      </w:r>
      <w:r w:rsidDel="00000000" w:rsidR="00000000" w:rsidRPr="00000000">
        <w:rPr>
          <w:rFonts w:ascii="Times New Roman" w:cs="Times New Roman" w:eastAsia="Times New Roman" w:hAnsi="Times New Roman"/>
          <w:sz w:val="24"/>
          <w:szCs w:val="24"/>
          <w:rtl w:val="0"/>
        </w:rPr>
        <w:t xml:space="preserve"> O estudo foi conduzido no município de Lagoa Seca, Paraíba, em sistema de criação extensivo. Foram avaliados oito potros em fase inicial de desenvolvimento. As variáveis fisiológicas analisadas incluíram temperatura retal, temperaturas superficiais (cabeça, tronco e garupa), frequência cardíaca, frequência respiratória, escore corporal, peso estimado e tempo de preenchimento capilar. As condições ambientais foram registradas por meio da temperatura do ar e umidade relativa, sendo posteriormente utilizado o Índice de Temperatura e Umidade (ITU) como indicador de conforto térmico. Os dados obtidos foram organizados e analisados por meio de estatística descritiva.</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Os parâmetros fisiológicos observados mantiveram-se dentro dos valores considerados normais para a espécie, indicando adequado estado clínico dos animais avaliados. A frequência cardíaca, frequência respiratória e temperatura corporal não apresentaram alterações significativas, mesmo diante das condições ambientais registradas.</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Índice de Temperatura e Umidade (ITU) foi de 25,82, caracterizando situação de leve desconforto térmico. Apesar disso, os potros demonstraram estabilidade fisiológica, evidenciando eficiência dos mecanismos de termorregulação. Esse comportamento pode estar diretamente relacionado ao adequado manejo nutricional das éguas, uma vez que a nutrição materna influencia o desenvolvimento metabólico e a capacidade adaptativa dos potros. Segundo Geor et al. (2020), animais oriundos de matrizes bem nutridas apresentam melhor desempenho fisiológico e maior capacidade de resposta a desafios ambientais. Além disso, a manutenção da homeostase em condições de estresse térmico moderado está associada à eficiência dos mecanismos de dissipação de calor, conforme descrito por Thom (1959), ao propor o Índice de Temperatura e Umidade como indicador de conforto térmico animal.</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os resultados sugerem que a dieta materna contribuiu para a manutenção da homeostase dos potros, mesmo em condições ambientais moderadamente desafiadoras.</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82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0"/>
        <w:gridCol w:w="3220"/>
        <w:gridCol w:w="3360"/>
        <w:tblGridChange w:id="0">
          <w:tblGrid>
            <w:gridCol w:w="1640"/>
            <w:gridCol w:w="3220"/>
            <w:gridCol w:w="3360"/>
          </w:tblGrid>
        </w:tblGridChange>
      </w:tblGrid>
      <w:tr>
        <w:trPr>
          <w:cantSplit w:val="0"/>
          <w:trHeight w:val="420" w:hRule="atLeast"/>
          <w:tblHeader w:val="0"/>
        </w:trPr>
        <w:tc>
          <w:tcPr>
            <w:gridSpan w:val="3"/>
            <w:tcBorders>
              <w:top w:color="000000" w:space="0" w:sz="0" w:val="nil"/>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6">
            <w:pPr>
              <w:widowControl w:val="0"/>
              <w:spacing w:after="0"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Tabela 1 - Parâmetros fisiológicos e condições ambientais dos potros avaliados</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9">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Parâmetro</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B">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Valor médio</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C">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Temperatura retal (°C)</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E">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37,64</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F">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Temperatura cabeça (°C)</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1">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35,88</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2">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Temperatura tronco (°C)</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26,52</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5">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Temperatura garupa (°C)</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7">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36,6</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8">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Peso estimado (kg)</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A">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56,71</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B">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Frequência cardíaca (bpm)</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D">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111,71</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E">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Frequência respiratória (mov/min)</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0">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42,85</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1">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Escore corporal</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3">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3,57</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4">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 de preenchimento capilar (s)</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6">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7">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Temperatura ambiente</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9">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26,7</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A">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Umidade relativa (%)</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C">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74,14</w:t>
            </w:r>
          </w:p>
        </w:tc>
      </w:tr>
      <w:tr>
        <w:trPr>
          <w:cantSplit w:val="0"/>
          <w:trHeight w:val="420" w:hRule="atLeast"/>
          <w:tblHeader w:val="0"/>
        </w:trPr>
        <w:tc>
          <w:tcPr>
            <w:gridSpan w:val="2"/>
            <w:tcBorders>
              <w:top w:color="000000" w:space="0" w:sz="8" w:val="single"/>
              <w:lef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D">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ITU</w:t>
            </w:r>
          </w:p>
        </w:tc>
        <w:tc>
          <w:tcPr>
            <w:tcBorders>
              <w:top w:color="000000" w:space="0" w:sz="8" w:val="single"/>
              <w:left w:color="000000" w:space="0" w:sz="0" w:val="nil"/>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3F">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25,82</w:t>
            </w:r>
          </w:p>
        </w:tc>
      </w:tr>
      <w:tr>
        <w:trPr>
          <w:cantSplit w:val="0"/>
          <w:trHeight w:val="420" w:hRule="atLeast"/>
          <w:tblHeader w:val="0"/>
        </w:trPr>
        <w:tc>
          <w:tcPr>
            <w:gridSpan w:val="3"/>
            <w:tcBorders>
              <w:top w:color="000000" w:space="0" w:sz="8" w:val="single"/>
              <w:left w:color="000000" w:space="0" w:sz="0" w:val="nil"/>
              <w:bottom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40">
            <w:pPr>
              <w:widowControl w:val="0"/>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Fonte: Dados da pesquisa (2025).</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 manejo nutricional de éguas exerce influência direta sobre o desenvolvimento fisiológico de potros, contribuindo para a manutenção da homeostase e estabilidade clínica. Mesmo sob condição de leve desconforto térmico, os animais apresentaram parâmetros fisiológicos dentro da normalidade, evidenciando adequada capacidade adaptativa. Dessa forma, destaca-se a importância da nutrição materna associada ao controle ambiental como fatores essenciais para o desenvolvimento saudável dos potros.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CINTRA, A. G. Alimentação de éguas reprodutoras. 2018.</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GAESSLER, K. M. L. et al. BMC Veterinary Research, 2022.</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 R. J. et al. Nutritional management of equine reproduction and development. Journal of Equine Veterinary Science, 2020.</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NOBLE, S. Nutritional influences on early development in horses. Animals, 2023.</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 E. C. The discomfort index. Weatherwise, 1959.</w:t>
      </w:r>
    </w:p>
    <w:sectPr>
      <w:headerReference r:id="rId15" w:type="default"/>
      <w:footerReference r:id="rId16" w:type="default"/>
      <w:pgSz w:h="16838" w:w="11906" w:orient="portrait"/>
      <w:pgMar w:bottom="1418" w:top="2159"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-28574</wp:posOffset>
          </wp:positionH>
          <wp:positionV relativeFrom="paragraph">
            <wp:posOffset>-419099</wp:posOffset>
          </wp:positionV>
          <wp:extent cx="5934075" cy="13404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1340485"/>
                  </a:xfrm>
                  <a:prstGeom prst="rect"/>
                  <a:ln/>
                </pic:spPr>
              </pic:pic>
            </a:graphicData>
          </a:graphic>
        </wp:anchor>
      </w:drawing>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yansilv083@gmail.com" TargetMode="External"/><Relationship Id="rId10" Type="http://schemas.openxmlformats.org/officeDocument/2006/relationships/hyperlink" Target="mailto:joseclementio81@icloud.com" TargetMode="External"/><Relationship Id="rId13" Type="http://schemas.openxmlformats.org/officeDocument/2006/relationships/hyperlink" Target="mailto:eng.nagelamaria@gmail.com" TargetMode="External"/><Relationship Id="rId12" Type="http://schemas.openxmlformats.org/officeDocument/2006/relationships/hyperlink" Target="mailto:eduardogf4d@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dilsonnoberto1990@gmail.com" TargetMode="External"/><Relationship Id="rId15" Type="http://schemas.openxmlformats.org/officeDocument/2006/relationships/header" Target="header1.xml"/><Relationship Id="rId14" Type="http://schemas.openxmlformats.org/officeDocument/2006/relationships/hyperlink" Target="mailto:assis.agronomia@gmail.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millymuniz3245@gmail.com" TargetMode="External"/><Relationship Id="rId8" Type="http://schemas.openxmlformats.org/officeDocument/2006/relationships/hyperlink" Target="mailto:brunakarolinevet24@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uF49gH/b2zNkoFWzq/LqW7X7Q==">CgMxLjA4AHIhMWptaE9tQUxtNVFaTW1UZDJES0hBSUprbmhuREs1TGdP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