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60" w:after="60"/>
        <w:ind w:right="142" w:hanging="0"/>
        <w:jc w:val="center"/>
        <w:rPr/>
      </w:pPr>
      <w:r>
        <w:rPr>
          <w:rFonts w:cs="Arial" w:ascii="Arial" w:hAnsi="Arial"/>
          <w:b/>
        </w:rPr>
        <w:t>Área temática: Ciências Biológicas</w:t>
      </w:r>
    </w:p>
    <w:p>
      <w:pPr>
        <w:pStyle w:val="Normal"/>
        <w:spacing w:lineRule="auto" w:line="240" w:before="60" w:after="60"/>
        <w:ind w:right="142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60" w:after="60"/>
        <w:ind w:right="142" w:hanging="0"/>
        <w:jc w:val="center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Prospecção de atividade quitinoclástica no sistema digestório de </w:t>
      </w:r>
      <w:r>
        <w:rPr>
          <w:rFonts w:cs="Arial" w:ascii="Arial" w:hAnsi="Arial"/>
          <w:b/>
          <w:i/>
          <w:sz w:val="26"/>
          <w:szCs w:val="26"/>
        </w:rPr>
        <w:t>Erythrolamprus viridis</w:t>
      </w:r>
    </w:p>
    <w:p>
      <w:pPr>
        <w:pStyle w:val="Normal"/>
        <w:spacing w:lineRule="auto" w:line="240" w:before="60" w:after="60"/>
        <w:ind w:right="14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80" w:after="80"/>
        <w:jc w:val="center"/>
        <w:rPr/>
      </w:pPr>
      <w:r>
        <w:rPr>
          <w:rFonts w:cs="Arial" w:ascii="Arial" w:hAnsi="Arial"/>
        </w:rPr>
        <w:t>Francisco Augusto Santos de Azevedo Carioca, Daniel Cunha Passos, Emmanuel de Sousa Jereissati</w:t>
      </w:r>
    </w:p>
    <w:p>
      <w:pPr>
        <w:pStyle w:val="Normal"/>
        <w:spacing w:lineRule="auto" w:line="240" w:before="60" w:after="60"/>
        <w:ind w:right="14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80" w:after="80"/>
        <w:jc w:val="both"/>
        <w:rPr/>
      </w:pPr>
      <w:bookmarkStart w:id="0" w:name="__DdeLink__593_3647974364"/>
      <w:r>
        <w:rPr>
          <w:rFonts w:eastAsia="Times New Roman" w:cs="Arial" w:ascii="Arial" w:hAnsi="Arial"/>
          <w:bCs/>
          <w:iCs/>
        </w:rPr>
        <w:t>A capacidade de digerir quitina é essencial para diversos animais tendo em vista que este carboidrato é um dos mais amplamente distribuídos pelas teias tróficas da maioria dos ecossistemas. A serpente</w:t>
      </w:r>
      <w:r>
        <w:rPr>
          <w:rFonts w:eastAsia="Times New Roman" w:cs="Arial" w:ascii="Arial" w:hAnsi="Arial"/>
          <w:bCs/>
          <w:iCs/>
          <w:color w:val="000000"/>
        </w:rPr>
        <w:t xml:space="preserve"> </w:t>
      </w:r>
      <w:bookmarkStart w:id="1" w:name="__DdeLink__71_3337191402"/>
      <w:bookmarkStart w:id="2" w:name="__DdeLink__155_2207050859"/>
      <w:r>
        <w:rPr>
          <w:rFonts w:eastAsia="Times New Roman" w:cs="Arial" w:ascii="Arial" w:hAnsi="Arial"/>
          <w:bCs/>
          <w:i/>
          <w:iCs/>
          <w:color w:val="000000"/>
        </w:rPr>
        <w:t>Erythrolamprus viridis</w:t>
      </w:r>
      <w:bookmarkEnd w:id="2"/>
      <w:r>
        <w:rPr>
          <w:rFonts w:eastAsia="Times New Roman" w:cs="Arial" w:ascii="Arial" w:hAnsi="Arial"/>
          <w:bCs/>
          <w:i/>
          <w:iCs/>
          <w:color w:val="000000"/>
        </w:rPr>
        <w:t xml:space="preserve"> </w:t>
      </w:r>
      <w:r>
        <w:rPr>
          <w:rFonts w:eastAsia="Times New Roman" w:cs="Arial" w:ascii="Arial" w:hAnsi="Arial"/>
          <w:bCs/>
          <w:color w:val="000000"/>
        </w:rPr>
        <w:t xml:space="preserve">(Günther, 1862), conhecida localmente como Cobra-Verde, é endêmica do domínio Caatinga e possui hábito alimentar batracófago, isto é, tem sua dieta especializada em anfíbios anuros (Sapos, Rãs e Pererecas). Consequentemente, esta espécie </w:t>
      </w:r>
      <w:r>
        <w:rPr>
          <w:rFonts w:eastAsia="Times New Roman" w:cs="Arial" w:ascii="Arial" w:hAnsi="Arial"/>
          <w:bCs/>
          <w:iCs/>
          <w:color w:val="000000"/>
        </w:rPr>
        <w:t>ingere indiretamente grandes quantidades de material quitinoso consumidos por suas presa</w:t>
      </w:r>
      <w:bookmarkEnd w:id="1"/>
      <w:r>
        <w:rPr>
          <w:rFonts w:eastAsia="Times New Roman" w:cs="Arial" w:ascii="Arial" w:hAnsi="Arial"/>
          <w:bCs/>
          <w:iCs/>
          <w:color w:val="000000"/>
        </w:rPr>
        <w:t>s, fato que pode causar obstruções e lesões do seu trato gastro-intestinal se não forem eficientemente di</w:t>
      </w:r>
      <w:r>
        <w:rPr>
          <w:rFonts w:eastAsia="Times New Roman" w:cs="Arial" w:ascii="Arial" w:hAnsi="Arial"/>
          <w:bCs/>
          <w:iCs/>
          <w:color w:val="000000"/>
        </w:rPr>
        <w:t>g</w:t>
      </w:r>
      <w:r>
        <w:rPr>
          <w:rFonts w:eastAsia="Times New Roman" w:cs="Arial" w:ascii="Arial" w:hAnsi="Arial"/>
          <w:bCs/>
          <w:iCs/>
          <w:color w:val="000000"/>
        </w:rPr>
        <w:t xml:space="preserve">eridas. Contudo, a extensão de ocorrência de enzimas quitinolíticas entre os répteis é pouco conhecida, sendo basicamente registrada para alguns crocodilianos e lagartos. Com base nisso, nesta pesquisa avaliamos a ocorrência de atividade quitinolítica em </w:t>
      </w:r>
      <w:r>
        <w:rPr>
          <w:rFonts w:eastAsia="Times New Roman" w:cs="Arial" w:ascii="Arial" w:hAnsi="Arial"/>
          <w:bCs/>
          <w:i/>
          <w:iCs/>
          <w:color w:val="000000"/>
        </w:rPr>
        <w:t>E. viridis</w:t>
      </w:r>
      <w:r>
        <w:rPr>
          <w:rFonts w:eastAsia="Times New Roman" w:cs="Arial" w:ascii="Arial" w:hAnsi="Arial"/>
          <w:bCs/>
          <w:iCs/>
          <w:color w:val="000000"/>
        </w:rPr>
        <w:t xml:space="preserve">, além de comparar sua eficiência de degradação de quitina com aquela de lagartos insetívoros. Para isso, preparamos extratos celulares do trato gastrointestinal da espécie-alvo, bem como do lagarto </w:t>
      </w:r>
      <w:r>
        <w:rPr>
          <w:rFonts w:eastAsia="Times New Roman" w:cs="Arial" w:ascii="Arial" w:hAnsi="Arial"/>
          <w:bCs/>
          <w:i/>
          <w:iCs/>
          <w:color w:val="000000"/>
        </w:rPr>
        <w:t xml:space="preserve">Tropidurus hispidus </w:t>
      </w:r>
      <w:r>
        <w:rPr>
          <w:rFonts w:eastAsia="Times New Roman" w:cs="Arial" w:ascii="Arial" w:hAnsi="Arial"/>
          <w:bCs/>
          <w:iCs/>
          <w:color w:val="000000"/>
        </w:rPr>
        <w:t>(Spix, 1825), por maceração mecânica dos tecidos em tampão acetato (pH 5,6; 0,1 M) após congelamento em nitrogênio líquido. Os extratos de cada indivíduo foram padronizados na concentração protéica de 2 mg/mL e, posteriormente, analisados em triplicatas quanto ao seu potencial quitinolítico em testes de açúcar redutor no reagente de Schales a 420 nm, após sua incubação em quitina coloidal, a fim de detectar resíduos de N-acetil-glucosami</w:t>
      </w:r>
      <w:r>
        <w:rPr>
          <w:rFonts w:eastAsia="Times New Roman" w:cs="Arial" w:ascii="Arial" w:hAnsi="Arial"/>
          <w:bCs/>
          <w:iCs/>
          <w:color w:val="000000"/>
        </w:rPr>
        <w:t>n</w:t>
      </w:r>
      <w:r>
        <w:rPr>
          <w:rFonts w:eastAsia="Times New Roman" w:cs="Arial" w:ascii="Arial" w:hAnsi="Arial"/>
          <w:bCs/>
          <w:iCs/>
          <w:color w:val="000000"/>
        </w:rPr>
        <w:t xml:space="preserve">a e </w:t>
      </w:r>
      <w:r>
        <w:rPr>
          <w:rFonts w:eastAsia="Times New Roman" w:cs="Arial" w:ascii="Arial" w:hAnsi="Arial"/>
          <w:bCs/>
          <w:iCs/>
          <w:color w:val="000000"/>
          <w:sz w:val="22"/>
          <w:szCs w:val="22"/>
          <w:lang w:eastAsia="zh-CN"/>
        </w:rPr>
        <w:t>outros derivados da hidrólise da quitina</w:t>
      </w:r>
      <w:r>
        <w:rPr>
          <w:rFonts w:eastAsia="Times New Roman" w:cs="Arial" w:ascii="Arial" w:hAnsi="Arial"/>
          <w:bCs/>
          <w:iCs/>
          <w:color w:val="000000"/>
        </w:rPr>
        <w:t xml:space="preserve">. Os valores de absorbância observados nestes testes são negativamente relacionados à quantidade de açucares redutores na amostra, implicando que baixos valores refletem uma alta atividade quitinolítica. Ao todo quantificamos a atividade quitinásica em seis indivíduos de </w:t>
      </w:r>
      <w:r>
        <w:rPr>
          <w:rFonts w:eastAsia="Times New Roman" w:cs="Arial" w:ascii="Arial" w:hAnsi="Arial"/>
          <w:bCs/>
          <w:i/>
          <w:iCs/>
          <w:color w:val="000000"/>
        </w:rPr>
        <w:t>E. viridis</w:t>
      </w:r>
      <w:r>
        <w:rPr>
          <w:rFonts w:eastAsia="Times New Roman" w:cs="Arial" w:ascii="Arial" w:hAnsi="Arial"/>
          <w:bCs/>
          <w:iCs/>
          <w:color w:val="000000"/>
        </w:rPr>
        <w:t xml:space="preserve"> e dois indivíduos de </w:t>
      </w:r>
      <w:r>
        <w:rPr>
          <w:rFonts w:eastAsia="Times New Roman" w:cs="Arial" w:ascii="Arial" w:hAnsi="Arial"/>
          <w:bCs/>
          <w:i/>
          <w:iCs/>
          <w:color w:val="000000"/>
        </w:rPr>
        <w:t>T. hispidus</w:t>
      </w:r>
      <w:r>
        <w:rPr>
          <w:rFonts w:eastAsia="Times New Roman" w:cs="Arial" w:ascii="Arial" w:hAnsi="Arial"/>
          <w:bCs/>
          <w:iCs/>
          <w:color w:val="000000"/>
        </w:rPr>
        <w:t>, estes últimos atribuídos como controle positivo. Todos os indivíduos testados apresentaram atividade quitinásica, tendo havido diferença entre as espécies testadas (</w:t>
      </w:r>
      <w:r>
        <w:rPr>
          <w:rFonts w:eastAsia="Times New Roman" w:cs="Arial" w:ascii="Arial" w:hAnsi="Arial"/>
          <w:bCs/>
          <w:color w:val="000000"/>
        </w:rPr>
        <w:t>Kruskal-Wallis – chi = 24,06; p &lt; 0,01</w:t>
      </w:r>
      <w:r>
        <w:rPr>
          <w:rFonts w:eastAsia="Times New Roman" w:cs="Arial" w:ascii="Arial" w:hAnsi="Arial"/>
          <w:bCs/>
          <w:iCs/>
          <w:color w:val="000000"/>
        </w:rPr>
        <w:t xml:space="preserve">). A serpente </w:t>
      </w:r>
      <w:r>
        <w:rPr>
          <w:rFonts w:eastAsia="Times New Roman" w:cs="Arial" w:ascii="Arial" w:hAnsi="Arial"/>
          <w:bCs/>
          <w:i/>
          <w:iCs/>
          <w:color w:val="000000"/>
        </w:rPr>
        <w:t xml:space="preserve">E. viridis </w:t>
      </w:r>
      <w:r>
        <w:rPr>
          <w:rFonts w:eastAsia="Times New Roman" w:cs="Arial" w:ascii="Arial" w:hAnsi="Arial"/>
          <w:bCs/>
          <w:iCs/>
          <w:color w:val="000000"/>
        </w:rPr>
        <w:t xml:space="preserve">(média = -0,247 A) apresentou menor potencial quitinolítico quando comparada ao lagarto </w:t>
      </w:r>
      <w:r>
        <w:rPr>
          <w:rFonts w:eastAsia="Times New Roman" w:cs="Arial" w:ascii="Arial" w:hAnsi="Arial"/>
          <w:bCs/>
          <w:i/>
          <w:iCs/>
          <w:color w:val="000000"/>
        </w:rPr>
        <w:t>T. hispidus</w:t>
      </w:r>
      <w:r>
        <w:rPr>
          <w:rFonts w:eastAsia="Times New Roman" w:cs="Arial" w:ascii="Arial" w:hAnsi="Arial"/>
          <w:bCs/>
          <w:color w:val="000000"/>
        </w:rPr>
        <w:t xml:space="preserve"> (média = -0,457 A) (</w:t>
      </w:r>
      <w:r>
        <w:rPr>
          <w:rFonts w:eastAsia="Times New Roman" w:cs="Arial" w:ascii="Arial" w:hAnsi="Arial"/>
          <w:bCs/>
          <w:color w:val="000000"/>
        </w:rPr>
        <w:t xml:space="preserve">Post-hoc </w:t>
      </w:r>
      <w:r>
        <w:rPr>
          <w:rFonts w:eastAsia="Times New Roman" w:cs="Arial" w:ascii="Arial" w:hAnsi="Arial"/>
          <w:bCs/>
          <w:color w:val="000000"/>
        </w:rPr>
        <w:t>Dunn Test - p &lt; 0,01. Ambos os tratamentos diferiram do controle negativo (média = 0,558 A) (</w:t>
      </w:r>
      <w:r>
        <w:rPr>
          <w:rFonts w:eastAsia="Times New Roman" w:cs="Arial" w:ascii="Arial" w:hAnsi="Arial"/>
          <w:bCs/>
          <w:color w:val="000000"/>
        </w:rPr>
        <w:t xml:space="preserve">Post-hoc </w:t>
      </w:r>
      <w:r>
        <w:rPr>
          <w:rFonts w:eastAsia="Times New Roman" w:cs="Arial" w:ascii="Arial" w:hAnsi="Arial"/>
          <w:bCs/>
          <w:color w:val="000000"/>
        </w:rPr>
        <w:t xml:space="preserve">Dunn Test - p &lt; 0,01 para todos os pares). Estes resultados demonstraram de forma inédita a capacidade da serpente </w:t>
      </w:r>
      <w:r>
        <w:rPr>
          <w:rFonts w:eastAsia="Times New Roman" w:cs="Arial" w:ascii="Arial" w:hAnsi="Arial"/>
          <w:bCs/>
          <w:i/>
          <w:color w:val="000000"/>
        </w:rPr>
        <w:t>E. viridis</w:t>
      </w:r>
      <w:r>
        <w:rPr>
          <w:rFonts w:eastAsia="Times New Roman" w:cs="Arial" w:ascii="Arial" w:hAnsi="Arial"/>
          <w:bCs/>
          <w:color w:val="000000"/>
        </w:rPr>
        <w:t xml:space="preserve"> de digerir quitina. Além disso, conforme esperado, as evidências bioquímicas revelaram que o potencial quitinolítico desta serpente batracófaga é menor que de um lagarto insetívoro. Estes achados contribuem para o entendimento da fisiologia digestiva de répteis escamados (Squamata) de forma geral, bem como ampliam o conhecimento sobre os processos metabólicos que subsidiam o repertório comportamental alimentar de serpentes batracófagas.</w:t>
      </w:r>
      <w:bookmarkEnd w:id="0"/>
    </w:p>
    <w:p>
      <w:pPr>
        <w:pStyle w:val="Normal"/>
        <w:spacing w:lineRule="auto" w:line="240" w:before="60" w:after="60"/>
        <w:ind w:right="142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60" w:after="60"/>
        <w:ind w:right="142" w:hanging="0"/>
        <w:jc w:val="both"/>
        <w:rPr/>
      </w:pPr>
      <w:r>
        <w:rPr>
          <w:rFonts w:cs="Arial" w:ascii="Arial" w:hAnsi="Arial"/>
          <w:b/>
        </w:rPr>
        <w:t>Palavras-chave: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anurofagia</w:t>
      </w:r>
      <w:r>
        <w:rPr>
          <w:rFonts w:cs="Arial" w:ascii="Arial" w:hAnsi="Arial"/>
        </w:rPr>
        <w:t xml:space="preserve">, bioquímica, ecologia comportamental, </w:t>
      </w:r>
      <w:r>
        <w:rPr>
          <w:rFonts w:eastAsia="Times New Roman" w:cs="Arial" w:ascii="Arial" w:hAnsi="Arial"/>
          <w:bCs/>
          <w:color w:val="000000"/>
        </w:rPr>
        <w:t>quitinase, serpentes.</w:t>
      </w:r>
    </w:p>
    <w:p>
      <w:pPr>
        <w:pStyle w:val="Normal"/>
        <w:spacing w:lineRule="auto" w:line="240" w:before="60" w:after="60"/>
        <w:ind w:right="142" w:hanging="0"/>
        <w:jc w:val="both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60" w:after="60"/>
        <w:ind w:right="142" w:hanging="0"/>
        <w:jc w:val="both"/>
        <w:rPr/>
      </w:pPr>
      <w:r>
        <w:rPr>
          <w:rFonts w:cs="Arial" w:ascii="Arial" w:hAnsi="Arial"/>
          <w:b/>
        </w:rPr>
        <w:t>Agência financiadora:</w:t>
      </w:r>
      <w:r>
        <w:rPr>
          <w:rFonts w:cs="Arial" w:ascii="Arial" w:hAnsi="Arial"/>
        </w:rPr>
        <w:t xml:space="preserve"> Conselho Nacional de Desenvolvimento Científico e Tecnológico.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12" w:space="1" w:color="C45911"/>
      </w:pBdr>
      <w:jc w:val="right"/>
      <w:rPr/>
    </w:pPr>
    <w:r>
      <w:rPr>
        <w:rFonts w:cs="Arial" w:ascii="Arial" w:hAnsi="Arial"/>
        <w:b/>
        <w:color w:val="1F4E79"/>
        <w:sz w:val="20"/>
        <w:szCs w:val="20"/>
      </w:rPr>
      <w:fldChar w:fldCharType="begin"/>
    </w:r>
    <w:r>
      <w:rPr>
        <w:sz w:val="20"/>
        <w:b/>
        <w:szCs w:val="20"/>
        <w:rFonts w:cs="Arial" w:ascii="Arial" w:hAnsi="Arial"/>
      </w:rPr>
      <w:instrText> PAGE </w:instrText>
    </w:r>
    <w:r>
      <w:rPr>
        <w:sz w:val="20"/>
        <w:b/>
        <w:szCs w:val="20"/>
        <w:rFonts w:cs="Arial" w:ascii="Arial" w:hAnsi="Arial"/>
      </w:rPr>
      <w:fldChar w:fldCharType="separate"/>
    </w:r>
    <w:r>
      <w:rPr>
        <w:sz w:val="20"/>
        <w:b/>
        <w:szCs w:val="20"/>
        <w:rFonts w:cs="Arial" w:ascii="Arial" w:hAnsi="Arial"/>
      </w:rPr>
      <w:t>1</w:t>
    </w:r>
    <w:r>
      <w:rPr>
        <w:sz w:val="20"/>
        <w:b/>
        <w:szCs w:val="20"/>
        <w:rFonts w:cs="Arial" w:ascii="Arial" w:hAnsi="Arial"/>
      </w:rPr>
      <w:fldChar w:fldCharType="end"/>
    </w:r>
  </w:p>
  <w:p>
    <w:pPr>
      <w:pStyle w:val="Rodap"/>
      <w:jc w:val="right"/>
      <w:rPr>
        <w:rFonts w:ascii="Arial" w:hAnsi="Arial" w:cs="Arial"/>
        <w:b/>
        <w:b/>
        <w:color w:val="1F4E79"/>
        <w:sz w:val="20"/>
        <w:szCs w:val="20"/>
      </w:rPr>
    </w:pPr>
    <w:r>
      <w:rPr>
        <w:rFonts w:cs="Arial" w:ascii="Arial" w:hAnsi="Arial"/>
        <w:b/>
        <w:color w:val="1F4E79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257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6958"/>
      <w:gridCol w:w="2298"/>
    </w:tblGrid>
    <w:tr>
      <w:trPr/>
      <w:tc>
        <w:tcPr>
          <w:tcW w:w="6958" w:type="dxa"/>
          <w:tcBorders>
            <w:bottom w:val="single" w:sz="8" w:space="0" w:color="C45911"/>
          </w:tcBorders>
          <w:shd w:color="auto" w:fill="auto" w:val="clear"/>
          <w:vAlign w:val="center"/>
        </w:tcPr>
        <w:p>
          <w:pPr>
            <w:pStyle w:val="Cabealho"/>
            <w:spacing w:before="60" w:after="60"/>
            <w:rPr>
              <w:rFonts w:ascii="Arial" w:hAnsi="Arial" w:cs="Arial"/>
              <w:b/>
              <w:b/>
              <w:color w:val="ED7D31"/>
              <w:sz w:val="20"/>
              <w:szCs w:val="20"/>
            </w:rPr>
          </w:pPr>
          <w:r>
            <w:rPr/>
            <w:drawing>
              <wp:inline distT="0" distB="0" distL="0" distR="0">
                <wp:extent cx="3403600" cy="889000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9" t="-112" r="-29" b="-1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0" cy="88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8" w:type="dxa"/>
          <w:tcBorders>
            <w:bottom w:val="single" w:sz="8" w:space="0" w:color="C45911"/>
          </w:tcBorders>
          <w:shd w:color="auto" w:fill="auto" w:val="clear"/>
          <w:vAlign w:val="center"/>
        </w:tcPr>
        <w:p>
          <w:pPr>
            <w:pStyle w:val="Cabealho"/>
            <w:snapToGrid w:val="false"/>
            <w:spacing w:before="60" w:after="60"/>
            <w:jc w:val="right"/>
            <w:rPr>
              <w:rFonts w:ascii="Arial" w:hAnsi="Arial" w:cs="Arial"/>
              <w:b/>
              <w:b/>
              <w:color w:val="ED7D31"/>
              <w:sz w:val="20"/>
              <w:szCs w:val="20"/>
            </w:rPr>
          </w:pPr>
          <w:r>
            <w:rPr>
              <w:rFonts w:cs="Arial" w:ascii="Arial" w:hAnsi="Arial"/>
              <w:b/>
              <w:color w:val="ED7D31"/>
              <w:sz w:val="20"/>
              <w:szCs w:val="20"/>
            </w:rPr>
          </w:r>
        </w:p>
        <w:p>
          <w:pPr>
            <w:pStyle w:val="Cabealho"/>
            <w:spacing w:before="60" w:after="60"/>
            <w:jc w:val="right"/>
            <w:rPr>
              <w:rFonts w:ascii="Arial" w:hAnsi="Arial" w:cs="Arial"/>
              <w:b/>
              <w:b/>
              <w:color w:val="ED7D31"/>
              <w:sz w:val="20"/>
              <w:szCs w:val="20"/>
            </w:rPr>
          </w:pPr>
          <w:r>
            <w:rPr>
              <w:rFonts w:cs="Arial" w:ascii="Arial" w:hAnsi="Arial"/>
              <w:b/>
              <w:color w:val="ED7D31"/>
              <w:sz w:val="20"/>
              <w:szCs w:val="20"/>
            </w:rPr>
          </w:r>
        </w:p>
        <w:p>
          <w:pPr>
            <w:pStyle w:val="Cabealho"/>
            <w:spacing w:before="60" w:after="60"/>
            <w:jc w:val="right"/>
            <w:rPr>
              <w:rFonts w:ascii="Arial" w:hAnsi="Arial" w:cs="Arial"/>
              <w:b/>
              <w:b/>
              <w:color w:val="ED7D31"/>
              <w:sz w:val="20"/>
              <w:szCs w:val="20"/>
            </w:rPr>
          </w:pPr>
          <w:r>
            <w:rPr>
              <w:rFonts w:cs="Arial" w:ascii="Arial" w:hAnsi="Arial"/>
              <w:b/>
              <w:color w:val="ED7D31"/>
              <w:sz w:val="20"/>
              <w:szCs w:val="20"/>
            </w:rPr>
          </w:r>
        </w:p>
        <w:p>
          <w:pPr>
            <w:pStyle w:val="Cabealho"/>
            <w:spacing w:before="60" w:after="60"/>
            <w:jc w:val="right"/>
            <w:rPr/>
          </w:pPr>
          <w:r>
            <w:rPr>
              <w:rFonts w:cs="Arial" w:ascii="Arial" w:hAnsi="Arial"/>
              <w:b/>
              <w:color w:val="ED7D31"/>
              <w:sz w:val="20"/>
              <w:szCs w:val="20"/>
            </w:rPr>
            <w:t>Anais 2020</w:t>
          </w:r>
        </w:p>
        <w:p>
          <w:pPr>
            <w:pStyle w:val="Cabealho"/>
            <w:spacing w:before="60" w:after="60"/>
            <w:jc w:val="right"/>
            <w:rPr/>
          </w:pPr>
          <w:r>
            <w:rPr>
              <w:rFonts w:cs="Arial" w:ascii="Arial" w:hAnsi="Arial"/>
              <w:b/>
              <w:color w:val="ED7D31"/>
              <w:sz w:val="20"/>
              <w:szCs w:val="20"/>
            </w:rPr>
            <w:t>Mossoró-RN</w:t>
          </w:r>
        </w:p>
      </w:tc>
    </w:tr>
  </w:tbl>
  <w:p>
    <w:pPr>
      <w:pStyle w:val="Cabealho"/>
      <w:spacing w:before="60" w:after="60"/>
      <w:rPr>
        <w:rFonts w:ascii="Times New Roman" w:hAnsi="Times New Roman"/>
        <w:b/>
        <w:b/>
        <w:color w:val="ED7D31"/>
        <w:sz w:val="20"/>
        <w:szCs w:val="20"/>
      </w:rPr>
    </w:pPr>
    <w:r>
      <w:rPr>
        <w:rFonts w:ascii="Times New Roman" w:hAnsi="Times New Roman"/>
        <w:b/>
        <w:color w:val="ED7D31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50"/>
  <w:embedSystemFonts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semiHidden="0" w:unhideWhenUsed="0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Ttulo2">
    <w:name w:val="Heading 2"/>
    <w:basedOn w:val="Ttulo11"/>
    <w:next w:val="Corpodotexto"/>
    <w:qFormat/>
    <w:pPr>
      <w:spacing w:before="200" w:after="120"/>
      <w:outlineLvl w:val="1"/>
    </w:pPr>
    <w:rPr>
      <w:rFonts w:ascii="Liberation Serif" w:hAnsi="Liberation Serif" w:eastAsia="NSimSu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ontepargpadro1" w:customStyle="1">
    <w:name w:val="Fonte parág. padrão1"/>
    <w:qFormat/>
    <w:rPr/>
  </w:style>
  <w:style w:type="character" w:styleId="CabealhoChar" w:customStyle="1">
    <w:name w:val="Cabeçalho Char"/>
    <w:basedOn w:val="Fontepargpadro1"/>
    <w:qFormat/>
    <w:rPr/>
  </w:style>
  <w:style w:type="character" w:styleId="RodapChar" w:customStyle="1">
    <w:name w:val="Rodapé Char"/>
    <w:basedOn w:val="Fontepargpadro1"/>
    <w:qFormat/>
    <w:rPr/>
  </w:style>
  <w:style w:type="character" w:styleId="Ttulo1Char" w:customStyle="1">
    <w:name w:val="Título 1 Char"/>
    <w:qFormat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Refdecomentrio1" w:customStyle="1">
    <w:name w:val="Ref. de comentário1"/>
    <w:qFormat/>
    <w:rPr>
      <w:sz w:val="16"/>
      <w:szCs w:val="16"/>
    </w:rPr>
  </w:style>
  <w:style w:type="character" w:styleId="TextodecomentrioChar" w:customStyle="1">
    <w:name w:val="Texto de comentário Char"/>
    <w:qFormat/>
    <w:rPr/>
  </w:style>
  <w:style w:type="character" w:styleId="AssuntodocomentrioChar" w:customStyle="1">
    <w:name w:val="Assunto do comentário Char"/>
    <w:qFormat/>
    <w:rPr>
      <w:b/>
      <w:bCs/>
    </w:rPr>
  </w:style>
  <w:style w:type="character" w:styleId="TextodebaloChar" w:customStyle="1">
    <w:name w:val="Texto de balão Char"/>
    <w:qFormat/>
    <w:rPr>
      <w:rFonts w:ascii="Segoe UI" w:hAnsi="Segoe UI" w:cs="Segoe UI"/>
      <w:sz w:val="18"/>
      <w:szCs w:val="18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OCHeading">
    <w:name w:val="TOC Heading"/>
    <w:basedOn w:val="Ttulo1"/>
    <w:next w:val="Normal"/>
    <w:qFormat/>
    <w:pPr/>
    <w:rPr/>
  </w:style>
  <w:style w:type="paragraph" w:styleId="Textodecomentrio1" w:customStyle="1">
    <w:name w:val="Texto de comentário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xtodecomentrio1"/>
    <w:next w:val="Textodecomentrio1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LibreOffice/6.3.6.2$Windows_X86_64 LibreOffice_project/2196df99b074d8a661f4036fca8fa0cbfa33a497</Application>
  <Pages>1</Pages>
  <Words>472</Words>
  <Characters>2910</Characters>
  <CharactersWithSpaces>3374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2020-10-24T01:59:00Z</dcterms:created>
  <dc:creator>Thaiseany Freitas Rêgo</dc:creator>
  <dc:description/>
  <dc:language>pt-BR</dc:language>
  <cp:lastModifiedBy/>
  <cp:lastPrinted>1995-11-21T20:41:00Z</cp:lastPrinted>
  <dcterms:modified xsi:type="dcterms:W3CDTF">2020-10-24T21:24:27Z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