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DDE" w14:textId="44B7762B" w:rsidR="00DF12FA" w:rsidRPr="001912D6" w:rsidRDefault="00786104" w:rsidP="004F68B6">
      <w:pPr>
        <w:spacing w:after="103"/>
        <w:ind w:left="728"/>
      </w:pPr>
      <w:r>
        <w:rPr>
          <w:rFonts w:ascii="Times New Roman" w:eastAsia="Times New Roman" w:hAnsi="Times New Roman" w:cs="Times New Roman"/>
          <w:b/>
          <w:i/>
          <w:sz w:val="28"/>
        </w:rPr>
        <w:t>Potencial, oportunidades e desafios para a geração fotovoltaica em países da América Latina e Caribe</w:t>
      </w:r>
    </w:p>
    <w:p w14:paraId="3F4E29F3" w14:textId="53EE9569" w:rsidR="00DF12FA" w:rsidRPr="001912D6" w:rsidRDefault="001912D6">
      <w:pPr>
        <w:spacing w:after="0"/>
        <w:ind w:left="10" w:right="216" w:hanging="10"/>
        <w:jc w:val="right"/>
      </w:pPr>
      <w:r w:rsidRPr="001912D6">
        <w:rPr>
          <w:rFonts w:ascii="Times New Roman" w:eastAsia="Times New Roman" w:hAnsi="Times New Roman" w:cs="Times New Roman"/>
          <w:sz w:val="20"/>
        </w:rPr>
        <w:t>Aldren Vernersbach, Instituto de Economia/Universidade Federal do Rio de Janeiro (I</w:t>
      </w:r>
      <w:r>
        <w:rPr>
          <w:rFonts w:ascii="Times New Roman" w:eastAsia="Times New Roman" w:hAnsi="Times New Roman" w:cs="Times New Roman"/>
          <w:sz w:val="20"/>
        </w:rPr>
        <w:t xml:space="preserve">E/UFRJ), +55 21 999918598, </w:t>
      </w:r>
      <w:hyperlink r:id="rId6" w:history="1">
        <w:r w:rsidRPr="00CA0671">
          <w:rPr>
            <w:rStyle w:val="Hyperlink"/>
            <w:rFonts w:ascii="Times New Roman" w:eastAsia="Times New Roman" w:hAnsi="Times New Roman" w:cs="Times New Roman"/>
            <w:sz w:val="20"/>
          </w:rPr>
          <w:t>aldren.vernersbach@gmail.com</w:t>
        </w:r>
      </w:hyperlink>
      <w:r w:rsidR="00C54F77" w:rsidRPr="001912D6">
        <w:rPr>
          <w:rFonts w:ascii="Times New Roman" w:eastAsia="Times New Roman" w:hAnsi="Times New Roman" w:cs="Times New Roman"/>
          <w:sz w:val="20"/>
        </w:rPr>
        <w:t xml:space="preserve"> </w:t>
      </w:r>
    </w:p>
    <w:p w14:paraId="34AC193C" w14:textId="265D9200" w:rsidR="00DF12FA" w:rsidRPr="001912D6" w:rsidRDefault="001912D6">
      <w:pPr>
        <w:spacing w:after="0"/>
        <w:ind w:left="10" w:right="216" w:hanging="10"/>
        <w:jc w:val="right"/>
      </w:pPr>
      <w:r w:rsidRPr="001912D6">
        <w:rPr>
          <w:rFonts w:ascii="Times New Roman" w:eastAsia="Times New Roman" w:hAnsi="Times New Roman" w:cs="Times New Roman"/>
          <w:sz w:val="20"/>
        </w:rPr>
        <w:t>Helder Queiroz Pinto Junior, Instituto de Economia/Universidade Federal do Rio de Janeiro (I</w:t>
      </w:r>
      <w:r>
        <w:rPr>
          <w:rFonts w:ascii="Times New Roman" w:eastAsia="Times New Roman" w:hAnsi="Times New Roman" w:cs="Times New Roman"/>
          <w:sz w:val="20"/>
        </w:rPr>
        <w:t xml:space="preserve">E/UFRJ), +55 21 992165981, </w:t>
      </w:r>
      <w:hyperlink r:id="rId7" w:history="1">
        <w:r w:rsidRPr="00CA0671">
          <w:rPr>
            <w:rStyle w:val="Hyperlink"/>
            <w:rFonts w:ascii="Times New Roman" w:eastAsia="Times New Roman" w:hAnsi="Times New Roman" w:cs="Times New Roman"/>
            <w:sz w:val="20"/>
          </w:rPr>
          <w:t>helder@ie.ufrj.br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54F77" w:rsidRPr="001912D6">
        <w:rPr>
          <w:rFonts w:ascii="Times New Roman" w:eastAsia="Times New Roman" w:hAnsi="Times New Roman" w:cs="Times New Roman"/>
          <w:sz w:val="20"/>
        </w:rPr>
        <w:t xml:space="preserve"> </w:t>
      </w:r>
    </w:p>
    <w:p w14:paraId="169BE6FE" w14:textId="77777777" w:rsidR="00DF12FA" w:rsidRDefault="00C54F77" w:rsidP="008428EF">
      <w:pPr>
        <w:spacing w:before="240"/>
        <w:ind w:left="723" w:hanging="10"/>
        <w:jc w:val="both"/>
      </w:pPr>
      <w:r>
        <w:rPr>
          <w:rFonts w:ascii="Arial" w:eastAsia="Arial" w:hAnsi="Arial" w:cs="Arial"/>
          <w:b/>
          <w:sz w:val="24"/>
        </w:rPr>
        <w:t xml:space="preserve">Overview </w:t>
      </w:r>
    </w:p>
    <w:p w14:paraId="02303662" w14:textId="67F5ED15" w:rsidR="001912D6" w:rsidRDefault="001912D6" w:rsidP="005B3088">
      <w:pPr>
        <w:ind w:left="723" w:hanging="1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912D6">
        <w:rPr>
          <w:rFonts w:ascii="Times New Roman" w:hAnsi="Times New Roman" w:cs="Times New Roman"/>
          <w:iCs/>
          <w:sz w:val="20"/>
          <w:szCs w:val="20"/>
        </w:rPr>
        <w:t xml:space="preserve">A mudança climática </w:t>
      </w:r>
      <w:r w:rsidR="007F6B44">
        <w:rPr>
          <w:rFonts w:ascii="Times New Roman" w:hAnsi="Times New Roman" w:cs="Times New Roman"/>
          <w:iCs/>
          <w:sz w:val="20"/>
          <w:szCs w:val="20"/>
        </w:rPr>
        <w:t>resultante d</w:t>
      </w:r>
      <w:r w:rsidRPr="001912D6">
        <w:rPr>
          <w:rFonts w:ascii="Times New Roman" w:hAnsi="Times New Roman" w:cs="Times New Roman"/>
          <w:iCs/>
          <w:sz w:val="20"/>
          <w:szCs w:val="20"/>
        </w:rPr>
        <w:t>o aquecimento global é o desafio contemporâneo,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posicionado no cerne das discussões da sociedade. A meta de limitar o aquecimento do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planeta em 1,5º até 2050, constitui-se num objetivo pactuado entre várias nações,</w:t>
      </w:r>
      <w:r w:rsidR="00E46B4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consolidado no Acordo de Paris, em 2015.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Essa busca por um novo modelo de economia que seja ambientalmente sustentável tem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promovido mudanças em vários setores econômicos, destacadamente em segmentos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transversais à economia, como</w:t>
      </w:r>
      <w:r w:rsidR="0051041D">
        <w:rPr>
          <w:rFonts w:ascii="Times New Roman" w:hAnsi="Times New Roman" w:cs="Times New Roman"/>
          <w:iCs/>
          <w:sz w:val="20"/>
          <w:szCs w:val="20"/>
        </w:rPr>
        <w:t>,</w:t>
      </w:r>
      <w:r w:rsidRPr="001912D6">
        <w:rPr>
          <w:rFonts w:ascii="Times New Roman" w:hAnsi="Times New Roman" w:cs="Times New Roman"/>
          <w:iCs/>
          <w:sz w:val="20"/>
          <w:szCs w:val="20"/>
        </w:rPr>
        <w:t xml:space="preserve"> o setor de energia. Nesse contexto, a transição energética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é um dos meios de arrefecer a mudança climática, por meio da descarbonização, substituindo fontes de energia de origem fóssil por fontes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renováveis.</w:t>
      </w:r>
      <w:r w:rsidR="00431A9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Os desafios para que essa transformação seja perpetrada envolvem todo o planeta e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exigem políticas multifacetadas. Contudo, o distinto perfil energético de cada continente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e de cada país imprime particularidades a esse processo. Logo, a inserção de fontes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renováveis na matriz de geração de energia é peculiar a cada região e nação, em face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das variadas oportunidades decorrentes de diferentes tipos de fonte energética para 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avanço na redução das emissões e das barreiras de cunho geográfico, político e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regulatório presentes em cada local.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Assim, cada região</w:t>
      </w:r>
      <w:r w:rsidR="009C0A6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possui um desafio para a transição sustentável, com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especificidades quanto (i) às suas emissões, (ii) configuração de suas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matrizes de energia – que apontam a dimensão da mudança –, (iii) possíveis trajetórias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de transformação e (iv) oportunidades para o aproveitamento desse processo em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estratégias de desenvolvimento socioeconômico.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Em face da complexidade e diversidade de contextos para a transição energética em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cada região do mundo, bem como da premência de se debruçar sobre áreas em que 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 xml:space="preserve">descarbonização é promissora, </w:t>
      </w:r>
      <w:r w:rsidR="0051041D">
        <w:rPr>
          <w:rFonts w:ascii="Times New Roman" w:hAnsi="Times New Roman" w:cs="Times New Roman"/>
          <w:iCs/>
          <w:sz w:val="20"/>
          <w:szCs w:val="20"/>
        </w:rPr>
        <w:t xml:space="preserve">o foco desse estudo é </w:t>
      </w:r>
      <w:r w:rsidRPr="001912D6">
        <w:rPr>
          <w:rFonts w:ascii="Times New Roman" w:hAnsi="Times New Roman" w:cs="Times New Roman"/>
          <w:iCs/>
          <w:sz w:val="20"/>
          <w:szCs w:val="20"/>
        </w:rPr>
        <w:t>a região da América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Latina e Caribe (ALC). O objetivo é construir um panorama do desenvolvimento das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fontes renováveis, foca</w:t>
      </w:r>
      <w:r w:rsidR="009C0A6B">
        <w:rPr>
          <w:rFonts w:ascii="Times New Roman" w:hAnsi="Times New Roman" w:cs="Times New Roman"/>
          <w:iCs/>
          <w:sz w:val="20"/>
          <w:szCs w:val="20"/>
        </w:rPr>
        <w:t>ndo</w:t>
      </w:r>
      <w:r w:rsidRPr="001912D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C0A6B">
        <w:rPr>
          <w:rFonts w:ascii="Times New Roman" w:hAnsi="Times New Roman" w:cs="Times New Roman"/>
          <w:iCs/>
          <w:sz w:val="20"/>
          <w:szCs w:val="20"/>
        </w:rPr>
        <w:t>n</w:t>
      </w:r>
      <w:r w:rsidRPr="001912D6">
        <w:rPr>
          <w:rFonts w:ascii="Times New Roman" w:hAnsi="Times New Roman" w:cs="Times New Roman"/>
          <w:iCs/>
          <w:sz w:val="20"/>
          <w:szCs w:val="20"/>
        </w:rPr>
        <w:t>a geração solar fotovoltaica, intentando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demonstrar 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evolução de tal fonte, o cenário da cadeia produtiva do segmento na região e as políticas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destinadas à expansão do uso dessa fonte e promoção de desenvolvimento econômico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912D6">
        <w:rPr>
          <w:rFonts w:ascii="Times New Roman" w:hAnsi="Times New Roman" w:cs="Times New Roman"/>
          <w:iCs/>
          <w:sz w:val="20"/>
          <w:szCs w:val="20"/>
        </w:rPr>
        <w:t>baseado na transição energética sustentável.</w:t>
      </w:r>
      <w:r w:rsidR="005B3088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4D61310" w14:textId="1B848E21" w:rsidR="00DF12FA" w:rsidRPr="001912D6" w:rsidRDefault="00C54F77" w:rsidP="005B3088">
      <w:pPr>
        <w:ind w:left="723" w:hanging="10"/>
        <w:jc w:val="both"/>
      </w:pPr>
      <w:r w:rsidRPr="001912D6">
        <w:rPr>
          <w:rFonts w:ascii="Arial" w:eastAsia="Arial" w:hAnsi="Arial" w:cs="Arial"/>
          <w:b/>
          <w:sz w:val="24"/>
        </w:rPr>
        <w:t xml:space="preserve">Methods </w:t>
      </w:r>
    </w:p>
    <w:p w14:paraId="7B6DA808" w14:textId="2A66E907" w:rsidR="005B3088" w:rsidRDefault="00D74EA6" w:rsidP="005B3088">
      <w:pPr>
        <w:spacing w:after="320"/>
        <w:ind w:left="728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 xml:space="preserve">Esse </w:t>
      </w:r>
      <w:r w:rsidR="00065A63">
        <w:rPr>
          <w:rFonts w:ascii="Times New Roman" w:eastAsia="Times New Roman" w:hAnsi="Times New Roman" w:cs="Times New Roman"/>
          <w:bCs/>
          <w:sz w:val="20"/>
        </w:rPr>
        <w:t xml:space="preserve">artigo é um estudo qualitativo sobre as políticas para </w:t>
      </w:r>
      <w:r>
        <w:rPr>
          <w:rFonts w:ascii="Times New Roman" w:eastAsia="Times New Roman" w:hAnsi="Times New Roman" w:cs="Times New Roman"/>
          <w:bCs/>
          <w:sz w:val="20"/>
        </w:rPr>
        <w:t>a geração de energia fotovoltaica</w:t>
      </w:r>
      <w:r w:rsidR="00065A63">
        <w:rPr>
          <w:rFonts w:ascii="Times New Roman" w:eastAsia="Times New Roman" w:hAnsi="Times New Roman" w:cs="Times New Roman"/>
          <w:bCs/>
          <w:sz w:val="20"/>
        </w:rPr>
        <w:t xml:space="preserve">, </w:t>
      </w:r>
      <w:r w:rsidR="0051041D">
        <w:rPr>
          <w:rFonts w:ascii="Times New Roman" w:eastAsia="Times New Roman" w:hAnsi="Times New Roman" w:cs="Times New Roman"/>
          <w:bCs/>
          <w:sz w:val="20"/>
        </w:rPr>
        <w:t xml:space="preserve">sendo também analisados </w:t>
      </w:r>
      <w:r w:rsidR="00065A63">
        <w:rPr>
          <w:rFonts w:ascii="Times New Roman" w:eastAsia="Times New Roman" w:hAnsi="Times New Roman" w:cs="Times New Roman"/>
          <w:bCs/>
          <w:sz w:val="20"/>
        </w:rPr>
        <w:t xml:space="preserve">dados quantitativos </w:t>
      </w:r>
      <w:r w:rsidR="0051041D">
        <w:rPr>
          <w:rFonts w:ascii="Times New Roman" w:eastAsia="Times New Roman" w:hAnsi="Times New Roman" w:cs="Times New Roman"/>
          <w:bCs/>
          <w:sz w:val="20"/>
        </w:rPr>
        <w:t>sobre a</w:t>
      </w:r>
      <w:r w:rsidR="00065A63">
        <w:rPr>
          <w:rFonts w:ascii="Times New Roman" w:eastAsia="Times New Roman" w:hAnsi="Times New Roman" w:cs="Times New Roman"/>
          <w:bCs/>
          <w:sz w:val="20"/>
        </w:rPr>
        <w:t xml:space="preserve"> evolução da matriz energética na ALC, objetivando apontar o panorama de desenvolvimento do segmento na região e oportunidades </w:t>
      </w:r>
      <w:r w:rsidR="009C0A6B">
        <w:rPr>
          <w:rFonts w:ascii="Times New Roman" w:eastAsia="Times New Roman" w:hAnsi="Times New Roman" w:cs="Times New Roman"/>
          <w:bCs/>
          <w:sz w:val="20"/>
        </w:rPr>
        <w:t xml:space="preserve">em </w:t>
      </w:r>
      <w:r w:rsidR="00065A63">
        <w:rPr>
          <w:rFonts w:ascii="Times New Roman" w:eastAsia="Times New Roman" w:hAnsi="Times New Roman" w:cs="Times New Roman"/>
          <w:bCs/>
          <w:sz w:val="20"/>
        </w:rPr>
        <w:t>nicho</w:t>
      </w:r>
      <w:r w:rsidR="009C0A6B">
        <w:rPr>
          <w:rFonts w:ascii="Times New Roman" w:eastAsia="Times New Roman" w:hAnsi="Times New Roman" w:cs="Times New Roman"/>
          <w:bCs/>
          <w:sz w:val="20"/>
        </w:rPr>
        <w:t>s</w:t>
      </w:r>
      <w:r w:rsidR="00065A63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9C0A6B">
        <w:rPr>
          <w:rFonts w:ascii="Times New Roman" w:eastAsia="Times New Roman" w:hAnsi="Times New Roman" w:cs="Times New Roman"/>
          <w:bCs/>
          <w:sz w:val="20"/>
        </w:rPr>
        <w:t>d</w:t>
      </w:r>
      <w:r w:rsidR="00065A63">
        <w:rPr>
          <w:rFonts w:ascii="Times New Roman" w:eastAsia="Times New Roman" w:hAnsi="Times New Roman" w:cs="Times New Roman"/>
          <w:bCs/>
          <w:sz w:val="20"/>
        </w:rPr>
        <w:t xml:space="preserve">essa indústria. </w:t>
      </w:r>
      <w:r>
        <w:rPr>
          <w:rFonts w:ascii="Times New Roman" w:eastAsia="Times New Roman" w:hAnsi="Times New Roman" w:cs="Times New Roman"/>
          <w:bCs/>
          <w:sz w:val="20"/>
        </w:rPr>
        <w:t>Foram analisadas as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 xml:space="preserve"> mais relevantes políticas setoriais com</w:t>
      </w:r>
      <w:r w:rsidR="001912D6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>foco na expansão do segmento de geração solar fotovoltaica</w:t>
      </w:r>
      <w:r w:rsidR="00A9577B">
        <w:rPr>
          <w:rFonts w:ascii="Times New Roman" w:eastAsia="Times New Roman" w:hAnsi="Times New Roman" w:cs="Times New Roman"/>
          <w:bCs/>
          <w:sz w:val="20"/>
        </w:rPr>
        <w:t xml:space="preserve">, bem como </w:t>
      </w:r>
      <w:r>
        <w:rPr>
          <w:rFonts w:ascii="Times New Roman" w:eastAsia="Times New Roman" w:hAnsi="Times New Roman" w:cs="Times New Roman"/>
          <w:bCs/>
          <w:sz w:val="20"/>
        </w:rPr>
        <w:t xml:space="preserve">investigado </w:t>
      </w:r>
      <w:r w:rsidR="00A9577B">
        <w:rPr>
          <w:rFonts w:ascii="Times New Roman" w:eastAsia="Times New Roman" w:hAnsi="Times New Roman" w:cs="Times New Roman"/>
          <w:bCs/>
          <w:sz w:val="20"/>
        </w:rPr>
        <w:t>se existe algum mecanismo de incentivo à produção de equipamentos fotovoltaicos</w:t>
      </w:r>
      <w:r>
        <w:rPr>
          <w:rFonts w:ascii="Times New Roman" w:eastAsia="Times New Roman" w:hAnsi="Times New Roman" w:cs="Times New Roman"/>
          <w:bCs/>
          <w:sz w:val="20"/>
        </w:rPr>
        <w:t xml:space="preserve"> na </w:t>
      </w:r>
      <w:r w:rsidR="009C0A6B">
        <w:rPr>
          <w:rFonts w:ascii="Times New Roman" w:eastAsia="Times New Roman" w:hAnsi="Times New Roman" w:cs="Times New Roman"/>
          <w:bCs/>
          <w:sz w:val="20"/>
        </w:rPr>
        <w:t>ALC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>.</w:t>
      </w:r>
      <w:r w:rsidR="0051041D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>São apresentados os mecanismos que compõem tais políticas, os</w:t>
      </w:r>
      <w:r w:rsidR="001912D6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>incentivos de cunho financeiro e fiscal (programas de financiamento, subsídios e tarifas</w:t>
      </w:r>
      <w:r w:rsidR="001912D6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>comerciais), e os de cunho regulatório, como, regras de concessão, padrões técnicos,</w:t>
      </w:r>
      <w:r w:rsidR="001912D6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>normas comerciais e estímulos baseados em normativos. O foco são os casos do Brasil,</w:t>
      </w:r>
      <w:r w:rsidR="001912D6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912D6" w:rsidRPr="001912D6">
        <w:rPr>
          <w:rFonts w:ascii="Times New Roman" w:eastAsia="Times New Roman" w:hAnsi="Times New Roman" w:cs="Times New Roman"/>
          <w:bCs/>
          <w:sz w:val="20"/>
        </w:rPr>
        <w:t>Chile, Argentina, Costa Rica e El Salvador.</w:t>
      </w:r>
      <w:r w:rsidR="00065A63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0B6DBFAC" w14:textId="68E6DB08" w:rsidR="00D33275" w:rsidRPr="003B4390" w:rsidRDefault="00C54F77" w:rsidP="005B3088">
      <w:pPr>
        <w:spacing w:after="320"/>
        <w:ind w:left="728"/>
        <w:jc w:val="both"/>
      </w:pPr>
      <w:r w:rsidRPr="003B4390">
        <w:rPr>
          <w:rFonts w:ascii="Arial" w:eastAsia="Arial" w:hAnsi="Arial" w:cs="Arial"/>
          <w:b/>
          <w:sz w:val="24"/>
        </w:rPr>
        <w:t>Results</w:t>
      </w:r>
      <w:r w:rsidR="005B3088" w:rsidRPr="003B4390">
        <w:rPr>
          <w:rFonts w:ascii="Arial" w:eastAsia="Arial" w:hAnsi="Arial" w:cs="Arial"/>
          <w:b/>
          <w:sz w:val="24"/>
        </w:rPr>
        <w:t xml:space="preserve"> </w:t>
      </w:r>
    </w:p>
    <w:p w14:paraId="76CFF51A" w14:textId="34F39497" w:rsidR="00340A21" w:rsidRDefault="006453B9" w:rsidP="00340A21">
      <w:pPr>
        <w:spacing w:before="240"/>
        <w:ind w:left="723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 análise do panorama global </w:t>
      </w:r>
      <w:r w:rsidR="00A3392D">
        <w:rPr>
          <w:rFonts w:ascii="Times New Roman" w:eastAsia="Times New Roman" w:hAnsi="Times New Roman" w:cs="Times New Roman"/>
          <w:sz w:val="20"/>
        </w:rPr>
        <w:t xml:space="preserve">da </w:t>
      </w:r>
      <w:r>
        <w:rPr>
          <w:rFonts w:ascii="Times New Roman" w:eastAsia="Times New Roman" w:hAnsi="Times New Roman" w:cs="Times New Roman"/>
          <w:sz w:val="20"/>
        </w:rPr>
        <w:t>geração de energia fotovoltaica</w:t>
      </w:r>
      <w:r w:rsidR="00D74EA6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aponta </w:t>
      </w:r>
      <w:r w:rsidR="00A3392D">
        <w:rPr>
          <w:rFonts w:ascii="Times New Roman" w:eastAsia="Times New Roman" w:hAnsi="Times New Roman" w:cs="Times New Roman"/>
          <w:sz w:val="20"/>
        </w:rPr>
        <w:t xml:space="preserve">que </w:t>
      </w:r>
      <w:r w:rsidR="0077318F">
        <w:rPr>
          <w:rFonts w:ascii="Times New Roman" w:eastAsia="Times New Roman" w:hAnsi="Times New Roman" w:cs="Times New Roman"/>
          <w:sz w:val="20"/>
        </w:rPr>
        <w:t>d</w:t>
      </w:r>
      <w:r w:rsidR="0077318F" w:rsidRPr="0077318F">
        <w:rPr>
          <w:rFonts w:ascii="Times New Roman" w:eastAsia="Times New Roman" w:hAnsi="Times New Roman" w:cs="Times New Roman"/>
          <w:sz w:val="20"/>
        </w:rPr>
        <w:t xml:space="preserve">esde o início do desenvolvimento </w:t>
      </w:r>
      <w:r w:rsidR="00A274F8">
        <w:rPr>
          <w:rFonts w:ascii="Times New Roman" w:eastAsia="Times New Roman" w:hAnsi="Times New Roman" w:cs="Times New Roman"/>
          <w:sz w:val="20"/>
        </w:rPr>
        <w:t>de</w:t>
      </w:r>
      <w:r w:rsidR="0077318F" w:rsidRPr="0077318F">
        <w:rPr>
          <w:rFonts w:ascii="Times New Roman" w:eastAsia="Times New Roman" w:hAnsi="Times New Roman" w:cs="Times New Roman"/>
          <w:sz w:val="20"/>
        </w:rPr>
        <w:t xml:space="preserve"> </w:t>
      </w:r>
      <w:r w:rsidR="00A274F8">
        <w:rPr>
          <w:rFonts w:ascii="Times New Roman" w:eastAsia="Times New Roman" w:hAnsi="Times New Roman" w:cs="Times New Roman"/>
          <w:sz w:val="20"/>
        </w:rPr>
        <w:t xml:space="preserve">seu </w:t>
      </w:r>
      <w:r w:rsidR="0077318F" w:rsidRPr="0077318F">
        <w:rPr>
          <w:rFonts w:ascii="Times New Roman" w:eastAsia="Times New Roman" w:hAnsi="Times New Roman" w:cs="Times New Roman"/>
          <w:sz w:val="20"/>
        </w:rPr>
        <w:t>mercado, cerca de 945,4 GW de</w:t>
      </w:r>
      <w:r w:rsidR="0077318F">
        <w:rPr>
          <w:rFonts w:ascii="Times New Roman" w:eastAsia="Times New Roman" w:hAnsi="Times New Roman" w:cs="Times New Roman"/>
          <w:sz w:val="20"/>
        </w:rPr>
        <w:t xml:space="preserve"> </w:t>
      </w:r>
      <w:r w:rsidR="0077318F" w:rsidRPr="0077318F">
        <w:rPr>
          <w:rFonts w:ascii="Times New Roman" w:eastAsia="Times New Roman" w:hAnsi="Times New Roman" w:cs="Times New Roman"/>
          <w:sz w:val="20"/>
        </w:rPr>
        <w:t>capacidade em usinas foram instalados globalmente, dos quais</w:t>
      </w:r>
      <w:r w:rsidR="0077318F">
        <w:rPr>
          <w:rFonts w:ascii="Times New Roman" w:eastAsia="Times New Roman" w:hAnsi="Times New Roman" w:cs="Times New Roman"/>
          <w:sz w:val="20"/>
        </w:rPr>
        <w:t xml:space="preserve"> </w:t>
      </w:r>
      <w:r w:rsidR="0077318F" w:rsidRPr="0077318F">
        <w:rPr>
          <w:rFonts w:ascii="Times New Roman" w:eastAsia="Times New Roman" w:hAnsi="Times New Roman" w:cs="Times New Roman"/>
          <w:sz w:val="20"/>
        </w:rPr>
        <w:t>aproximadamente 70% foram implantados nos últimos cinco anos.</w:t>
      </w:r>
      <w:r w:rsidRPr="006453B9">
        <w:rPr>
          <w:rFonts w:ascii="Times New Roman" w:eastAsia="Times New Roman" w:hAnsi="Times New Roman" w:cs="Times New Roman"/>
          <w:sz w:val="20"/>
        </w:rPr>
        <w:t xml:space="preserve"> </w:t>
      </w:r>
      <w:r w:rsidR="0077318F">
        <w:rPr>
          <w:rFonts w:ascii="Times New Roman" w:eastAsia="Times New Roman" w:hAnsi="Times New Roman" w:cs="Times New Roman"/>
          <w:sz w:val="20"/>
        </w:rPr>
        <w:t xml:space="preserve">Na ALC, </w:t>
      </w:r>
      <w:r w:rsidR="0077318F" w:rsidRPr="0077318F">
        <w:rPr>
          <w:rFonts w:ascii="Times New Roman" w:eastAsia="Times New Roman" w:hAnsi="Times New Roman" w:cs="Times New Roman"/>
          <w:sz w:val="20"/>
        </w:rPr>
        <w:t>observa-se que, em 2021, a</w:t>
      </w:r>
      <w:r w:rsidR="0077318F">
        <w:rPr>
          <w:rFonts w:ascii="Times New Roman" w:eastAsia="Times New Roman" w:hAnsi="Times New Roman" w:cs="Times New Roman"/>
          <w:sz w:val="20"/>
        </w:rPr>
        <w:t xml:space="preserve"> </w:t>
      </w:r>
      <w:r w:rsidR="0077318F" w:rsidRPr="0077318F">
        <w:rPr>
          <w:rFonts w:ascii="Times New Roman" w:eastAsia="Times New Roman" w:hAnsi="Times New Roman" w:cs="Times New Roman"/>
          <w:sz w:val="20"/>
        </w:rPr>
        <w:t>capacidade solar fotovoltaica da região cresceu 44%, com um total de 9,6 GW</w:t>
      </w:r>
      <w:r w:rsidR="0077318F">
        <w:rPr>
          <w:rFonts w:ascii="Times New Roman" w:eastAsia="Times New Roman" w:hAnsi="Times New Roman" w:cs="Times New Roman"/>
          <w:sz w:val="20"/>
        </w:rPr>
        <w:t xml:space="preserve"> </w:t>
      </w:r>
      <w:r w:rsidR="0077318F" w:rsidRPr="0077318F">
        <w:rPr>
          <w:rFonts w:ascii="Times New Roman" w:eastAsia="Times New Roman" w:hAnsi="Times New Roman" w:cs="Times New Roman"/>
          <w:sz w:val="20"/>
        </w:rPr>
        <w:t>adicionados no ano</w:t>
      </w:r>
      <w:r w:rsidR="00A274F8">
        <w:rPr>
          <w:rFonts w:ascii="Times New Roman" w:eastAsia="Times New Roman" w:hAnsi="Times New Roman" w:cs="Times New Roman"/>
          <w:sz w:val="20"/>
        </w:rPr>
        <w:t>, respondendo por 4,4% da capacidade instalada de fontes de geração renovável.</w:t>
      </w:r>
      <w:r w:rsidR="00EC6F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A expansão d</w:t>
      </w:r>
      <w:r w:rsidR="0067747F">
        <w:rPr>
          <w:rFonts w:ascii="Times New Roman" w:eastAsia="Times New Roman" w:hAnsi="Times New Roman" w:cs="Times New Roman"/>
          <w:sz w:val="20"/>
        </w:rPr>
        <w:t>o</w:t>
      </w:r>
      <w:r w:rsidR="00340A21" w:rsidRPr="00340A21">
        <w:rPr>
          <w:rFonts w:ascii="Times New Roman" w:eastAsia="Times New Roman" w:hAnsi="Times New Roman" w:cs="Times New Roman"/>
          <w:sz w:val="20"/>
        </w:rPr>
        <w:t xml:space="preserve"> mercado foi muito superior ao registrado nos dois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anos anteriores. Em 2019 e 2020, os avanços foram de 15% e 26%, respectivamente</w:t>
      </w:r>
      <w:r w:rsidR="00340A21">
        <w:rPr>
          <w:rFonts w:ascii="Times New Roman" w:eastAsia="Times New Roman" w:hAnsi="Times New Roman" w:cs="Times New Roman"/>
          <w:sz w:val="20"/>
        </w:rPr>
        <w:t xml:space="preserve">. </w:t>
      </w:r>
      <w:r w:rsidR="00340A21" w:rsidRPr="00340A21">
        <w:rPr>
          <w:rFonts w:ascii="Times New Roman" w:eastAsia="Times New Roman" w:hAnsi="Times New Roman" w:cs="Times New Roman"/>
          <w:sz w:val="20"/>
        </w:rPr>
        <w:t>Ainda em termos de capacidade acumulada, o continente contava com mais de 30 GW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 xml:space="preserve">de </w:t>
      </w:r>
      <w:r w:rsidR="0067747F">
        <w:rPr>
          <w:rFonts w:ascii="Times New Roman" w:eastAsia="Times New Roman" w:hAnsi="Times New Roman" w:cs="Times New Roman"/>
          <w:sz w:val="20"/>
        </w:rPr>
        <w:t xml:space="preserve">energia </w:t>
      </w:r>
      <w:r w:rsidR="00340A21" w:rsidRPr="00340A21">
        <w:rPr>
          <w:rFonts w:ascii="Times New Roman" w:eastAsia="Times New Roman" w:hAnsi="Times New Roman" w:cs="Times New Roman"/>
          <w:sz w:val="20"/>
        </w:rPr>
        <w:t>solar ao final de 2021. O número é quase quatro vezes maior que o contabilizado no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fim de 2018 e 40 vezes maior que a potência instalada em 2015. Portanto, tais dados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indicam que a tendência é de grande crescimento da capacidade de geração fotovoltaica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(SOLARPOWER EUROPE, 2021).</w:t>
      </w:r>
      <w:r w:rsidR="00CD6488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Atualmente, quatro nações lideram o mercado solar na América Latina: Brasil, México,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 xml:space="preserve">Chile </w:t>
      </w:r>
      <w:r w:rsidR="00340A21" w:rsidRPr="00340A21">
        <w:rPr>
          <w:rFonts w:ascii="Times New Roman" w:eastAsia="Times New Roman" w:hAnsi="Times New Roman" w:cs="Times New Roman"/>
          <w:sz w:val="20"/>
        </w:rPr>
        <w:lastRenderedPageBreak/>
        <w:t>e Argentina. Em conjunto, esses países respondem por cerca de 90% da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capacidade fotovoltaica da região, com todos já tendo superado o patamar de 1 GW de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capacidade</w:t>
      </w:r>
      <w:r w:rsidR="0067747F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(SOLARPOWER EUROPE, 2021).</w:t>
      </w:r>
      <w:r w:rsidR="004F68B6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Destaque deve ser dado ao caso do Brasil, cuja instalação de novos painéis fotovoltaicos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 xml:space="preserve">alcançou 5,7 GW, levando a um mercado acumulado de 13,7 GW em 2021. </w:t>
      </w:r>
      <w:r w:rsidR="0067747F">
        <w:rPr>
          <w:rFonts w:ascii="Times New Roman" w:eastAsia="Times New Roman" w:hAnsi="Times New Roman" w:cs="Times New Roman"/>
          <w:sz w:val="20"/>
        </w:rPr>
        <w:t>Nesse caso, a</w:t>
      </w:r>
      <w:r w:rsidR="00340A21" w:rsidRPr="00340A21">
        <w:rPr>
          <w:rFonts w:ascii="Times New Roman" w:eastAsia="Times New Roman" w:hAnsi="Times New Roman" w:cs="Times New Roman"/>
          <w:sz w:val="20"/>
        </w:rPr>
        <w:t>pós anos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de desenvolvimento limitado do mercado fotovoltaico, o Brasil aparece hoje como um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dos principais players globais, demonstrando</w:t>
      </w:r>
      <w:r w:rsidR="0067747F">
        <w:rPr>
          <w:rFonts w:ascii="Times New Roman" w:eastAsia="Times New Roman" w:hAnsi="Times New Roman" w:cs="Times New Roman"/>
          <w:sz w:val="20"/>
        </w:rPr>
        <w:t xml:space="preserve"> o</w:t>
      </w:r>
      <w:r w:rsidR="00340A21" w:rsidRPr="00340A21">
        <w:rPr>
          <w:rFonts w:ascii="Times New Roman" w:eastAsia="Times New Roman" w:hAnsi="Times New Roman" w:cs="Times New Roman"/>
          <w:sz w:val="20"/>
        </w:rPr>
        <w:t xml:space="preserve"> seu potencial muito superior aos níveis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alcançados até o ano de 2021 (IEA, 2022b).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Especificamente n</w:t>
      </w:r>
      <w:r w:rsidR="0067747F">
        <w:rPr>
          <w:rFonts w:ascii="Times New Roman" w:eastAsia="Times New Roman" w:hAnsi="Times New Roman" w:cs="Times New Roman"/>
          <w:sz w:val="20"/>
        </w:rPr>
        <w:t xml:space="preserve">a </w:t>
      </w:r>
      <w:r w:rsidR="00340A21" w:rsidRPr="00340A21">
        <w:rPr>
          <w:rFonts w:ascii="Times New Roman" w:eastAsia="Times New Roman" w:hAnsi="Times New Roman" w:cs="Times New Roman"/>
          <w:sz w:val="20"/>
        </w:rPr>
        <w:t>geração distribuída, o Brasil figura entre os 10 países com</w:t>
      </w:r>
      <w:r w:rsidR="00340A21">
        <w:rPr>
          <w:rFonts w:ascii="Times New Roman" w:eastAsia="Times New Roman" w:hAnsi="Times New Roman" w:cs="Times New Roman"/>
          <w:sz w:val="20"/>
        </w:rPr>
        <w:t xml:space="preserve"> </w:t>
      </w:r>
      <w:r w:rsidR="00340A21" w:rsidRPr="00340A21">
        <w:rPr>
          <w:rFonts w:ascii="Times New Roman" w:eastAsia="Times New Roman" w:hAnsi="Times New Roman" w:cs="Times New Roman"/>
          <w:sz w:val="20"/>
        </w:rPr>
        <w:t>maior expansão da capacidade em 2021</w:t>
      </w:r>
      <w:r w:rsidR="00340A21">
        <w:rPr>
          <w:rFonts w:ascii="Times New Roman" w:eastAsia="Times New Roman" w:hAnsi="Times New Roman" w:cs="Times New Roman"/>
          <w:sz w:val="20"/>
        </w:rPr>
        <w:t xml:space="preserve">. </w:t>
      </w:r>
    </w:p>
    <w:p w14:paraId="102646D3" w14:textId="7C2F26C1" w:rsidR="00EC6F21" w:rsidRDefault="00EC6F21" w:rsidP="00340A21">
      <w:pPr>
        <w:spacing w:before="240"/>
        <w:ind w:left="723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Quanto ao desenvolvimento dos elos da indústria fotovoltaica a nível global, é notório o </w:t>
      </w:r>
      <w:r w:rsidRPr="006453B9">
        <w:rPr>
          <w:rFonts w:ascii="Times New Roman" w:eastAsia="Times New Roman" w:hAnsi="Times New Roman" w:cs="Times New Roman"/>
          <w:sz w:val="20"/>
        </w:rPr>
        <w:t>domínio da China ao longo da cadeia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453B9">
        <w:rPr>
          <w:rFonts w:ascii="Times New Roman" w:eastAsia="Times New Roman" w:hAnsi="Times New Roman" w:cs="Times New Roman"/>
          <w:sz w:val="20"/>
        </w:rPr>
        <w:t>produtiva de equipamentos para a geração d</w:t>
      </w:r>
      <w:r>
        <w:rPr>
          <w:rFonts w:ascii="Times New Roman" w:eastAsia="Times New Roman" w:hAnsi="Times New Roman" w:cs="Times New Roman"/>
          <w:sz w:val="20"/>
        </w:rPr>
        <w:t xml:space="preserve">esse tipo de </w:t>
      </w:r>
      <w:r w:rsidRPr="006453B9">
        <w:rPr>
          <w:rFonts w:ascii="Times New Roman" w:eastAsia="Times New Roman" w:hAnsi="Times New Roman" w:cs="Times New Roman"/>
          <w:sz w:val="20"/>
        </w:rPr>
        <w:t>energia. O país detém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453B9">
        <w:rPr>
          <w:rFonts w:ascii="Times New Roman" w:eastAsia="Times New Roman" w:hAnsi="Times New Roman" w:cs="Times New Roman"/>
          <w:sz w:val="20"/>
        </w:rPr>
        <w:t>tecnologia, escala e ritmo de produção elevados, o que lhe permite ser o maior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453B9">
        <w:rPr>
          <w:rFonts w:ascii="Times New Roman" w:eastAsia="Times New Roman" w:hAnsi="Times New Roman" w:cs="Times New Roman"/>
          <w:sz w:val="20"/>
        </w:rPr>
        <w:t>fornecedor de diferentes componentes para o segmento.</w:t>
      </w:r>
      <w:r>
        <w:rPr>
          <w:rFonts w:ascii="Times New Roman" w:eastAsia="Times New Roman" w:hAnsi="Times New Roman" w:cs="Times New Roman"/>
          <w:sz w:val="20"/>
        </w:rPr>
        <w:t xml:space="preserve"> Como resultado, a </w:t>
      </w:r>
      <w:r w:rsidRPr="004F68B6">
        <w:rPr>
          <w:rFonts w:ascii="Times New Roman" w:eastAsia="Times New Roman" w:hAnsi="Times New Roman" w:cs="Times New Roman"/>
          <w:sz w:val="20"/>
        </w:rPr>
        <w:t xml:space="preserve">participação </w:t>
      </w:r>
      <w:r>
        <w:rPr>
          <w:rFonts w:ascii="Times New Roman" w:eastAsia="Times New Roman" w:hAnsi="Times New Roman" w:cs="Times New Roman"/>
          <w:sz w:val="20"/>
        </w:rPr>
        <w:t xml:space="preserve">da China </w:t>
      </w:r>
      <w:r w:rsidRPr="004F68B6">
        <w:rPr>
          <w:rFonts w:ascii="Times New Roman" w:eastAsia="Times New Roman" w:hAnsi="Times New Roman" w:cs="Times New Roman"/>
          <w:sz w:val="20"/>
        </w:rPr>
        <w:t>em todos os elos da cadeia fotovoltaica excede 80%, mais que 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F68B6">
        <w:rPr>
          <w:rFonts w:ascii="Times New Roman" w:eastAsia="Times New Roman" w:hAnsi="Times New Roman" w:cs="Times New Roman"/>
          <w:sz w:val="20"/>
        </w:rPr>
        <w:t>dobro de sua participação de 36% na implantação desse tipo de energia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F68B6">
        <w:rPr>
          <w:rFonts w:ascii="Times New Roman" w:eastAsia="Times New Roman" w:hAnsi="Times New Roman" w:cs="Times New Roman"/>
          <w:sz w:val="20"/>
        </w:rPr>
        <w:t>(IEA, 2022a).</w:t>
      </w:r>
      <w:r>
        <w:rPr>
          <w:rFonts w:ascii="Times New Roman" w:eastAsia="Times New Roman" w:hAnsi="Times New Roman" w:cs="Times New Roman"/>
          <w:sz w:val="20"/>
        </w:rPr>
        <w:t xml:space="preserve"> Nesse cenário</w:t>
      </w:r>
      <w:r w:rsidRPr="006453B9">
        <w:rPr>
          <w:rFonts w:ascii="Times New Roman" w:eastAsia="Times New Roman" w:hAnsi="Times New Roman" w:cs="Times New Roman"/>
          <w:sz w:val="20"/>
        </w:rPr>
        <w:t>, em regiões como a América Latina e Caribe, onde se verifica 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453B9">
        <w:rPr>
          <w:rFonts w:ascii="Times New Roman" w:eastAsia="Times New Roman" w:hAnsi="Times New Roman" w:cs="Times New Roman"/>
          <w:sz w:val="20"/>
        </w:rPr>
        <w:t>dependência por equipamentos de tecnologia fotovoltaica, é difícil que empresas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453B9">
        <w:rPr>
          <w:rFonts w:ascii="Times New Roman" w:eastAsia="Times New Roman" w:hAnsi="Times New Roman" w:cs="Times New Roman"/>
          <w:sz w:val="20"/>
        </w:rPr>
        <w:t>nacionais pertencentes a essa indústria surjam para suprir a demanda local, posto que 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453B9">
        <w:rPr>
          <w:rFonts w:ascii="Times New Roman" w:eastAsia="Times New Roman" w:hAnsi="Times New Roman" w:cs="Times New Roman"/>
          <w:sz w:val="20"/>
        </w:rPr>
        <w:t>setor na China está consolidado e tem vantagens decorrentes da interconexão da cadeia,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453B9">
        <w:rPr>
          <w:rFonts w:ascii="Times New Roman" w:eastAsia="Times New Roman" w:hAnsi="Times New Roman" w:cs="Times New Roman"/>
          <w:sz w:val="20"/>
        </w:rPr>
        <w:t>com mercados consumidores já dominados.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767B5">
        <w:rPr>
          <w:rFonts w:ascii="Times New Roman" w:eastAsia="Times New Roman" w:hAnsi="Times New Roman" w:cs="Times New Roman"/>
          <w:sz w:val="20"/>
        </w:rPr>
        <w:t>N</w:t>
      </w:r>
      <w:r w:rsidR="003B4390">
        <w:rPr>
          <w:rFonts w:ascii="Times New Roman" w:eastAsia="Times New Roman" w:hAnsi="Times New Roman" w:cs="Times New Roman"/>
          <w:sz w:val="20"/>
        </w:rPr>
        <w:t xml:space="preserve">ota-se que em vários países da região </w:t>
      </w:r>
      <w:r w:rsidR="00762BF7" w:rsidRPr="00762BF7">
        <w:rPr>
          <w:rFonts w:ascii="Times New Roman" w:eastAsia="Times New Roman" w:hAnsi="Times New Roman" w:cs="Times New Roman"/>
          <w:sz w:val="20"/>
        </w:rPr>
        <w:t>são observadas políticas públicas voltadas para a</w:t>
      </w:r>
      <w:r w:rsidR="00762BF7">
        <w:rPr>
          <w:rFonts w:ascii="Times New Roman" w:eastAsia="Times New Roman" w:hAnsi="Times New Roman" w:cs="Times New Roman"/>
          <w:sz w:val="20"/>
        </w:rPr>
        <w:t xml:space="preserve"> </w:t>
      </w:r>
      <w:r w:rsidR="00762BF7" w:rsidRPr="00762BF7">
        <w:rPr>
          <w:rFonts w:ascii="Times New Roman" w:eastAsia="Times New Roman" w:hAnsi="Times New Roman" w:cs="Times New Roman"/>
          <w:sz w:val="20"/>
        </w:rPr>
        <w:t>ampliação da sustentabilidade e transição energética</w:t>
      </w:r>
      <w:r>
        <w:rPr>
          <w:rFonts w:ascii="Times New Roman" w:eastAsia="Times New Roman" w:hAnsi="Times New Roman" w:cs="Times New Roman"/>
          <w:sz w:val="20"/>
        </w:rPr>
        <w:t>, contudo, não focadas no desenvolvimento de uma indústria fotovoltaica</w:t>
      </w:r>
      <w:r w:rsidR="00762BF7" w:rsidRPr="00762BF7">
        <w:rPr>
          <w:rFonts w:ascii="Times New Roman" w:eastAsia="Times New Roman" w:hAnsi="Times New Roman" w:cs="Times New Roman"/>
          <w:sz w:val="20"/>
        </w:rPr>
        <w:t>. Tais políticas se</w:t>
      </w:r>
      <w:r w:rsidR="00762BF7">
        <w:rPr>
          <w:rFonts w:ascii="Times New Roman" w:eastAsia="Times New Roman" w:hAnsi="Times New Roman" w:cs="Times New Roman"/>
          <w:sz w:val="20"/>
        </w:rPr>
        <w:t xml:space="preserve"> </w:t>
      </w:r>
      <w:r w:rsidR="00762BF7" w:rsidRPr="00762BF7">
        <w:rPr>
          <w:rFonts w:ascii="Times New Roman" w:eastAsia="Times New Roman" w:hAnsi="Times New Roman" w:cs="Times New Roman"/>
          <w:sz w:val="20"/>
        </w:rPr>
        <w:t xml:space="preserve">diferenciam quanto à especificidade das fontes energéticas </w:t>
      </w:r>
      <w:r w:rsidR="0067747F">
        <w:rPr>
          <w:rFonts w:ascii="Times New Roman" w:eastAsia="Times New Roman" w:hAnsi="Times New Roman" w:cs="Times New Roman"/>
          <w:sz w:val="20"/>
        </w:rPr>
        <w:t xml:space="preserve">com </w:t>
      </w:r>
      <w:r w:rsidR="00762BF7" w:rsidRPr="00762BF7">
        <w:rPr>
          <w:rFonts w:ascii="Times New Roman" w:eastAsia="Times New Roman" w:hAnsi="Times New Roman" w:cs="Times New Roman"/>
          <w:sz w:val="20"/>
        </w:rPr>
        <w:t>adoção</w:t>
      </w:r>
      <w:r w:rsidR="0067747F">
        <w:rPr>
          <w:rFonts w:ascii="Times New Roman" w:eastAsia="Times New Roman" w:hAnsi="Times New Roman" w:cs="Times New Roman"/>
          <w:sz w:val="20"/>
        </w:rPr>
        <w:t xml:space="preserve"> </w:t>
      </w:r>
      <w:r w:rsidR="00762BF7" w:rsidRPr="00762BF7">
        <w:rPr>
          <w:rFonts w:ascii="Times New Roman" w:eastAsia="Times New Roman" w:hAnsi="Times New Roman" w:cs="Times New Roman"/>
          <w:sz w:val="20"/>
        </w:rPr>
        <w:t>incentivada, quanto à</w:t>
      </w:r>
      <w:r w:rsidR="00762BF7">
        <w:rPr>
          <w:rFonts w:ascii="Times New Roman" w:eastAsia="Times New Roman" w:hAnsi="Times New Roman" w:cs="Times New Roman"/>
          <w:sz w:val="20"/>
        </w:rPr>
        <w:t xml:space="preserve"> </w:t>
      </w:r>
      <w:r w:rsidR="00762BF7" w:rsidRPr="00762BF7">
        <w:rPr>
          <w:rFonts w:ascii="Times New Roman" w:eastAsia="Times New Roman" w:hAnsi="Times New Roman" w:cs="Times New Roman"/>
          <w:sz w:val="20"/>
        </w:rPr>
        <w:t>sua abrangência, duração e escopo.</w:t>
      </w:r>
      <w:r w:rsidR="000E43C1">
        <w:rPr>
          <w:rFonts w:ascii="Times New Roman" w:eastAsia="Times New Roman" w:hAnsi="Times New Roman" w:cs="Times New Roman"/>
          <w:sz w:val="20"/>
        </w:rPr>
        <w:t xml:space="preserve"> </w:t>
      </w:r>
    </w:p>
    <w:p w14:paraId="23A2BD43" w14:textId="24BF92BC" w:rsidR="006453B9" w:rsidRDefault="00EC6F21" w:rsidP="0067747F">
      <w:pPr>
        <w:spacing w:before="240"/>
        <w:ind w:left="723" w:hanging="10"/>
        <w:jc w:val="both"/>
        <w:rPr>
          <w:rFonts w:ascii="Times New Roman" w:eastAsia="Times New Roman" w:hAnsi="Times New Roman" w:cs="Times New Roman"/>
          <w:sz w:val="20"/>
        </w:rPr>
      </w:pPr>
      <w:r w:rsidRPr="00762BF7">
        <w:rPr>
          <w:rFonts w:ascii="Times New Roman" w:eastAsia="Times New Roman" w:hAnsi="Times New Roman" w:cs="Times New Roman"/>
          <w:sz w:val="20"/>
        </w:rPr>
        <w:t>Em se tratando da energia solar fotovoltaica, programas de incentivo à sua expansão são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62BF7">
        <w:rPr>
          <w:rFonts w:ascii="Times New Roman" w:eastAsia="Times New Roman" w:hAnsi="Times New Roman" w:cs="Times New Roman"/>
          <w:sz w:val="20"/>
        </w:rPr>
        <w:t>encontrados no Brasil, Peru, Paraguai, Uruguai, República Dominicana, El Salvador, Argentina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62BF7">
        <w:rPr>
          <w:rFonts w:ascii="Times New Roman" w:eastAsia="Times New Roman" w:hAnsi="Times New Roman" w:cs="Times New Roman"/>
          <w:sz w:val="20"/>
        </w:rPr>
        <w:t>e Chile. Importante destacar que tais políticas são em sua maioria voltadas à expansão da fonte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62BF7">
        <w:rPr>
          <w:rFonts w:ascii="Times New Roman" w:eastAsia="Times New Roman" w:hAnsi="Times New Roman" w:cs="Times New Roman"/>
          <w:sz w:val="20"/>
        </w:rPr>
        <w:t>solar na matriz energética dos países, não sendo focadas no desenvolvimento da cadeia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62BF7">
        <w:rPr>
          <w:rFonts w:ascii="Times New Roman" w:eastAsia="Times New Roman" w:hAnsi="Times New Roman" w:cs="Times New Roman"/>
          <w:sz w:val="20"/>
        </w:rPr>
        <w:t>industrial de seus equipamentos.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De todo modo, certos nichos de mercado podem se tornar uma alternativa ao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aproveitamento da transição energética e expansão da geração fotovoltaica para o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desenvolvimento industrial da ALC. Dentre as alternativas, a reciclagem de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painéis e demais equipamentos fotovoltaicos é um segmento com potencial crescimento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nas nações importadoras da tecnologia.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7747F">
        <w:rPr>
          <w:rFonts w:ascii="Times New Roman" w:eastAsia="Times New Roman" w:hAnsi="Times New Roman" w:cs="Times New Roman"/>
          <w:sz w:val="20"/>
        </w:rPr>
        <w:t>Isso por que, à</w:t>
      </w:r>
      <w:r w:rsidR="006453B9" w:rsidRPr="006453B9">
        <w:rPr>
          <w:rFonts w:ascii="Times New Roman" w:eastAsia="Times New Roman" w:hAnsi="Times New Roman" w:cs="Times New Roman"/>
          <w:sz w:val="20"/>
        </w:rPr>
        <w:t xml:space="preserve"> medida que o mercado fotovoltaico global aumenta, também aumenta o volume de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painéis fotovoltaicos desativados, logo, grandes quantidades de resíduos anuais são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 xml:space="preserve">previstas para o início da década de 2030. </w:t>
      </w:r>
      <w:r w:rsidR="0067747F">
        <w:rPr>
          <w:rFonts w:ascii="Times New Roman" w:eastAsia="Times New Roman" w:hAnsi="Times New Roman" w:cs="Times New Roman"/>
          <w:sz w:val="20"/>
        </w:rPr>
        <w:t>Assim, o</w:t>
      </w:r>
      <w:r w:rsidR="006453B9" w:rsidRPr="006453B9">
        <w:rPr>
          <w:rFonts w:ascii="Times New Roman" w:eastAsia="Times New Roman" w:hAnsi="Times New Roman" w:cs="Times New Roman"/>
          <w:sz w:val="20"/>
        </w:rPr>
        <w:t xml:space="preserve"> crescente desperdício de painéis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fotovoltaicos apresenta um novo desafio ambiental, mas também oportunidades para</w:t>
      </w:r>
      <w:r w:rsidR="006453B9">
        <w:rPr>
          <w:rFonts w:ascii="Times New Roman" w:eastAsia="Times New Roman" w:hAnsi="Times New Roman" w:cs="Times New Roman"/>
          <w:sz w:val="20"/>
        </w:rPr>
        <w:t xml:space="preserve"> </w:t>
      </w:r>
      <w:r w:rsidR="006453B9" w:rsidRPr="006453B9">
        <w:rPr>
          <w:rFonts w:ascii="Times New Roman" w:eastAsia="Times New Roman" w:hAnsi="Times New Roman" w:cs="Times New Roman"/>
          <w:sz w:val="20"/>
        </w:rPr>
        <w:t>criar valor e buscar novos nichos de desenvolvimento econômico.</w:t>
      </w:r>
    </w:p>
    <w:p w14:paraId="60D4130A" w14:textId="2A0EFD16" w:rsidR="00E46B4F" w:rsidRPr="005B3088" w:rsidRDefault="00C54F77" w:rsidP="005B3088">
      <w:pPr>
        <w:ind w:left="723" w:hanging="10"/>
      </w:pPr>
      <w:r w:rsidRPr="005B3088">
        <w:rPr>
          <w:rFonts w:ascii="Arial" w:eastAsia="Arial" w:hAnsi="Arial" w:cs="Arial"/>
          <w:b/>
          <w:sz w:val="24"/>
        </w:rPr>
        <w:t>Conclusions</w:t>
      </w:r>
      <w:r w:rsidR="005B3088">
        <w:rPr>
          <w:rFonts w:ascii="Arial" w:eastAsia="Arial" w:hAnsi="Arial" w:cs="Arial"/>
          <w:b/>
          <w:sz w:val="24"/>
        </w:rPr>
        <w:t xml:space="preserve"> </w:t>
      </w:r>
    </w:p>
    <w:p w14:paraId="2DD8662B" w14:textId="15095004" w:rsidR="00E46B4F" w:rsidRDefault="00786104" w:rsidP="00CD6488">
      <w:pPr>
        <w:spacing w:after="0" w:line="265" w:lineRule="auto"/>
        <w:ind w:left="723" w:hanging="1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46B4F">
        <w:rPr>
          <w:rFonts w:ascii="Times New Roman" w:hAnsi="Times New Roman" w:cs="Times New Roman"/>
          <w:iCs/>
          <w:sz w:val="20"/>
          <w:szCs w:val="20"/>
        </w:rPr>
        <w:t xml:space="preserve">A perspectiva do aumento </w:t>
      </w:r>
      <w:r w:rsidR="0067747F">
        <w:rPr>
          <w:rFonts w:ascii="Times New Roman" w:hAnsi="Times New Roman" w:cs="Times New Roman"/>
          <w:iCs/>
          <w:sz w:val="20"/>
          <w:szCs w:val="20"/>
        </w:rPr>
        <w:t xml:space="preserve">da geração de energia renovável </w:t>
      </w:r>
      <w:r w:rsidRPr="00E46B4F">
        <w:rPr>
          <w:rFonts w:ascii="Times New Roman" w:hAnsi="Times New Roman" w:cs="Times New Roman"/>
          <w:iCs/>
          <w:sz w:val="20"/>
          <w:szCs w:val="20"/>
        </w:rPr>
        <w:t>​​nos países da ALC é apoiada por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46B4F">
        <w:rPr>
          <w:rFonts w:ascii="Times New Roman" w:hAnsi="Times New Roman" w:cs="Times New Roman"/>
          <w:iCs/>
          <w:sz w:val="20"/>
          <w:szCs w:val="20"/>
        </w:rPr>
        <w:t>diferentes políticas públicas. Contudo, não está claro que tal expansão beneficiará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46B4F">
        <w:rPr>
          <w:rFonts w:ascii="Times New Roman" w:hAnsi="Times New Roman" w:cs="Times New Roman"/>
          <w:iCs/>
          <w:sz w:val="20"/>
          <w:szCs w:val="20"/>
        </w:rPr>
        <w:t>setores industriais da região.</w:t>
      </w:r>
      <w:r w:rsidR="005B308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7747F">
        <w:rPr>
          <w:rFonts w:ascii="Times New Roman" w:hAnsi="Times New Roman" w:cs="Times New Roman"/>
          <w:iCs/>
          <w:sz w:val="20"/>
          <w:szCs w:val="20"/>
        </w:rPr>
        <w:t>Nota-se ainda que, a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pesar de ainda representar uma pequena parcela da capacidade instalada nos países da ALC, a sinergia existente entre o setor </w:t>
      </w:r>
      <w:r w:rsidR="005F3C84">
        <w:rPr>
          <w:rFonts w:ascii="Times New Roman" w:hAnsi="Times New Roman" w:cs="Times New Roman"/>
          <w:iCs/>
          <w:sz w:val="20"/>
          <w:szCs w:val="20"/>
        </w:rPr>
        <w:t>de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construção e as tecnologias fotovoltaicas cria um imenso potencial de expansão. A energia fotovoltaica integrada em edifícios (BIPV) é um conceito que</w:t>
      </w:r>
      <w:r w:rsidR="0067747F">
        <w:rPr>
          <w:rFonts w:ascii="Times New Roman" w:hAnsi="Times New Roman" w:cs="Times New Roman"/>
          <w:iCs/>
          <w:sz w:val="20"/>
          <w:szCs w:val="20"/>
        </w:rPr>
        <w:t xml:space="preserve"> acopla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geração distribuída e eficiência energética, ajudando a reduzir, por exemplo, o consumo líquido de energia de edifícios.</w:t>
      </w:r>
      <w:r w:rsidR="005B308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Em suma, a situação atual indica que nos países da ALC há uma falta de coordenação </w:t>
      </w:r>
      <w:r w:rsidR="00F31584">
        <w:rPr>
          <w:rFonts w:ascii="Times New Roman" w:hAnsi="Times New Roman" w:cs="Times New Roman"/>
          <w:iCs/>
          <w:sz w:val="20"/>
          <w:szCs w:val="20"/>
        </w:rPr>
        <w:t xml:space="preserve">de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>políticas públicas e regulamentações</w:t>
      </w:r>
      <w:r w:rsidR="000A71E1">
        <w:rPr>
          <w:rFonts w:ascii="Times New Roman" w:hAnsi="Times New Roman" w:cs="Times New Roman"/>
          <w:iCs/>
          <w:sz w:val="20"/>
          <w:szCs w:val="20"/>
        </w:rPr>
        <w:t xml:space="preserve"> de cunho industrial, ambiental, tecnológico e energético, o que é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essencial para </w:t>
      </w:r>
      <w:r w:rsidR="000A71E1">
        <w:rPr>
          <w:rFonts w:ascii="Times New Roman" w:hAnsi="Times New Roman" w:cs="Times New Roman"/>
          <w:iCs/>
          <w:sz w:val="20"/>
          <w:szCs w:val="20"/>
        </w:rPr>
        <w:t xml:space="preserve">os transbordamentos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>industriais dos projetos de energias renováveis ​​na região. Nestas circunstâncias, as possibilidades de promover a industrialização a partir do aumento da produção de energia solar é bastante limitada pela forte dependência das importações chinesas e pela ausência de uma política industrial sólida</w:t>
      </w:r>
      <w:r w:rsidR="000A71E1">
        <w:rPr>
          <w:rFonts w:ascii="Times New Roman" w:hAnsi="Times New Roman" w:cs="Times New Roman"/>
          <w:iCs/>
          <w:sz w:val="20"/>
          <w:szCs w:val="20"/>
        </w:rPr>
        <w:t>,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integrada às ações de política energética na região. </w:t>
      </w:r>
      <w:r w:rsidR="0067747F">
        <w:rPr>
          <w:rFonts w:ascii="Times New Roman" w:hAnsi="Times New Roman" w:cs="Times New Roman"/>
          <w:iCs/>
          <w:sz w:val="20"/>
          <w:szCs w:val="20"/>
        </w:rPr>
        <w:t>Sublinhe-se que a</w:t>
      </w:r>
      <w:r w:rsidR="000A71E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China </w:t>
      </w:r>
      <w:r w:rsidR="000A71E1">
        <w:rPr>
          <w:rFonts w:ascii="Times New Roman" w:hAnsi="Times New Roman" w:cs="Times New Roman"/>
          <w:iCs/>
          <w:sz w:val="20"/>
          <w:szCs w:val="20"/>
        </w:rPr>
        <w:t xml:space="preserve">detém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>vantagem comparativa em termos de custo, investimentos em tecnologia e escala de produção</w:t>
      </w:r>
      <w:r w:rsidR="000A71E1">
        <w:rPr>
          <w:rFonts w:ascii="Times New Roman" w:hAnsi="Times New Roman" w:cs="Times New Roman"/>
          <w:iCs/>
          <w:sz w:val="20"/>
          <w:szCs w:val="20"/>
        </w:rPr>
        <w:t xml:space="preserve">, havendo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>oportunidades restritas para desenvolver segmentos de tecnologia fotovoltaica em outras regiões.</w:t>
      </w:r>
      <w:r w:rsidR="005B308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Apesar </w:t>
      </w:r>
      <w:r w:rsidR="00C463D9">
        <w:rPr>
          <w:rFonts w:ascii="Times New Roman" w:hAnsi="Times New Roman" w:cs="Times New Roman"/>
          <w:iCs/>
          <w:sz w:val="20"/>
          <w:szCs w:val="20"/>
        </w:rPr>
        <w:t>das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graves </w:t>
      </w:r>
      <w:r w:rsidR="00C463D9">
        <w:rPr>
          <w:rFonts w:ascii="Times New Roman" w:hAnsi="Times New Roman" w:cs="Times New Roman"/>
          <w:iCs/>
          <w:sz w:val="20"/>
          <w:szCs w:val="20"/>
        </w:rPr>
        <w:t xml:space="preserve">restrições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>macroecon</w:t>
      </w:r>
      <w:r w:rsidR="000A71E1">
        <w:rPr>
          <w:rFonts w:ascii="Times New Roman" w:hAnsi="Times New Roman" w:cs="Times New Roman"/>
          <w:iCs/>
          <w:sz w:val="20"/>
          <w:szCs w:val="20"/>
        </w:rPr>
        <w:t>ô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>mic</w:t>
      </w:r>
      <w:r w:rsidR="00C463D9">
        <w:rPr>
          <w:rFonts w:ascii="Times New Roman" w:hAnsi="Times New Roman" w:cs="Times New Roman"/>
          <w:iCs/>
          <w:sz w:val="20"/>
          <w:szCs w:val="20"/>
        </w:rPr>
        <w:t xml:space="preserve">as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>e polític</w:t>
      </w:r>
      <w:r w:rsidR="00C463D9">
        <w:rPr>
          <w:rFonts w:ascii="Times New Roman" w:hAnsi="Times New Roman" w:cs="Times New Roman"/>
          <w:iCs/>
          <w:sz w:val="20"/>
          <w:szCs w:val="20"/>
        </w:rPr>
        <w:t>as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, a exceção é o caso de Argentina, com sua política para a criação de um polo </w:t>
      </w:r>
      <w:r w:rsidR="00101A40">
        <w:rPr>
          <w:rFonts w:ascii="Times New Roman" w:hAnsi="Times New Roman" w:cs="Times New Roman"/>
          <w:iCs/>
          <w:sz w:val="20"/>
          <w:szCs w:val="20"/>
        </w:rPr>
        <w:t>de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desenvolvimento de </w:t>
      </w:r>
      <w:r w:rsidR="00101A40">
        <w:rPr>
          <w:rFonts w:ascii="Times New Roman" w:hAnsi="Times New Roman" w:cs="Times New Roman"/>
          <w:iCs/>
          <w:sz w:val="20"/>
          <w:szCs w:val="20"/>
        </w:rPr>
        <w:t xml:space="preserve">fontes de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energias renováveis. O país </w:t>
      </w:r>
      <w:r w:rsidR="00101A40">
        <w:rPr>
          <w:rFonts w:ascii="Times New Roman" w:hAnsi="Times New Roman" w:cs="Times New Roman"/>
          <w:iCs/>
          <w:sz w:val="20"/>
          <w:szCs w:val="20"/>
        </w:rPr>
        <w:t>busca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 criar um centro próprio de produção tecnológica, com o objetivo de alava</w:t>
      </w:r>
      <w:r w:rsidR="00101A40">
        <w:rPr>
          <w:rFonts w:ascii="Times New Roman" w:hAnsi="Times New Roman" w:cs="Times New Roman"/>
          <w:iCs/>
          <w:sz w:val="20"/>
          <w:szCs w:val="20"/>
        </w:rPr>
        <w:t xml:space="preserve">ncar a </w:t>
      </w:r>
      <w:r w:rsidR="00DD7702" w:rsidRPr="00E46B4F">
        <w:rPr>
          <w:rFonts w:ascii="Times New Roman" w:hAnsi="Times New Roman" w:cs="Times New Roman"/>
          <w:iCs/>
          <w:sz w:val="20"/>
          <w:szCs w:val="20"/>
        </w:rPr>
        <w:t xml:space="preserve">indústria de equipamentos de energia solar, eólica e hidrogênio. </w:t>
      </w:r>
    </w:p>
    <w:p w14:paraId="090DD3D8" w14:textId="7284BF29" w:rsidR="0067747F" w:rsidRPr="0067747F" w:rsidRDefault="00C54F77" w:rsidP="0067747F">
      <w:pPr>
        <w:pStyle w:val="Heading1"/>
        <w:spacing w:before="240" w:after="240"/>
        <w:ind w:left="723"/>
        <w:rPr>
          <w:lang w:val="en-US"/>
        </w:rPr>
      </w:pPr>
      <w:r w:rsidRPr="001912D6">
        <w:rPr>
          <w:lang w:val="en-US"/>
        </w:rPr>
        <w:t xml:space="preserve">References </w:t>
      </w:r>
    </w:p>
    <w:sectPr w:rsidR="0067747F" w:rsidRPr="0067747F">
      <w:footerReference w:type="even" r:id="rId8"/>
      <w:footerReference w:type="default" r:id="rId9"/>
      <w:footerReference w:type="first" r:id="rId10"/>
      <w:pgSz w:w="12240" w:h="15840"/>
      <w:pgMar w:top="1440" w:right="496" w:bottom="1440" w:left="7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C17F" w14:textId="77777777" w:rsidR="00A80EA3" w:rsidRDefault="00A80EA3" w:rsidP="001912D6">
      <w:pPr>
        <w:spacing w:after="0" w:line="240" w:lineRule="auto"/>
      </w:pPr>
      <w:r>
        <w:separator/>
      </w:r>
    </w:p>
  </w:endnote>
  <w:endnote w:type="continuationSeparator" w:id="0">
    <w:p w14:paraId="24EC8426" w14:textId="77777777" w:rsidR="00A80EA3" w:rsidRDefault="00A80EA3" w:rsidP="0019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DE67" w14:textId="715BEBE5" w:rsidR="001912D6" w:rsidRDefault="001912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759D5C" wp14:editId="2796E5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07962391" name="Text Box 2" descr="Classificado com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94BD5" w14:textId="3D7EFE86" w:rsidR="001912D6" w:rsidRPr="001912D6" w:rsidRDefault="001912D6" w:rsidP="001912D6">
                          <w:pPr>
                            <w:spacing w:after="0"/>
                            <w:rPr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1912D6">
                            <w:rPr>
                              <w:noProof/>
                              <w:color w:val="737373"/>
                              <w:sz w:val="16"/>
                              <w:szCs w:val="16"/>
                            </w:rPr>
                            <w:t>Classificado como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59D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do como Públic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194BD5" w14:textId="3D7EFE86" w:rsidR="001912D6" w:rsidRPr="001912D6" w:rsidRDefault="001912D6" w:rsidP="001912D6">
                    <w:pPr>
                      <w:spacing w:after="0"/>
                      <w:rPr>
                        <w:noProof/>
                        <w:color w:val="737373"/>
                        <w:sz w:val="16"/>
                        <w:szCs w:val="16"/>
                      </w:rPr>
                    </w:pPr>
                    <w:r w:rsidRPr="001912D6">
                      <w:rPr>
                        <w:noProof/>
                        <w:color w:val="737373"/>
                        <w:sz w:val="16"/>
                        <w:szCs w:val="16"/>
                      </w:rPr>
                      <w:t>Classificado como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6E9" w14:textId="4A5F7302" w:rsidR="001912D6" w:rsidRDefault="001912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CBEFE3" wp14:editId="11182581">
              <wp:simplePos x="45085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24444597" name="Text Box 3" descr="Classificado com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2DDB8" w14:textId="1D80AD85" w:rsidR="001912D6" w:rsidRPr="001912D6" w:rsidRDefault="001912D6" w:rsidP="001912D6">
                          <w:pPr>
                            <w:spacing w:after="0"/>
                            <w:rPr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1912D6">
                            <w:rPr>
                              <w:noProof/>
                              <w:color w:val="737373"/>
                              <w:sz w:val="16"/>
                              <w:szCs w:val="16"/>
                            </w:rPr>
                            <w:t>Classificado como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BEF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do como Públic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82DDB8" w14:textId="1D80AD85" w:rsidR="001912D6" w:rsidRPr="001912D6" w:rsidRDefault="001912D6" w:rsidP="001912D6">
                    <w:pPr>
                      <w:spacing w:after="0"/>
                      <w:rPr>
                        <w:noProof/>
                        <w:color w:val="737373"/>
                        <w:sz w:val="16"/>
                        <w:szCs w:val="16"/>
                      </w:rPr>
                    </w:pPr>
                    <w:r w:rsidRPr="001912D6">
                      <w:rPr>
                        <w:noProof/>
                        <w:color w:val="737373"/>
                        <w:sz w:val="16"/>
                        <w:szCs w:val="16"/>
                      </w:rPr>
                      <w:t>Classificado como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5553" w14:textId="62C1553C" w:rsidR="001912D6" w:rsidRDefault="001912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FC500" wp14:editId="30B1BD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510478768" name="Text Box 1" descr="Classificado com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3E03D" w14:textId="07DE70A9" w:rsidR="001912D6" w:rsidRPr="001912D6" w:rsidRDefault="001912D6" w:rsidP="001912D6">
                          <w:pPr>
                            <w:spacing w:after="0"/>
                            <w:rPr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1912D6">
                            <w:rPr>
                              <w:noProof/>
                              <w:color w:val="737373"/>
                              <w:sz w:val="16"/>
                              <w:szCs w:val="16"/>
                            </w:rPr>
                            <w:t>Classificado como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FC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do como Públic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A3E03D" w14:textId="07DE70A9" w:rsidR="001912D6" w:rsidRPr="001912D6" w:rsidRDefault="001912D6" w:rsidP="001912D6">
                    <w:pPr>
                      <w:spacing w:after="0"/>
                      <w:rPr>
                        <w:noProof/>
                        <w:color w:val="737373"/>
                        <w:sz w:val="16"/>
                        <w:szCs w:val="16"/>
                      </w:rPr>
                    </w:pPr>
                    <w:r w:rsidRPr="001912D6">
                      <w:rPr>
                        <w:noProof/>
                        <w:color w:val="737373"/>
                        <w:sz w:val="16"/>
                        <w:szCs w:val="16"/>
                      </w:rPr>
                      <w:t>Classificado como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BC92" w14:textId="77777777" w:rsidR="00A80EA3" w:rsidRDefault="00A80EA3" w:rsidP="001912D6">
      <w:pPr>
        <w:spacing w:after="0" w:line="240" w:lineRule="auto"/>
      </w:pPr>
      <w:r>
        <w:separator/>
      </w:r>
    </w:p>
  </w:footnote>
  <w:footnote w:type="continuationSeparator" w:id="0">
    <w:p w14:paraId="22A54EB1" w14:textId="77777777" w:rsidR="00A80EA3" w:rsidRDefault="00A80EA3" w:rsidP="00191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FA"/>
    <w:rsid w:val="00007E43"/>
    <w:rsid w:val="00017F00"/>
    <w:rsid w:val="000351A7"/>
    <w:rsid w:val="00050440"/>
    <w:rsid w:val="00065A63"/>
    <w:rsid w:val="000829BF"/>
    <w:rsid w:val="000A3330"/>
    <w:rsid w:val="000A71E1"/>
    <w:rsid w:val="000D4D56"/>
    <w:rsid w:val="000E43C1"/>
    <w:rsid w:val="0010164B"/>
    <w:rsid w:val="00101A40"/>
    <w:rsid w:val="001523DE"/>
    <w:rsid w:val="001912D6"/>
    <w:rsid w:val="001B093A"/>
    <w:rsid w:val="001B2FEF"/>
    <w:rsid w:val="001C2FA2"/>
    <w:rsid w:val="00205FA4"/>
    <w:rsid w:val="00215AF5"/>
    <w:rsid w:val="00221CD4"/>
    <w:rsid w:val="002459B4"/>
    <w:rsid w:val="002667D9"/>
    <w:rsid w:val="002711D1"/>
    <w:rsid w:val="00272D14"/>
    <w:rsid w:val="00293764"/>
    <w:rsid w:val="0032035F"/>
    <w:rsid w:val="00340A21"/>
    <w:rsid w:val="00353402"/>
    <w:rsid w:val="003560C8"/>
    <w:rsid w:val="00361D11"/>
    <w:rsid w:val="003A6125"/>
    <w:rsid w:val="003A7B85"/>
    <w:rsid w:val="003B4390"/>
    <w:rsid w:val="003D02A3"/>
    <w:rsid w:val="003D180E"/>
    <w:rsid w:val="003E17CA"/>
    <w:rsid w:val="003F03D5"/>
    <w:rsid w:val="00405195"/>
    <w:rsid w:val="00405E08"/>
    <w:rsid w:val="0041346B"/>
    <w:rsid w:val="00431A9C"/>
    <w:rsid w:val="00446CCB"/>
    <w:rsid w:val="004844EF"/>
    <w:rsid w:val="00487682"/>
    <w:rsid w:val="004918F4"/>
    <w:rsid w:val="004A3AC6"/>
    <w:rsid w:val="004D0FE2"/>
    <w:rsid w:val="004F68B6"/>
    <w:rsid w:val="005031FD"/>
    <w:rsid w:val="0051041D"/>
    <w:rsid w:val="00516063"/>
    <w:rsid w:val="00521DF9"/>
    <w:rsid w:val="0054635E"/>
    <w:rsid w:val="005B3088"/>
    <w:rsid w:val="005B33C9"/>
    <w:rsid w:val="005C3493"/>
    <w:rsid w:val="005E01EA"/>
    <w:rsid w:val="005F3C84"/>
    <w:rsid w:val="00643FC0"/>
    <w:rsid w:val="0064501B"/>
    <w:rsid w:val="006453B9"/>
    <w:rsid w:val="00647592"/>
    <w:rsid w:val="00672FE2"/>
    <w:rsid w:val="006772ED"/>
    <w:rsid w:val="0067747F"/>
    <w:rsid w:val="006B4C31"/>
    <w:rsid w:val="006E19BE"/>
    <w:rsid w:val="00712021"/>
    <w:rsid w:val="00747626"/>
    <w:rsid w:val="00747861"/>
    <w:rsid w:val="00762BF7"/>
    <w:rsid w:val="0077318F"/>
    <w:rsid w:val="00786104"/>
    <w:rsid w:val="007951B5"/>
    <w:rsid w:val="007B3164"/>
    <w:rsid w:val="007F6B44"/>
    <w:rsid w:val="00831827"/>
    <w:rsid w:val="008428EF"/>
    <w:rsid w:val="00892DA0"/>
    <w:rsid w:val="008A103E"/>
    <w:rsid w:val="008A3C26"/>
    <w:rsid w:val="008C30DF"/>
    <w:rsid w:val="008C55B6"/>
    <w:rsid w:val="008D2F95"/>
    <w:rsid w:val="008F0072"/>
    <w:rsid w:val="00900CC9"/>
    <w:rsid w:val="00922B63"/>
    <w:rsid w:val="00925638"/>
    <w:rsid w:val="00966D3A"/>
    <w:rsid w:val="009807C5"/>
    <w:rsid w:val="009A7447"/>
    <w:rsid w:val="009A7C5D"/>
    <w:rsid w:val="009C0A6B"/>
    <w:rsid w:val="009D12B6"/>
    <w:rsid w:val="009E1732"/>
    <w:rsid w:val="00A047D2"/>
    <w:rsid w:val="00A116BE"/>
    <w:rsid w:val="00A2254A"/>
    <w:rsid w:val="00A274F8"/>
    <w:rsid w:val="00A3392D"/>
    <w:rsid w:val="00A35852"/>
    <w:rsid w:val="00A72AA5"/>
    <w:rsid w:val="00A80EA3"/>
    <w:rsid w:val="00A92834"/>
    <w:rsid w:val="00A9577B"/>
    <w:rsid w:val="00AB208B"/>
    <w:rsid w:val="00AC40BA"/>
    <w:rsid w:val="00AD192C"/>
    <w:rsid w:val="00AD1CFA"/>
    <w:rsid w:val="00AF529F"/>
    <w:rsid w:val="00B352A5"/>
    <w:rsid w:val="00B35DB2"/>
    <w:rsid w:val="00B82130"/>
    <w:rsid w:val="00B87A08"/>
    <w:rsid w:val="00BA71E1"/>
    <w:rsid w:val="00BB08E0"/>
    <w:rsid w:val="00C2126D"/>
    <w:rsid w:val="00C44D41"/>
    <w:rsid w:val="00C463D9"/>
    <w:rsid w:val="00C54F77"/>
    <w:rsid w:val="00C74299"/>
    <w:rsid w:val="00CD6488"/>
    <w:rsid w:val="00CE04E8"/>
    <w:rsid w:val="00D02C74"/>
    <w:rsid w:val="00D03CA8"/>
    <w:rsid w:val="00D21050"/>
    <w:rsid w:val="00D27ACB"/>
    <w:rsid w:val="00D33275"/>
    <w:rsid w:val="00D335FF"/>
    <w:rsid w:val="00D44719"/>
    <w:rsid w:val="00D4610D"/>
    <w:rsid w:val="00D74EA6"/>
    <w:rsid w:val="00D85AFF"/>
    <w:rsid w:val="00D97B2A"/>
    <w:rsid w:val="00DD7702"/>
    <w:rsid w:val="00DF12FA"/>
    <w:rsid w:val="00E02088"/>
    <w:rsid w:val="00E46B4F"/>
    <w:rsid w:val="00E60A9C"/>
    <w:rsid w:val="00E767B5"/>
    <w:rsid w:val="00E91DF3"/>
    <w:rsid w:val="00EC6F21"/>
    <w:rsid w:val="00ED235A"/>
    <w:rsid w:val="00F241EA"/>
    <w:rsid w:val="00F31584"/>
    <w:rsid w:val="00F4323E"/>
    <w:rsid w:val="00FA7994"/>
    <w:rsid w:val="00FE352E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DD3C"/>
  <w15:docId w15:val="{B7330689-56F7-454F-A961-20D5E429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3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2D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91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elder@ie.ufrj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ren.vernersbach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1498</Words>
  <Characters>8095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WS1</dc:creator>
  <cp:keywords/>
  <cp:lastModifiedBy>Aldren Stephano Vernersbach Martins</cp:lastModifiedBy>
  <cp:revision>129</cp:revision>
  <dcterms:created xsi:type="dcterms:W3CDTF">2024-01-10T14:51:00Z</dcterms:created>
  <dcterms:modified xsi:type="dcterms:W3CDTF">2024-03-06T22:39:00Z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5a0813b0,2a32a617,194c82b5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Classificado como Público</vt:lpwstr>
  </property>
  <property fmtid="{D5CDD505-2E9C-101B-9397-08002B2CF9AE}" pid="5" name="MSIP_Label_66e7e18f-5bef-4af5-83ed-4f28cda7ebe7_Enabled">
    <vt:lpwstr>true</vt:lpwstr>
  </property>
  <property fmtid="{D5CDD505-2E9C-101B-9397-08002B2CF9AE}" pid="6" name="MSIP_Label_66e7e18f-5bef-4af5-83ed-4f28cda7ebe7_SetDate">
    <vt:lpwstr>2024-02-23T21:41:19Z</vt:lpwstr>
  </property>
  <property fmtid="{D5CDD505-2E9C-101B-9397-08002B2CF9AE}" pid="7" name="MSIP_Label_66e7e18f-5bef-4af5-83ed-4f28cda7ebe7_Method">
    <vt:lpwstr>Privileged</vt:lpwstr>
  </property>
  <property fmtid="{D5CDD505-2E9C-101B-9397-08002B2CF9AE}" pid="8" name="MSIP_Label_66e7e18f-5bef-4af5-83ed-4f28cda7ebe7_Name">
    <vt:lpwstr>66e7e18f-5bef-4af5-83ed-4f28cda7ebe7</vt:lpwstr>
  </property>
  <property fmtid="{D5CDD505-2E9C-101B-9397-08002B2CF9AE}" pid="9" name="MSIP_Label_66e7e18f-5bef-4af5-83ed-4f28cda7ebe7_SiteId">
    <vt:lpwstr>57b8c96e-ac2f-4d78-a149-f1fc6817d3c4</vt:lpwstr>
  </property>
  <property fmtid="{D5CDD505-2E9C-101B-9397-08002B2CF9AE}" pid="10" name="MSIP_Label_66e7e18f-5bef-4af5-83ed-4f28cda7ebe7_ActionId">
    <vt:lpwstr>ffafacf1-2868-4a33-9fc7-0b2336e9b65e</vt:lpwstr>
  </property>
  <property fmtid="{D5CDD505-2E9C-101B-9397-08002B2CF9AE}" pid="11" name="MSIP_Label_66e7e18f-5bef-4af5-83ed-4f28cda7ebe7_ContentBits">
    <vt:lpwstr>2</vt:lpwstr>
  </property>
</Properties>
</file>