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Calibri" w:cs="Calibri" w:eastAsia="Calibri" w:hAnsi="Calibri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Um estudo da prospecção fitoquímica e atividade anti</w:t>
      </w:r>
      <w:r w:rsidDel="00000000" w:rsidR="00000000" w:rsidRPr="00000000">
        <w:rPr>
          <w:b w:val="1"/>
          <w:sz w:val="28"/>
          <w:szCs w:val="28"/>
          <w:rtl w:val="0"/>
        </w:rPr>
        <w:t xml:space="preserve">oxidante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do extrato aquoso d</w:t>
      </w: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Libidibia ferrea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Márcio Laranjeira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Anselmo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Sulcimilena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Mady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Flores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Mateus Feitosa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Santos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Renata Takeara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Hattori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Paulo José de Sousa Maia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Eldon Carlos dos Santos </w:t>
      </w:r>
      <w:r w:rsidDel="00000000" w:rsidR="00000000" w:rsidRPr="00000000">
        <w:rPr>
          <w:rtl w:val="0"/>
        </w:rPr>
        <w:t xml:space="preserve">Colares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Instituto de Ciências Exatas e Tecnologia (ICET), Universidade Federal do Amazonas (UFAM)</w:t>
      </w:r>
    </w:p>
    <w:p w:rsidR="00000000" w:rsidDel="00000000" w:rsidP="00000000" w:rsidRDefault="00000000" w:rsidRPr="00000000" w14:paraId="00000005">
      <w:pPr>
        <w:widowControl w:val="1"/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Universidade</w:t>
      </w:r>
      <w:r w:rsidDel="00000000" w:rsidR="00000000" w:rsidRPr="00000000">
        <w:rPr>
          <w:rtl w:val="0"/>
        </w:rPr>
        <w:t xml:space="preserve"> Federal do Rio de Janeiro – </w:t>
      </w:r>
      <w:r w:rsidDel="00000000" w:rsidR="00000000" w:rsidRPr="00000000">
        <w:rPr>
          <w:rtl w:val="0"/>
        </w:rPr>
        <w:t xml:space="preserve">Campos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Macaé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Farmacêutico</w:t>
      </w:r>
      <w:r w:rsidDel="00000000" w:rsidR="00000000" w:rsidRPr="00000000">
        <w:rPr>
          <w:rtl w:val="0"/>
        </w:rPr>
        <w:t xml:space="preserve">, Responsável Técnico Parbox-Manaus, Instituto Esperança de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sz w:val="22"/>
          <w:szCs w:val="2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none"/>
            <w:rtl w:val="0"/>
          </w:rPr>
          <w:t xml:space="preserve">mlaranjeira456@gmail.com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widowControl w:val="1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O uso de plantas medicinais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expõem significativos resultados para a ciência.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Brasil é um país privilegiado relacionado ao emprego da fitoterapia, p</w:t>
      </w:r>
      <w:r w:rsidDel="00000000" w:rsidR="00000000" w:rsidRPr="00000000">
        <w:rPr>
          <w:rtl w:val="0"/>
        </w:rPr>
        <w:t xml:space="preserve">elo fato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possui</w:t>
      </w:r>
      <w:r w:rsidDel="00000000" w:rsidR="00000000" w:rsidRPr="00000000">
        <w:rPr>
          <w:rtl w:val="0"/>
        </w:rPr>
        <w:t xml:space="preserve">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25% da flora mundial e um patrimônio genético com grande potencial para o desenvolvimento de novos medicamentos</w:t>
      </w:r>
      <w:r w:rsidDel="00000000" w:rsidR="00000000" w:rsidRPr="00000000">
        <w:rPr>
          <w:rtl w:val="0"/>
        </w:rPr>
        <w:t xml:space="preserve">.Dentre as espécies investigadas pela indústria farmacêutica destaca-se a </w:t>
      </w:r>
      <w:r w:rsidDel="00000000" w:rsidR="00000000" w:rsidRPr="00000000">
        <w:rPr>
          <w:i w:val="1"/>
          <w:rtl w:val="0"/>
        </w:rPr>
        <w:t xml:space="preserve">Libidibia ferrea</w:t>
      </w:r>
      <w:r w:rsidDel="00000000" w:rsidR="00000000" w:rsidRPr="00000000">
        <w:rPr>
          <w:rtl w:val="0"/>
        </w:rPr>
        <w:t xml:space="preserve"> conhecida popularmente como Jucá. </w:t>
      </w: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Avaliar o perfil químico e atividade antioxidante do extrato aquoso de </w:t>
      </w:r>
      <w:r w:rsidDel="00000000" w:rsidR="00000000" w:rsidRPr="00000000">
        <w:rPr>
          <w:i w:val="1"/>
          <w:rtl w:val="0"/>
        </w:rPr>
        <w:t xml:space="preserve">Libidibia ferrea</w:t>
      </w:r>
      <w:r w:rsidDel="00000000" w:rsidR="00000000" w:rsidRPr="00000000">
        <w:rPr>
          <w:rtl w:val="0"/>
        </w:rPr>
        <w:t xml:space="preserve"> coletado em Itacoatiara.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fruto</w:t>
      </w:r>
      <w:r w:rsidDel="00000000" w:rsidR="00000000" w:rsidRPr="00000000">
        <w:rPr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Libidibia ferrea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  <w:r w:rsidDel="00000000" w:rsidR="00000000" w:rsidRPr="00000000">
        <w:rPr>
          <w:rtl w:val="0"/>
        </w:rPr>
        <w:t xml:space="preserve">foram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adquiridos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município de Itacoatiara-AM, para a obtenção do extrato aquoso. Assim, o procedimento experimental foi realizado no laboratório de Química de Produtos Naturais da UFAM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ICET. Respectivamente, os frutos foram limpos com auxílio de uma flanela umedecida com água destilada e pesadas com o auxílio de uma balança semi-</w:t>
      </w:r>
      <w:r w:rsidDel="00000000" w:rsidR="00000000" w:rsidRPr="00000000">
        <w:rPr>
          <w:rtl w:val="0"/>
        </w:rPr>
        <w:t xml:space="preserve">analítica, obtendo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-se </w:t>
      </w:r>
      <w:r w:rsidDel="00000000" w:rsidR="00000000" w:rsidRPr="00000000">
        <w:rPr>
          <w:rtl w:val="0"/>
        </w:rPr>
        <w:t xml:space="preserve">1 kg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reservou-se em ambiente adequado. No mais, pesados separadamente para diferentes testes. Na sequência, pesou-se 1 grama para prospecção </w:t>
      </w:r>
      <w:r w:rsidDel="00000000" w:rsidR="00000000" w:rsidRPr="00000000">
        <w:rPr>
          <w:rtl w:val="0"/>
        </w:rPr>
        <w:t xml:space="preserve">fitoquímica e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grama</w:t>
      </w:r>
      <w:r w:rsidDel="00000000" w:rsidR="00000000" w:rsidRPr="00000000">
        <w:rPr>
          <w:rtl w:val="0"/>
        </w:rPr>
        <w:t xml:space="preserve"> para o ensaio antioxidante. </w:t>
      </w: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O estudo fitoquímico foi realizado mediante a metodologia descrita por (Matos.,2009) usando ensaios cromáticos. A atividade antioxidante foi realizada frente aos radicais DPPH e ABTS. Dentre os metabólitos encontrados, destacam-se (Flavonoides, Flavonas, Saponinas, Taninos Condensados, Taninos hidrolisáveis  e Alcalóides). Quanto a atividade antioxidante o extrato aquoso de </w:t>
      </w:r>
      <w:r w:rsidDel="00000000" w:rsidR="00000000" w:rsidRPr="00000000">
        <w:rPr>
          <w:i w:val="1"/>
          <w:rtl w:val="0"/>
        </w:rPr>
        <w:t xml:space="preserve">Libidibia ferrea</w:t>
      </w:r>
      <w:r w:rsidDel="00000000" w:rsidR="00000000" w:rsidRPr="00000000">
        <w:rPr>
          <w:rtl w:val="0"/>
        </w:rPr>
        <w:t xml:space="preserve">  apresentou elevada atividade antioxidante  frente aos radicais testados, em relação ao radical de </w:t>
      </w:r>
      <w:r w:rsidDel="00000000" w:rsidR="00000000" w:rsidRPr="00000000">
        <w:rPr>
          <w:rtl w:val="0"/>
        </w:rPr>
        <w:t xml:space="preserve">DPPH˙</w:t>
      </w:r>
      <w:r w:rsidDel="00000000" w:rsidR="00000000" w:rsidRPr="00000000">
        <w:rPr>
          <w:rtl w:val="0"/>
        </w:rPr>
        <w:t xml:space="preserve">, o extrato apresentou valor TEAC (Capacidade Antioxidante Total Equivalente ao Trolox) de 1921,76± 0,00 µM ET, em relação ao </w:t>
      </w:r>
      <w:r w:rsidDel="00000000" w:rsidR="00000000" w:rsidRPr="00000000">
        <w:rPr>
          <w:rtl w:val="0"/>
        </w:rPr>
        <w:t xml:space="preserve">ABTS+</w:t>
      </w:r>
      <w:r w:rsidDel="00000000" w:rsidR="00000000" w:rsidRPr="00000000">
        <w:rPr>
          <w:rtl w:val="0"/>
        </w:rPr>
        <w:t xml:space="preserve">, o valor de TEAC foi de 2192,001 ± 0 µM ET, quanto aos teores de fenólicos totais, foi encontrado o valor de 315,68 ± 00. </w:t>
      </w:r>
      <w:r w:rsidDel="00000000" w:rsidR="00000000" w:rsidRPr="00000000">
        <w:rPr>
          <w:b w:val="1"/>
          <w:rtl w:val="0"/>
        </w:rPr>
        <w:t xml:space="preserve">Conclusão: </w:t>
      </w:r>
      <w:r w:rsidDel="00000000" w:rsidR="00000000" w:rsidRPr="00000000">
        <w:rPr>
          <w:rtl w:val="0"/>
        </w:rPr>
        <w:t xml:space="preserve">O extrato de </w:t>
      </w:r>
      <w:r w:rsidDel="00000000" w:rsidR="00000000" w:rsidRPr="00000000">
        <w:rPr>
          <w:i w:val="1"/>
          <w:rtl w:val="0"/>
        </w:rPr>
        <w:t xml:space="preserve">Libidibia ferrea</w:t>
      </w:r>
      <w:r w:rsidDel="00000000" w:rsidR="00000000" w:rsidRPr="00000000">
        <w:rPr>
          <w:rtl w:val="0"/>
        </w:rPr>
        <w:t xml:space="preserve">  apresentou diferentes classes de metabólitos de interesse farmacológico as quais podem ser utilizadas para a síntese de novas moléculas bioativas. A espécie estudada neste trabalho apresentou atividade  antioxidante com alta capacidade de neutralizar os radicais livres testados DPPH• e </w:t>
      </w:r>
      <w:r w:rsidDel="00000000" w:rsidR="00000000" w:rsidRPr="00000000">
        <w:rPr>
          <w:rtl w:val="0"/>
        </w:rPr>
        <w:t xml:space="preserve">ABTS+</w:t>
      </w:r>
      <w:r w:rsidDel="00000000" w:rsidR="00000000" w:rsidRPr="00000000">
        <w:rPr>
          <w:rtl w:val="0"/>
        </w:rPr>
        <w:t xml:space="preserve">. É fundamental que novos testes sejam realizados a fim de elucidar o mecanismo de ação usado pelos metabólitos da </w:t>
      </w:r>
      <w:r w:rsidDel="00000000" w:rsidR="00000000" w:rsidRPr="00000000">
        <w:rPr>
          <w:i w:val="1"/>
          <w:rtl w:val="0"/>
        </w:rPr>
        <w:t xml:space="preserve">Libidibia ferrea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Palavras-chave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tl w:val="0"/>
        </w:rPr>
        <w:t xml:space="preserve">Fitoquímica; Extrato; Antioxidante; Metabólitos.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Referência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 SILVA KOBAYASHI, Yuri Teiichi et al. Avaliação fitoquímica e potencial cicatrizante do extrato etanólico dos frutos de Jucá (Libidibia ferrea) em ratos Wistar.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Brazilian Journal of Veterinary Research and Animal Science,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v. 52, n. 1, p. 34-40, 2015.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2086" w:left="1134" w:right="1134" w:header="168" w:footer="9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b="0" l="0" r="0" t="0"/>
          <wp:wrapNone/>
          <wp:docPr descr="Ícone&#10;&#10;Descrição gerada automaticamente" id="1771907546" name="image2.png"/>
          <a:graphic>
            <a:graphicData uri="http://schemas.openxmlformats.org/drawingml/2006/picture">
              <pic:pic>
                <pic:nvPicPr>
                  <pic:cNvPr descr="Ícone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302" cy="624840"/>
          <wp:effectExtent b="0" l="0" r="0" t="0"/>
          <wp:wrapNone/>
          <wp:docPr descr="Uma imagem contendo Logotipo&#10;&#10;Descrição gerada automaticamente" id="1771907545" name="image3.png"/>
          <a:graphic>
            <a:graphicData uri="http://schemas.openxmlformats.org/drawingml/2006/picture">
              <pic:pic>
                <pic:nvPicPr>
                  <pic:cNvPr descr="Uma imagem contendo Logotipo&#10;&#10;Descrição gerada automaticamente" id="0" name="image3.png"/>
                  <pic:cNvPicPr preferRelativeResize="0"/>
                </pic:nvPicPr>
                <pic:blipFill>
                  <a:blip r:embed="rId2"/>
                  <a:srcRect b="7859" l="20015" r="18981" t="5829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b="0" l="0" r="0" t="0"/>
          <wp:wrapNone/>
          <wp:docPr descr="Logotipo&#10;&#10;Descrição gerada automaticamente" id="1771907544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  <w:tab w:val="right" w:leader="none" w:pos="9071"/>
      </w:tabs>
      <w:rPr>
        <w:rFonts w:ascii="Book Antiqua" w:cs="Book Antiqua" w:eastAsia="Book Antiqua" w:hAnsi="Book Antiqua"/>
        <w:b w:val="1"/>
        <w:color w:val="385623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25400</wp:posOffset>
              </wp:positionV>
              <wp:extent cx="2346960" cy="1134745"/>
              <wp:effectExtent b="0" l="0" r="0" t="0"/>
              <wp:wrapSquare wrapText="bothSides" distB="0" distT="0" distL="114300" distR="114300"/>
              <wp:docPr id="177190754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172500" y="3212600"/>
                        <a:ext cx="2346960" cy="1134745"/>
                        <a:chOff x="4172500" y="3212600"/>
                        <a:chExt cx="2347000" cy="1134800"/>
                      </a:xfrm>
                    </wpg:grpSpPr>
                    <wpg:grpSp>
                      <wpg:cNvGrpSpPr/>
                      <wpg:grpSpPr>
                        <a:xfrm>
                          <a:off x="4172520" y="3212628"/>
                          <a:ext cx="2346960" cy="1134745"/>
                          <a:chOff x="4167750" y="3207850"/>
                          <a:chExt cx="2356500" cy="1144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167750" y="3207850"/>
                            <a:ext cx="2356500" cy="114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172520" y="3212628"/>
                            <a:ext cx="2346960" cy="1134745"/>
                            <a:chOff x="4145845" y="3160874"/>
                            <a:chExt cx="2400306" cy="123824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145845" y="3160874"/>
                              <a:ext cx="2400300" cy="123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45845" y="3160874"/>
                              <a:ext cx="2400306" cy="1238249"/>
                              <a:chOff x="-5" y="-1"/>
                              <a:chExt cx="2400306" cy="14859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5" y="0"/>
                                <a:ext cx="2400306" cy="1391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" y="-1"/>
                                <a:ext cx="2400296" cy="1485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2E549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Logotipo, nome da empresa&#10;&#10;Descrição gerada automaticamente"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27242" l="8268" r="6901" t="18850"/>
                              <a:stretch/>
                            </pic:blipFill>
                            <pic:spPr>
                              <a:xfrm>
                                <a:off x="161925" y="47625"/>
                                <a:ext cx="2114550" cy="1343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25400</wp:posOffset>
              </wp:positionV>
              <wp:extent cx="2346960" cy="1134745"/>
              <wp:effectExtent b="0" l="0" r="0" t="0"/>
              <wp:wrapSquare wrapText="bothSides" distB="0" distT="0" distL="114300" distR="114300"/>
              <wp:docPr id="177190754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6960" cy="1134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  <w:tab w:val="right" w:leader="none" w:pos="9071"/>
      </w:tabs>
      <w:jc w:val="center"/>
      <w:rPr>
        <w:rFonts w:ascii="Book Antiqua" w:cs="Book Antiqua" w:eastAsia="Book Antiqua" w:hAnsi="Book Antiqua"/>
        <w:b w:val="1"/>
        <w:color w:val="38562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jc w:val="center"/>
      <w:rPr>
        <w:rFonts w:ascii="Book Antiqua" w:cs="Book Antiqua" w:eastAsia="Book Antiqua" w:hAnsi="Book Antiqua"/>
        <w:b w:val="1"/>
        <w:color w:val="38562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right" w:leader="none" w:pos="9638"/>
      </w:tabs>
      <w:ind w:left="3360" w:firstLine="0"/>
      <w:jc w:val="center"/>
      <w:rPr>
        <w:rFonts w:ascii="Book Antiqua" w:cs="Book Antiqua" w:eastAsia="Book Antiqua" w:hAnsi="Book Antiqua"/>
        <w:b w:val="1"/>
        <w:color w:val="385623"/>
      </w:rPr>
    </w:pPr>
    <w:r w:rsidDel="00000000" w:rsidR="00000000" w:rsidRPr="00000000">
      <w:rPr>
        <w:rFonts w:ascii="Book Antiqua" w:cs="Book Antiqua" w:eastAsia="Book Antiqua" w:hAnsi="Book Antiqua"/>
        <w:b w:val="1"/>
        <w:color w:val="385623"/>
        <w:rtl w:val="0"/>
      </w:rPr>
      <w:t xml:space="preserve">Química no cotidiano: relação entre o ensino e pesquisa</w:t>
    </w:r>
  </w:p>
  <w:p w:rsidR="00000000" w:rsidDel="00000000" w:rsidP="00000000" w:rsidRDefault="00000000" w:rsidRPr="00000000" w14:paraId="00000014">
    <w:pPr>
      <w:tabs>
        <w:tab w:val="right" w:leader="none" w:pos="9638"/>
      </w:tabs>
      <w:ind w:left="3360" w:firstLine="0"/>
      <w:jc w:val="center"/>
      <w:rPr>
        <w:rFonts w:ascii="Book Antiqua" w:cs="Book Antiqua" w:eastAsia="Book Antiqua" w:hAnsi="Book Antiqua"/>
        <w:b w:val="1"/>
        <w:color w:val="385623"/>
      </w:rPr>
    </w:pPr>
    <w:r w:rsidDel="00000000" w:rsidR="00000000" w:rsidRPr="00000000">
      <w:rPr>
        <w:rFonts w:ascii="Book Antiqua" w:cs="Book Antiqua" w:eastAsia="Book Antiqua" w:hAnsi="Book Antiqua"/>
        <w:b w:val="1"/>
        <w:color w:val="385623"/>
        <w:rtl w:val="0"/>
      </w:rPr>
      <w:t xml:space="preserve">17 a 19 de junho de 2024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jc w:val="both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iperlinkVisitado">
    <w:name w:val="FollowedHyperlink"/>
    <w:basedOn w:val="Fontepargpadro"/>
    <w:uiPriority w:val="99"/>
    <w:semiHidden w:val="1"/>
    <w:unhideWhenUsed w:val="1"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 w:val="1"/>
    <w:unhideWhenUsed w:val="1"/>
    <w:qFormat w:val="1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qFormat w:val="1"/>
    <w:rPr>
      <w:rFonts w:ascii="Arial" w:cs="Arial" w:hAnsi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 w:val="1"/>
    <w:pPr>
      <w:spacing w:after="120"/>
    </w:p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qFormat w:val="1"/>
    <w:pPr>
      <w:widowControl w:val="1"/>
      <w:suppressAutoHyphens w:val="0"/>
      <w:spacing w:after="100" w:afterAutospacing="1" w:before="100" w:before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 w:val="1"/>
    <w:qFormat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qFormat w:val="1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textoChar" w:customStyle="1">
    <w:name w:val="Corpo de texto Char"/>
    <w:basedOn w:val="Fontepargpadro"/>
    <w:link w:val="Corpodetexto"/>
    <w:qFormat w:val="1"/>
    <w:rPr>
      <w:rFonts w:ascii="Times New Roman" w:cs="Times New Roman" w:eastAsia="Arial Unicode MS" w:hAnsi="Times New Roman"/>
      <w:kern w:val="1"/>
      <w:sz w:val="24"/>
      <w:szCs w:val="24"/>
      <w:lang w:eastAsia="pt-BR"/>
    </w:rPr>
  </w:style>
  <w:style w:type="character" w:styleId="CabealhoChar" w:customStyle="1">
    <w:name w:val="Cabeçalho Char"/>
    <w:basedOn w:val="Fontepargpadro"/>
    <w:link w:val="Cabealho"/>
    <w:uiPriority w:val="99"/>
    <w:qFormat w:val="1"/>
    <w:rPr>
      <w:rFonts w:ascii="Times New Roman" w:cs="Times New Roman" w:eastAsia="Arial Unicode MS" w:hAnsi="Times New Roman"/>
      <w:kern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Pr>
      <w:rFonts w:ascii="Times New Roman" w:cs="Times New Roman" w:eastAsia="Arial Unicode MS" w:hAnsi="Times New Roman"/>
      <w:kern w:val="1"/>
      <w:sz w:val="24"/>
      <w:szCs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qFormat w:val="1"/>
    <w:rPr>
      <w:rFonts w:ascii="Times New Roman" w:cs="Times New Roman" w:eastAsia="Arial Unicode MS" w:hAnsi="Times New Roman"/>
      <w:kern w:val="1"/>
      <w:sz w:val="20"/>
      <w:szCs w:val="20"/>
    </w:rPr>
  </w:style>
  <w:style w:type="character" w:styleId="apple-style-span" w:customStyle="1">
    <w:name w:val="apple-style-span"/>
    <w:basedOn w:val="Fontepargpadro"/>
    <w:qFormat w:val="1"/>
  </w:style>
  <w:style w:type="character" w:styleId="hps" w:customStyle="1">
    <w:name w:val="hps"/>
    <w:basedOn w:val="Fontepargpadro"/>
    <w:qFormat w:val="1"/>
  </w:style>
  <w:style w:type="paragraph" w:styleId="Normal1" w:customStyle="1">
    <w:name w:val="Normal1"/>
    <w:qFormat w:val="1"/>
    <w:pPr>
      <w:widowControl w:val="0"/>
    </w:pPr>
    <w:rPr>
      <w:color w:val="000000"/>
      <w:sz w:val="24"/>
      <w:szCs w:val="2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eastAsia="Arial Unicode MS" w:hAnsi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132B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laranjeira456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3r+e/5KcxHYRHC6RqIijPAE7g==">CgMxLjA4AHIhMWFtRzFETUZraWdKWmVzV1NJaDQ4dDZDVjlJUC1DQTc2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2024-04-26T03:40:00Z</dcterms:created>
  <dc:creator>Jaiane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