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99D52D" w14:textId="65F52082" w:rsidR="00504FAE" w:rsidRPr="005C3D4C" w:rsidRDefault="005C3D4C" w:rsidP="005C3D4C">
      <w:pPr>
        <w:pStyle w:val="NormalWeb"/>
        <w:spacing w:before="0" w:beforeAutospacing="0" w:after="0" w:afterAutospacing="0"/>
        <w:jc w:val="center"/>
      </w:pPr>
      <w:r>
        <w:rPr>
          <w:b/>
          <w:bCs/>
          <w:color w:val="000000"/>
        </w:rPr>
        <w:t>A IMPORTÂNCIA DO SEMINÁRIO NA FORMAÇÃO CONTINUADA </w:t>
      </w:r>
    </w:p>
    <w:p w14:paraId="0B93FAFD" w14:textId="77777777" w:rsidR="00504FAE" w:rsidRDefault="00504FAE">
      <w:pPr>
        <w:spacing w:after="0" w:line="240" w:lineRule="auto"/>
        <w:jc w:val="right"/>
        <w:rPr>
          <w:rFonts w:ascii="Times New Roman" w:eastAsia="Times New Roman" w:hAnsi="Times New Roman" w:cs="Times New Roman"/>
          <w:bCs/>
          <w:sz w:val="24"/>
          <w:szCs w:val="24"/>
          <w:lang w:eastAsia="pt-BR"/>
        </w:rPr>
      </w:pPr>
    </w:p>
    <w:p w14:paraId="47107501" w14:textId="77777777" w:rsidR="00504FAE" w:rsidRDefault="005A5D47">
      <w:pPr>
        <w:spacing w:after="0" w:line="240" w:lineRule="auto"/>
        <w:jc w:val="right"/>
        <w:rPr>
          <w:rFonts w:ascii="Times New Roman" w:eastAsia="Times New Roman" w:hAnsi="Times New Roman" w:cs="Times New Roman"/>
          <w:bCs/>
          <w:sz w:val="24"/>
          <w:szCs w:val="24"/>
          <w:lang w:eastAsia="pt-BR"/>
        </w:rPr>
      </w:pPr>
      <w:r>
        <w:rPr>
          <w:rFonts w:ascii="Times New Roman" w:eastAsia="Times New Roman" w:hAnsi="Times New Roman" w:cs="Times New Roman"/>
          <w:bCs/>
          <w:sz w:val="24"/>
          <w:szCs w:val="24"/>
          <w:lang w:eastAsia="pt-BR"/>
        </w:rPr>
        <w:t>Ana Lúcia Ferreira dos Santos</w:t>
      </w:r>
    </w:p>
    <w:p w14:paraId="5D6590F0" w14:textId="77777777" w:rsidR="00504FAE" w:rsidRDefault="005A5D47">
      <w:pPr>
        <w:spacing w:after="0" w:line="240" w:lineRule="auto"/>
        <w:jc w:val="right"/>
        <w:rPr>
          <w:rFonts w:ascii="Times New Roman" w:eastAsia="Times New Roman" w:hAnsi="Times New Roman" w:cs="Times New Roman"/>
          <w:sz w:val="24"/>
          <w:szCs w:val="24"/>
          <w:lang w:eastAsia="pt-BR"/>
        </w:rPr>
      </w:pPr>
      <w:proofErr w:type="spellStart"/>
      <w:r>
        <w:rPr>
          <w:rFonts w:ascii="Times New Roman" w:eastAsia="Times New Roman" w:hAnsi="Times New Roman" w:cs="Times New Roman"/>
          <w:sz w:val="24"/>
          <w:szCs w:val="24"/>
          <w:lang w:val="en-US" w:eastAsia="pt-BR"/>
        </w:rPr>
        <w:t>Mestranda</w:t>
      </w:r>
      <w:proofErr w:type="spellEnd"/>
      <w:r>
        <w:rPr>
          <w:rFonts w:ascii="Times New Roman" w:eastAsia="Times New Roman" w:hAnsi="Times New Roman" w:cs="Times New Roman"/>
          <w:sz w:val="24"/>
          <w:szCs w:val="24"/>
          <w:lang w:val="en-US" w:eastAsia="pt-BR"/>
        </w:rPr>
        <w:t xml:space="preserve"> </w:t>
      </w:r>
      <w:proofErr w:type="spellStart"/>
      <w:r>
        <w:rPr>
          <w:rFonts w:ascii="Times New Roman" w:eastAsia="Times New Roman" w:hAnsi="Times New Roman" w:cs="Times New Roman"/>
          <w:sz w:val="24"/>
          <w:szCs w:val="24"/>
          <w:lang w:val="en-US" w:eastAsia="pt-BR"/>
        </w:rPr>
        <w:t>em</w:t>
      </w:r>
      <w:proofErr w:type="spellEnd"/>
      <w:r>
        <w:rPr>
          <w:rFonts w:ascii="Times New Roman" w:eastAsia="Times New Roman" w:hAnsi="Times New Roman" w:cs="Times New Roman"/>
          <w:sz w:val="24"/>
          <w:szCs w:val="24"/>
          <w:lang w:val="en-US" w:eastAsia="pt-BR"/>
        </w:rPr>
        <w:t xml:space="preserve"> </w:t>
      </w:r>
      <w:proofErr w:type="spellStart"/>
      <w:r>
        <w:rPr>
          <w:rFonts w:ascii="Times New Roman" w:eastAsia="Times New Roman" w:hAnsi="Times New Roman" w:cs="Times New Roman"/>
          <w:sz w:val="24"/>
          <w:szCs w:val="24"/>
          <w:lang w:val="en-US" w:eastAsia="pt-BR"/>
        </w:rPr>
        <w:t>Educação</w:t>
      </w:r>
      <w:proofErr w:type="spellEnd"/>
      <w:r>
        <w:rPr>
          <w:rFonts w:ascii="Times New Roman" w:eastAsia="Times New Roman" w:hAnsi="Times New Roman" w:cs="Times New Roman"/>
          <w:sz w:val="24"/>
          <w:szCs w:val="24"/>
          <w:lang w:val="en-US" w:eastAsia="pt-BR"/>
        </w:rPr>
        <w:t xml:space="preserve"> – PPGE/ </w:t>
      </w:r>
      <w:proofErr w:type="spellStart"/>
      <w:r>
        <w:rPr>
          <w:rFonts w:ascii="Times New Roman" w:eastAsia="Times New Roman" w:hAnsi="Times New Roman" w:cs="Times New Roman"/>
          <w:sz w:val="24"/>
          <w:szCs w:val="24"/>
          <w:lang w:val="en-US" w:eastAsia="pt-BR"/>
        </w:rPr>
        <w:t>Unimontes</w:t>
      </w:r>
      <w:proofErr w:type="spellEnd"/>
    </w:p>
    <w:p w14:paraId="1C761E68" w14:textId="77777777" w:rsidR="00504FAE" w:rsidRDefault="0051654E">
      <w:pPr>
        <w:spacing w:after="0" w:line="240" w:lineRule="auto"/>
        <w:jc w:val="right"/>
        <w:rPr>
          <w:rFonts w:ascii="Times New Roman" w:eastAsia="Times New Roman" w:hAnsi="Times New Roman" w:cs="Times New Roman"/>
          <w:sz w:val="24"/>
          <w:szCs w:val="24"/>
          <w:lang w:eastAsia="pt-BR"/>
        </w:rPr>
      </w:pPr>
      <w:hyperlink r:id="rId6" w:history="1">
        <w:r w:rsidR="005A5D47" w:rsidRPr="007E793A">
          <w:rPr>
            <w:rStyle w:val="Hyperlink"/>
            <w:rFonts w:ascii="Times New Roman" w:eastAsia="Times New Roman" w:hAnsi="Times New Roman" w:cs="Times New Roman"/>
            <w:sz w:val="24"/>
            <w:szCs w:val="24"/>
            <w:lang w:eastAsia="pt-BR"/>
          </w:rPr>
          <w:t>lhuferreira2507@gmail.com</w:t>
        </w:r>
      </w:hyperlink>
    </w:p>
    <w:p w14:paraId="7A793FBD" w14:textId="77777777" w:rsidR="005A5D47" w:rsidRDefault="005A5D47">
      <w:pPr>
        <w:spacing w:after="0" w:line="240" w:lineRule="auto"/>
        <w:jc w:val="right"/>
        <w:rPr>
          <w:rFonts w:ascii="Times New Roman" w:eastAsia="Times New Roman" w:hAnsi="Times New Roman" w:cs="Times New Roman"/>
          <w:sz w:val="24"/>
          <w:szCs w:val="24"/>
          <w:lang w:eastAsia="pt-BR"/>
        </w:rPr>
      </w:pPr>
    </w:p>
    <w:p w14:paraId="188F2C33" w14:textId="77777777" w:rsidR="00504FAE" w:rsidRDefault="005A5D47">
      <w:pPr>
        <w:spacing w:after="0" w:line="240" w:lineRule="auto"/>
        <w:jc w:val="right"/>
        <w:rPr>
          <w:rFonts w:ascii="Times New Roman" w:eastAsia="Times New Roman" w:hAnsi="Times New Roman" w:cs="Times New Roman"/>
          <w:bCs/>
          <w:sz w:val="24"/>
          <w:szCs w:val="24"/>
          <w:lang w:eastAsia="pt-BR"/>
        </w:rPr>
      </w:pPr>
      <w:r>
        <w:rPr>
          <w:rFonts w:ascii="Times New Roman" w:eastAsia="Times New Roman" w:hAnsi="Times New Roman" w:cs="Times New Roman"/>
          <w:bCs/>
          <w:sz w:val="24"/>
          <w:szCs w:val="24"/>
          <w:lang w:eastAsia="pt-BR"/>
        </w:rPr>
        <w:t>Francely Aparecida dos Santos</w:t>
      </w:r>
    </w:p>
    <w:p w14:paraId="479F61CA" w14:textId="1C976748" w:rsidR="00504FAE" w:rsidRDefault="005A5D47">
      <w:pPr>
        <w:spacing w:after="0" w:line="240" w:lineRule="auto"/>
        <w:jc w:val="right"/>
        <w:rPr>
          <w:rFonts w:ascii="Times New Roman" w:eastAsia="Times New Roman" w:hAnsi="Times New Roman" w:cs="Times New Roman"/>
          <w:sz w:val="24"/>
          <w:szCs w:val="24"/>
          <w:lang w:eastAsia="pt-BR"/>
        </w:rPr>
      </w:pPr>
      <w:proofErr w:type="spellStart"/>
      <w:r w:rsidRPr="00DC702B">
        <w:rPr>
          <w:rFonts w:ascii="Times New Roman" w:eastAsia="Times New Roman" w:hAnsi="Times New Roman" w:cs="Times New Roman"/>
          <w:color w:val="000000" w:themeColor="text1"/>
          <w:sz w:val="24"/>
          <w:szCs w:val="24"/>
          <w:lang w:val="en-US" w:eastAsia="pt-BR"/>
        </w:rPr>
        <w:t>Professora</w:t>
      </w:r>
      <w:proofErr w:type="spellEnd"/>
      <w:r w:rsidRPr="00DC702B">
        <w:rPr>
          <w:rFonts w:ascii="Times New Roman" w:eastAsia="Times New Roman" w:hAnsi="Times New Roman" w:cs="Times New Roman"/>
          <w:color w:val="000000" w:themeColor="text1"/>
          <w:sz w:val="24"/>
          <w:szCs w:val="24"/>
          <w:lang w:val="en-US" w:eastAsia="pt-BR"/>
        </w:rPr>
        <w:t xml:space="preserve"> </w:t>
      </w:r>
      <w:r w:rsidR="00BC43E6" w:rsidRPr="00DC702B">
        <w:rPr>
          <w:rFonts w:ascii="Times New Roman" w:eastAsia="Times New Roman" w:hAnsi="Times New Roman" w:cs="Times New Roman"/>
          <w:color w:val="000000" w:themeColor="text1"/>
          <w:sz w:val="24"/>
          <w:szCs w:val="24"/>
          <w:lang w:val="en-US" w:eastAsia="pt-BR"/>
        </w:rPr>
        <w:t xml:space="preserve">do </w:t>
      </w:r>
      <w:proofErr w:type="spellStart"/>
      <w:r w:rsidR="00BC43E6" w:rsidRPr="00DC702B">
        <w:rPr>
          <w:rFonts w:ascii="Times New Roman" w:eastAsia="Times New Roman" w:hAnsi="Times New Roman" w:cs="Times New Roman"/>
          <w:color w:val="000000" w:themeColor="text1"/>
          <w:sz w:val="24"/>
          <w:szCs w:val="24"/>
          <w:lang w:val="en-US" w:eastAsia="pt-BR"/>
        </w:rPr>
        <w:t>Mestrado</w:t>
      </w:r>
      <w:proofErr w:type="spellEnd"/>
      <w:r w:rsidR="00BC43E6" w:rsidRPr="00DC702B">
        <w:rPr>
          <w:rFonts w:ascii="Times New Roman" w:eastAsia="Times New Roman" w:hAnsi="Times New Roman" w:cs="Times New Roman"/>
          <w:color w:val="000000" w:themeColor="text1"/>
          <w:sz w:val="24"/>
          <w:szCs w:val="24"/>
          <w:lang w:val="en-US" w:eastAsia="pt-BR"/>
        </w:rPr>
        <w:t xml:space="preserve"> </w:t>
      </w:r>
      <w:proofErr w:type="spellStart"/>
      <w:r w:rsidRPr="00DC702B">
        <w:rPr>
          <w:rFonts w:ascii="Times New Roman" w:eastAsia="Times New Roman" w:hAnsi="Times New Roman" w:cs="Times New Roman"/>
          <w:color w:val="000000" w:themeColor="text1"/>
          <w:sz w:val="24"/>
          <w:szCs w:val="24"/>
          <w:lang w:val="en-US" w:eastAsia="pt-BR"/>
        </w:rPr>
        <w:t>em</w:t>
      </w:r>
      <w:proofErr w:type="spellEnd"/>
      <w:r w:rsidRPr="00DC702B">
        <w:rPr>
          <w:rFonts w:ascii="Times New Roman" w:eastAsia="Times New Roman" w:hAnsi="Times New Roman" w:cs="Times New Roman"/>
          <w:color w:val="000000" w:themeColor="text1"/>
          <w:sz w:val="24"/>
          <w:szCs w:val="24"/>
          <w:lang w:val="en-US" w:eastAsia="pt-BR"/>
        </w:rPr>
        <w:t xml:space="preserve"> </w:t>
      </w:r>
      <w:proofErr w:type="spellStart"/>
      <w:r>
        <w:rPr>
          <w:rFonts w:ascii="Times New Roman" w:eastAsia="Times New Roman" w:hAnsi="Times New Roman" w:cs="Times New Roman"/>
          <w:sz w:val="24"/>
          <w:szCs w:val="24"/>
          <w:lang w:val="en-US" w:eastAsia="pt-BR"/>
        </w:rPr>
        <w:t>Educação</w:t>
      </w:r>
      <w:proofErr w:type="spellEnd"/>
      <w:r>
        <w:rPr>
          <w:rFonts w:ascii="Times New Roman" w:eastAsia="Times New Roman" w:hAnsi="Times New Roman" w:cs="Times New Roman"/>
          <w:sz w:val="24"/>
          <w:szCs w:val="24"/>
          <w:lang w:val="en-US" w:eastAsia="pt-BR"/>
        </w:rPr>
        <w:t xml:space="preserve"> </w:t>
      </w:r>
      <w:r w:rsidR="00BC43E6" w:rsidRPr="00DC702B">
        <w:rPr>
          <w:rFonts w:ascii="Times New Roman" w:eastAsia="Times New Roman" w:hAnsi="Times New Roman" w:cs="Times New Roman"/>
          <w:color w:val="000000" w:themeColor="text1"/>
          <w:sz w:val="24"/>
          <w:szCs w:val="24"/>
          <w:lang w:val="en-US" w:eastAsia="pt-BR"/>
        </w:rPr>
        <w:t>–</w:t>
      </w:r>
      <w:r w:rsidRPr="00DC702B">
        <w:rPr>
          <w:rFonts w:ascii="Times New Roman" w:eastAsia="Times New Roman" w:hAnsi="Times New Roman" w:cs="Times New Roman"/>
          <w:color w:val="000000" w:themeColor="text1"/>
          <w:sz w:val="24"/>
          <w:szCs w:val="24"/>
          <w:lang w:val="en-US" w:eastAsia="pt-BR"/>
        </w:rPr>
        <w:t xml:space="preserve"> </w:t>
      </w:r>
      <w:r w:rsidR="00BC43E6" w:rsidRPr="00DC702B">
        <w:rPr>
          <w:rFonts w:ascii="Times New Roman" w:eastAsia="Times New Roman" w:hAnsi="Times New Roman" w:cs="Times New Roman"/>
          <w:color w:val="000000" w:themeColor="text1"/>
          <w:sz w:val="24"/>
          <w:szCs w:val="24"/>
          <w:lang w:val="en-US" w:eastAsia="pt-BR"/>
        </w:rPr>
        <w:t>PPGE/</w:t>
      </w:r>
      <w:proofErr w:type="spellStart"/>
      <w:r w:rsidRPr="00DC702B">
        <w:rPr>
          <w:rFonts w:ascii="Times New Roman" w:eastAsia="Times New Roman" w:hAnsi="Times New Roman" w:cs="Times New Roman"/>
          <w:color w:val="000000" w:themeColor="text1"/>
          <w:sz w:val="24"/>
          <w:szCs w:val="24"/>
          <w:lang w:val="en-US" w:eastAsia="pt-BR"/>
        </w:rPr>
        <w:t>Unimontes</w:t>
      </w:r>
      <w:proofErr w:type="spellEnd"/>
    </w:p>
    <w:p w14:paraId="4877643D" w14:textId="77777777" w:rsidR="005A5D47" w:rsidRDefault="0051654E">
      <w:pPr>
        <w:spacing w:after="0" w:line="240" w:lineRule="auto"/>
        <w:jc w:val="right"/>
        <w:rPr>
          <w:rFonts w:ascii="Times New Roman" w:eastAsia="Times New Roman" w:hAnsi="Times New Roman" w:cs="Times New Roman"/>
          <w:sz w:val="24"/>
          <w:szCs w:val="24"/>
          <w:lang w:eastAsia="pt-BR"/>
        </w:rPr>
      </w:pPr>
      <w:hyperlink r:id="rId7" w:history="1">
        <w:r w:rsidR="005A5D47" w:rsidRPr="007E793A">
          <w:rPr>
            <w:rStyle w:val="Hyperlink"/>
            <w:rFonts w:ascii="Times New Roman" w:eastAsia="Times New Roman" w:hAnsi="Times New Roman" w:cs="Times New Roman"/>
            <w:sz w:val="24"/>
            <w:szCs w:val="24"/>
            <w:lang w:eastAsia="pt-BR"/>
          </w:rPr>
          <w:t>francely.santos@unimontes.br</w:t>
        </w:r>
      </w:hyperlink>
    </w:p>
    <w:p w14:paraId="274D5A8B" w14:textId="77777777" w:rsidR="00504FAE" w:rsidRDefault="00504FAE">
      <w:pPr>
        <w:spacing w:after="0" w:line="240" w:lineRule="auto"/>
        <w:jc w:val="right"/>
        <w:rPr>
          <w:rFonts w:ascii="Times New Roman" w:eastAsia="Times New Roman" w:hAnsi="Times New Roman" w:cs="Times New Roman"/>
          <w:sz w:val="24"/>
          <w:szCs w:val="24"/>
          <w:lang w:eastAsia="pt-BR"/>
        </w:rPr>
      </w:pPr>
    </w:p>
    <w:p w14:paraId="5D974CED" w14:textId="77777777" w:rsidR="00504FAE" w:rsidRPr="005A5D47" w:rsidRDefault="002A1B5D">
      <w:pPr>
        <w:wordWrap w:val="0"/>
        <w:spacing w:after="0" w:line="240" w:lineRule="auto"/>
        <w:jc w:val="right"/>
        <w:rPr>
          <w:rFonts w:ascii="Times New Roman" w:eastAsia="Times New Roman" w:hAnsi="Times New Roman" w:cs="Times New Roman"/>
          <w:bCs/>
          <w:sz w:val="24"/>
          <w:szCs w:val="24"/>
          <w:lang w:val="en-US" w:eastAsia="pt-BR"/>
        </w:rPr>
      </w:pPr>
      <w:r>
        <w:rPr>
          <w:rFonts w:ascii="Times New Roman" w:eastAsia="Times New Roman" w:hAnsi="Times New Roman" w:cs="Times New Roman"/>
          <w:b/>
          <w:bCs/>
          <w:sz w:val="24"/>
          <w:szCs w:val="24"/>
          <w:lang w:eastAsia="pt-BR"/>
        </w:rPr>
        <w:t>Eixo</w:t>
      </w:r>
      <w:r>
        <w:rPr>
          <w:rFonts w:ascii="Times New Roman" w:eastAsia="Times New Roman" w:hAnsi="Times New Roman" w:cs="Times New Roman"/>
          <w:b/>
          <w:bCs/>
          <w:sz w:val="24"/>
          <w:szCs w:val="24"/>
          <w:lang w:val="en-US" w:eastAsia="pt-BR"/>
        </w:rPr>
        <w:t>:</w:t>
      </w:r>
      <w:r w:rsidR="005A5D47">
        <w:rPr>
          <w:rFonts w:ascii="Times New Roman" w:eastAsia="Times New Roman" w:hAnsi="Times New Roman" w:cs="Times New Roman"/>
          <w:bCs/>
          <w:sz w:val="24"/>
          <w:szCs w:val="24"/>
          <w:lang w:val="en-US" w:eastAsia="pt-BR"/>
        </w:rPr>
        <w:t xml:space="preserve"> </w:t>
      </w:r>
      <w:proofErr w:type="spellStart"/>
      <w:r w:rsidR="005A5D47">
        <w:rPr>
          <w:rFonts w:ascii="Times New Roman" w:eastAsia="Times New Roman" w:hAnsi="Times New Roman" w:cs="Times New Roman"/>
          <w:bCs/>
          <w:sz w:val="24"/>
          <w:szCs w:val="24"/>
          <w:lang w:val="en-US" w:eastAsia="pt-BR"/>
        </w:rPr>
        <w:t>Saberes</w:t>
      </w:r>
      <w:proofErr w:type="spellEnd"/>
      <w:r w:rsidR="005A5D47">
        <w:rPr>
          <w:rFonts w:ascii="Times New Roman" w:eastAsia="Times New Roman" w:hAnsi="Times New Roman" w:cs="Times New Roman"/>
          <w:bCs/>
          <w:sz w:val="24"/>
          <w:szCs w:val="24"/>
          <w:lang w:val="en-US" w:eastAsia="pt-BR"/>
        </w:rPr>
        <w:t xml:space="preserve"> e </w:t>
      </w:r>
      <w:proofErr w:type="spellStart"/>
      <w:r w:rsidR="005A5D47">
        <w:rPr>
          <w:rFonts w:ascii="Times New Roman" w:eastAsia="Times New Roman" w:hAnsi="Times New Roman" w:cs="Times New Roman"/>
          <w:bCs/>
          <w:sz w:val="24"/>
          <w:szCs w:val="24"/>
          <w:lang w:val="en-US" w:eastAsia="pt-BR"/>
        </w:rPr>
        <w:t>Práticas</w:t>
      </w:r>
      <w:proofErr w:type="spellEnd"/>
      <w:r w:rsidR="005A5D47">
        <w:rPr>
          <w:rFonts w:ascii="Times New Roman" w:eastAsia="Times New Roman" w:hAnsi="Times New Roman" w:cs="Times New Roman"/>
          <w:bCs/>
          <w:sz w:val="24"/>
          <w:szCs w:val="24"/>
          <w:lang w:val="en-US" w:eastAsia="pt-BR"/>
        </w:rPr>
        <w:t xml:space="preserve"> </w:t>
      </w:r>
      <w:proofErr w:type="spellStart"/>
      <w:r w:rsidR="005A5D47">
        <w:rPr>
          <w:rFonts w:ascii="Times New Roman" w:eastAsia="Times New Roman" w:hAnsi="Times New Roman" w:cs="Times New Roman"/>
          <w:bCs/>
          <w:sz w:val="24"/>
          <w:szCs w:val="24"/>
          <w:lang w:val="en-US" w:eastAsia="pt-BR"/>
        </w:rPr>
        <w:t>Educativas</w:t>
      </w:r>
      <w:proofErr w:type="spellEnd"/>
      <w:r w:rsidR="005A5D47">
        <w:rPr>
          <w:rFonts w:ascii="Times New Roman" w:eastAsia="Times New Roman" w:hAnsi="Times New Roman" w:cs="Times New Roman"/>
          <w:bCs/>
          <w:sz w:val="24"/>
          <w:szCs w:val="24"/>
          <w:lang w:val="en-US" w:eastAsia="pt-BR"/>
        </w:rPr>
        <w:t xml:space="preserve"> </w:t>
      </w:r>
    </w:p>
    <w:p w14:paraId="106F166A" w14:textId="77777777" w:rsidR="005C3D4C" w:rsidRDefault="002A1B5D" w:rsidP="005C3D4C">
      <w:pPr>
        <w:pStyle w:val="NormalWeb"/>
        <w:spacing w:before="0" w:beforeAutospacing="0" w:after="0" w:afterAutospacing="0"/>
        <w:jc w:val="right"/>
      </w:pPr>
      <w:r>
        <w:rPr>
          <w:b/>
        </w:rPr>
        <w:t>Palavras-chave:</w:t>
      </w:r>
      <w:r w:rsidR="005C3D4C">
        <w:rPr>
          <w:b/>
        </w:rPr>
        <w:t xml:space="preserve"> </w:t>
      </w:r>
      <w:r w:rsidR="005C3D4C">
        <w:rPr>
          <w:b/>
          <w:bCs/>
          <w:color w:val="000000"/>
        </w:rPr>
        <w:t> </w:t>
      </w:r>
      <w:r w:rsidR="005C3D4C">
        <w:rPr>
          <w:color w:val="000000"/>
        </w:rPr>
        <w:t>Formação continuada, Currículo, Avaliação </w:t>
      </w:r>
    </w:p>
    <w:p w14:paraId="10BB8CB8" w14:textId="77777777" w:rsidR="00504FAE" w:rsidRDefault="00504FAE">
      <w:pPr>
        <w:spacing w:after="0" w:line="240" w:lineRule="auto"/>
        <w:rPr>
          <w:rFonts w:ascii="Times New Roman" w:hAnsi="Times New Roman" w:cs="Times New Roman"/>
          <w:b/>
          <w:sz w:val="24"/>
          <w:szCs w:val="24"/>
        </w:rPr>
      </w:pPr>
    </w:p>
    <w:p w14:paraId="061228C4" w14:textId="77777777" w:rsidR="00504FAE" w:rsidRDefault="005C3D4C" w:rsidP="00BC43E6">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Resumo - </w:t>
      </w:r>
      <w:r w:rsidR="002A1B5D">
        <w:rPr>
          <w:rFonts w:ascii="Times New Roman" w:hAnsi="Times New Roman" w:cs="Times New Roman"/>
          <w:b/>
          <w:sz w:val="24"/>
          <w:szCs w:val="24"/>
        </w:rPr>
        <w:t>Relato de Experiência</w:t>
      </w:r>
    </w:p>
    <w:p w14:paraId="01B2AA58" w14:textId="77777777" w:rsidR="005A5D47" w:rsidRDefault="005A5D47" w:rsidP="00BC43E6">
      <w:pPr>
        <w:spacing w:after="0" w:line="240" w:lineRule="auto"/>
        <w:rPr>
          <w:rFonts w:ascii="Times New Roman" w:hAnsi="Times New Roman" w:cs="Times New Roman"/>
          <w:b/>
          <w:sz w:val="24"/>
          <w:szCs w:val="24"/>
        </w:rPr>
      </w:pPr>
    </w:p>
    <w:p w14:paraId="3E3D9BDB" w14:textId="4F7F8A24" w:rsidR="00504FAE" w:rsidRPr="005C3D4C" w:rsidRDefault="005C3D4C" w:rsidP="00BC43E6">
      <w:pPr>
        <w:pStyle w:val="NormalWeb"/>
        <w:spacing w:before="0" w:beforeAutospacing="0" w:after="0" w:afterAutospacing="0"/>
        <w:jc w:val="both"/>
      </w:pPr>
      <w:r>
        <w:rPr>
          <w:color w:val="000000"/>
        </w:rPr>
        <w:t>Este trabalho descreve a</w:t>
      </w:r>
      <w:r w:rsidR="00180C8F">
        <w:rPr>
          <w:color w:val="000000"/>
        </w:rPr>
        <w:t>s experiências vivenciadas pela mestranda</w:t>
      </w:r>
      <w:r>
        <w:rPr>
          <w:color w:val="000000"/>
        </w:rPr>
        <w:t xml:space="preserve"> da disciplina de Currículo e Formação de Professores, ofertada no segundo semestre de 2025, pelo Programa de Pós-Graduação em Educação- PPGE </w:t>
      </w:r>
      <w:proofErr w:type="spellStart"/>
      <w:r>
        <w:rPr>
          <w:color w:val="000000"/>
        </w:rPr>
        <w:t>Unimontes</w:t>
      </w:r>
      <w:proofErr w:type="spellEnd"/>
      <w:r>
        <w:rPr>
          <w:color w:val="000000"/>
        </w:rPr>
        <w:t xml:space="preserve">.  Além disso, apresenta a importância do estudo da obra intitulada “ Currículo e avaliação na Educação Superior” a qual foi analisada e discutida por meio do seminário. A realização deste e os momentos pertinentes às etapas de organização ressaltam a relevância </w:t>
      </w:r>
      <w:r w:rsidR="004333BA" w:rsidRPr="00DC702B">
        <w:rPr>
          <w:color w:val="000000" w:themeColor="text1"/>
        </w:rPr>
        <w:t xml:space="preserve">desse tema </w:t>
      </w:r>
      <w:r w:rsidR="00180C8F" w:rsidRPr="00DC702B">
        <w:rPr>
          <w:color w:val="000000" w:themeColor="text1"/>
        </w:rPr>
        <w:t xml:space="preserve">na formação </w:t>
      </w:r>
      <w:r w:rsidRPr="00DC702B">
        <w:rPr>
          <w:color w:val="000000" w:themeColor="text1"/>
        </w:rPr>
        <w:t>continuada</w:t>
      </w:r>
      <w:r w:rsidR="004333BA" w:rsidRPr="00DC702B">
        <w:rPr>
          <w:color w:val="000000" w:themeColor="text1"/>
        </w:rPr>
        <w:t xml:space="preserve"> de professores</w:t>
      </w:r>
      <w:r>
        <w:rPr>
          <w:color w:val="000000"/>
        </w:rPr>
        <w:t>. </w:t>
      </w:r>
    </w:p>
    <w:p w14:paraId="5C90E8A4" w14:textId="77777777" w:rsidR="00504FAE" w:rsidRDefault="00504FAE" w:rsidP="00BC43E6">
      <w:pPr>
        <w:spacing w:after="0" w:line="240" w:lineRule="auto"/>
        <w:jc w:val="both"/>
        <w:rPr>
          <w:rFonts w:ascii="Times New Roman" w:eastAsia="Times New Roman" w:hAnsi="Times New Roman" w:cs="Times New Roman"/>
          <w:sz w:val="24"/>
          <w:szCs w:val="24"/>
          <w:lang w:eastAsia="pt-BR"/>
        </w:rPr>
      </w:pPr>
    </w:p>
    <w:p w14:paraId="3E39C261" w14:textId="77777777" w:rsidR="005A5D47" w:rsidRDefault="002A1B5D" w:rsidP="00BC43E6">
      <w:pPr>
        <w:spacing w:after="0" w:line="240" w:lineRule="auto"/>
        <w:jc w:val="both"/>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t>Contextualização e justificativa da prática desenvolvida</w:t>
      </w:r>
    </w:p>
    <w:p w14:paraId="48E2E52B" w14:textId="77777777" w:rsidR="008C085E" w:rsidRDefault="008C085E" w:rsidP="00BC43E6">
      <w:pPr>
        <w:spacing w:after="0" w:line="240" w:lineRule="auto"/>
        <w:jc w:val="both"/>
        <w:rPr>
          <w:rFonts w:ascii="Times New Roman" w:eastAsia="Times New Roman" w:hAnsi="Times New Roman" w:cs="Times New Roman"/>
          <w:b/>
          <w:sz w:val="24"/>
          <w:szCs w:val="24"/>
          <w:lang w:eastAsia="pt-BR"/>
        </w:rPr>
      </w:pPr>
    </w:p>
    <w:p w14:paraId="281709BB" w14:textId="77777777" w:rsidR="00256F52" w:rsidRDefault="005A5D47" w:rsidP="004333BA">
      <w:pPr>
        <w:pStyle w:val="NormalWeb"/>
        <w:spacing w:before="0" w:beforeAutospacing="0" w:after="0" w:afterAutospacing="0"/>
        <w:jc w:val="both"/>
        <w:rPr>
          <w:color w:val="000000"/>
        </w:rPr>
      </w:pPr>
      <w:r>
        <w:rPr>
          <w:color w:val="000000"/>
        </w:rPr>
        <w:t xml:space="preserve">O presente trabalho busca apresentar a temática relacionada à avaliação, por meio da obra </w:t>
      </w:r>
      <w:r w:rsidRPr="00DC702B">
        <w:rPr>
          <w:color w:val="000000" w:themeColor="text1"/>
        </w:rPr>
        <w:t xml:space="preserve">intitulada “Currículo e avaliação na Educação Superior” organizada pelas autoras, </w:t>
      </w:r>
      <w:proofErr w:type="spellStart"/>
      <w:r w:rsidRPr="00DC702B">
        <w:rPr>
          <w:color w:val="000000" w:themeColor="text1"/>
        </w:rPr>
        <w:t>Ilma</w:t>
      </w:r>
      <w:proofErr w:type="spellEnd"/>
      <w:r w:rsidRPr="00DC702B">
        <w:rPr>
          <w:color w:val="000000" w:themeColor="text1"/>
        </w:rPr>
        <w:t xml:space="preserve"> Passos Alencastro Veiga e Marisa </w:t>
      </w:r>
      <w:proofErr w:type="spellStart"/>
      <w:r w:rsidRPr="00DC702B">
        <w:rPr>
          <w:color w:val="000000" w:themeColor="text1"/>
        </w:rPr>
        <w:t>Lomônaco</w:t>
      </w:r>
      <w:proofErr w:type="spellEnd"/>
      <w:r w:rsidRPr="00DC702B">
        <w:rPr>
          <w:color w:val="000000" w:themeColor="text1"/>
        </w:rPr>
        <w:t xml:space="preserve"> de Paula Naves (2005). Essa obra foi utilizada para estudos no seminário “ Currículo e a construção da formação docente” da disciplina Currículo e </w:t>
      </w:r>
      <w:r w:rsidR="004333BA" w:rsidRPr="00DC702B">
        <w:rPr>
          <w:color w:val="000000" w:themeColor="text1"/>
        </w:rPr>
        <w:t>F</w:t>
      </w:r>
      <w:r w:rsidRPr="00DC702B">
        <w:rPr>
          <w:color w:val="000000" w:themeColor="text1"/>
        </w:rPr>
        <w:t xml:space="preserve">ormação de </w:t>
      </w:r>
      <w:r w:rsidR="004333BA" w:rsidRPr="00DC702B">
        <w:rPr>
          <w:color w:val="000000" w:themeColor="text1"/>
        </w:rPr>
        <w:t>P</w:t>
      </w:r>
      <w:r w:rsidRPr="00DC702B">
        <w:rPr>
          <w:color w:val="000000" w:themeColor="text1"/>
        </w:rPr>
        <w:t>rofessores, a qual foi ofertada, no segundo semestre de 2025 pelo Programa de Pós-Gradua</w:t>
      </w:r>
      <w:r w:rsidR="008C085E" w:rsidRPr="00DC702B">
        <w:rPr>
          <w:color w:val="000000" w:themeColor="text1"/>
        </w:rPr>
        <w:t>ção em Educação PPGE-</w:t>
      </w:r>
      <w:proofErr w:type="spellStart"/>
      <w:r w:rsidR="008C085E" w:rsidRPr="00DC702B">
        <w:rPr>
          <w:color w:val="000000" w:themeColor="text1"/>
        </w:rPr>
        <w:t>Unimontes</w:t>
      </w:r>
      <w:proofErr w:type="spellEnd"/>
      <w:r w:rsidR="008C085E" w:rsidRPr="00DC702B">
        <w:rPr>
          <w:color w:val="000000" w:themeColor="text1"/>
        </w:rPr>
        <w:t xml:space="preserve">. </w:t>
      </w:r>
      <w:r w:rsidRPr="00DC702B">
        <w:rPr>
          <w:color w:val="000000" w:themeColor="text1"/>
        </w:rPr>
        <w:t xml:space="preserve">O livro discute questões associadas ao currículo e avaliação com foco no Ensino </w:t>
      </w:r>
      <w:r>
        <w:rPr>
          <w:color w:val="000000"/>
        </w:rPr>
        <w:t>Superior, além disso, é composto por oito capítulos, sendo os quatro primeiros relacionados à temática do currículo e os quatro últimos abordam a avaliação, os quais foram construídos de forma coletiva.</w:t>
      </w:r>
      <w:r w:rsidR="004333BA">
        <w:rPr>
          <w:color w:val="000000"/>
        </w:rPr>
        <w:t xml:space="preserve"> </w:t>
      </w:r>
    </w:p>
    <w:p w14:paraId="0B0102E5" w14:textId="030CC057" w:rsidR="008C085E" w:rsidRPr="008C085E" w:rsidRDefault="008C085E" w:rsidP="00BC43E6">
      <w:pPr>
        <w:pStyle w:val="NormalWeb"/>
        <w:spacing w:before="0" w:beforeAutospacing="0" w:after="0" w:afterAutospacing="0"/>
        <w:jc w:val="both"/>
        <w:rPr>
          <w:color w:val="000000"/>
        </w:rPr>
      </w:pPr>
    </w:p>
    <w:p w14:paraId="40D8B3E1" w14:textId="77777777" w:rsidR="005A5D47" w:rsidRDefault="002A1B5D" w:rsidP="00BC43E6">
      <w:pPr>
        <w:spacing w:after="0" w:line="240" w:lineRule="auto"/>
        <w:jc w:val="both"/>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t>Problema norteador e objetivos</w:t>
      </w:r>
    </w:p>
    <w:p w14:paraId="72E9D855" w14:textId="02C5EB8F" w:rsidR="00256F52" w:rsidRPr="00DC702B" w:rsidRDefault="005A5D47" w:rsidP="00256F52">
      <w:pPr>
        <w:pStyle w:val="NormalWeb"/>
        <w:spacing w:before="0" w:beforeAutospacing="0" w:after="0" w:afterAutospacing="0"/>
        <w:jc w:val="both"/>
        <w:rPr>
          <w:color w:val="000000" w:themeColor="text1"/>
        </w:rPr>
      </w:pPr>
      <w:r>
        <w:rPr>
          <w:color w:val="000000"/>
        </w:rPr>
        <w:t xml:space="preserve">Qual a importância do estudo da obra “ Currículo e avaliação no Ensino Superior utilizada no seminário para o processo formativo dos mestrandos?  Como objetivo geral </w:t>
      </w:r>
      <w:r w:rsidRPr="00DC702B">
        <w:rPr>
          <w:color w:val="000000" w:themeColor="text1"/>
        </w:rPr>
        <w:t>temos</w:t>
      </w:r>
      <w:r w:rsidR="00256F52" w:rsidRPr="00DC702B">
        <w:rPr>
          <w:color w:val="000000" w:themeColor="text1"/>
        </w:rPr>
        <w:t xml:space="preserve"> o de descrever as experiências vivenciadas pelos mestrandos da disciplina de Currículo e Formação de Professores, sobre a importância da realização do seminário no processo de formação continuada. </w:t>
      </w:r>
    </w:p>
    <w:p w14:paraId="3B73AB24" w14:textId="101D35E9" w:rsidR="00BC43E6" w:rsidRPr="005C3D4C" w:rsidRDefault="00BC43E6" w:rsidP="00BC43E6">
      <w:pPr>
        <w:pStyle w:val="NormalWeb"/>
        <w:spacing w:before="0" w:beforeAutospacing="0" w:after="0" w:afterAutospacing="0"/>
        <w:jc w:val="both"/>
        <w:rPr>
          <w:color w:val="000000"/>
        </w:rPr>
      </w:pPr>
    </w:p>
    <w:p w14:paraId="55BFEFE1" w14:textId="10B19EC1" w:rsidR="005C3D4C" w:rsidRPr="008C085E" w:rsidRDefault="002A1B5D" w:rsidP="00BC43E6">
      <w:pPr>
        <w:spacing w:after="0" w:line="240" w:lineRule="auto"/>
        <w:jc w:val="both"/>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t>Procedimentos e/ou estratégias metodológicas</w:t>
      </w:r>
      <w:r w:rsidR="00A84C91">
        <w:rPr>
          <w:rFonts w:ascii="Times New Roman" w:eastAsia="Times New Roman" w:hAnsi="Times New Roman" w:cs="Times New Roman"/>
          <w:b/>
          <w:sz w:val="24"/>
          <w:szCs w:val="24"/>
          <w:lang w:eastAsia="pt-BR"/>
        </w:rPr>
        <w:t xml:space="preserve"> </w:t>
      </w:r>
    </w:p>
    <w:p w14:paraId="56DB020A" w14:textId="77777777" w:rsidR="00180C8F" w:rsidRDefault="00180C8F" w:rsidP="00BC43E6">
      <w:pPr>
        <w:pStyle w:val="NormalWeb"/>
        <w:spacing w:before="0" w:beforeAutospacing="0" w:after="0" w:afterAutospacing="0"/>
        <w:jc w:val="both"/>
        <w:rPr>
          <w:color w:val="000000"/>
        </w:rPr>
      </w:pPr>
    </w:p>
    <w:p w14:paraId="01324143" w14:textId="1B3B8E9E" w:rsidR="003C61B2" w:rsidRDefault="005A5D47" w:rsidP="00BC43E6">
      <w:pPr>
        <w:pStyle w:val="NormalWeb"/>
        <w:spacing w:before="0" w:beforeAutospacing="0" w:after="0" w:afterAutospacing="0"/>
        <w:jc w:val="both"/>
        <w:rPr>
          <w:color w:val="000000"/>
        </w:rPr>
      </w:pPr>
      <w:r>
        <w:rPr>
          <w:color w:val="000000"/>
        </w:rPr>
        <w:t xml:space="preserve">Para a organização do seminário, a professora disponibilizou o cronograma da disciplina e da organização das etapas do seminário desde a divisão das duplas até o momento da apresentação, assim, uma das etapas consistia na presença de um convidado para ampliar o assunto discutido </w:t>
      </w:r>
      <w:r>
        <w:rPr>
          <w:color w:val="000000"/>
        </w:rPr>
        <w:lastRenderedPageBreak/>
        <w:t xml:space="preserve">na obra. Cada dupla ficou responsável por estudar e apresentar a obra escolhida. Em seguida, no segundo momento, para a continuidade dos estudos, a dupla reuniu-se, e elaborou o planejamento para a realização do seminário que foi enviado para a professora e posteriormente aos mestrandos da disciplina. </w:t>
      </w:r>
    </w:p>
    <w:p w14:paraId="28DC723D" w14:textId="77777777" w:rsidR="006B50F4" w:rsidRDefault="006B50F4" w:rsidP="00BC43E6">
      <w:pPr>
        <w:pStyle w:val="NormalWeb"/>
        <w:spacing w:before="0" w:beforeAutospacing="0" w:after="0" w:afterAutospacing="0"/>
        <w:jc w:val="both"/>
        <w:rPr>
          <w:color w:val="000000"/>
        </w:rPr>
      </w:pPr>
    </w:p>
    <w:p w14:paraId="3F626FBE" w14:textId="7FFE50C6" w:rsidR="005A5D47" w:rsidRDefault="005A5D47" w:rsidP="00BC43E6">
      <w:pPr>
        <w:pStyle w:val="NormalWeb"/>
        <w:spacing w:before="0" w:beforeAutospacing="0" w:after="0" w:afterAutospacing="0"/>
        <w:jc w:val="both"/>
        <w:rPr>
          <w:color w:val="000000"/>
        </w:rPr>
      </w:pPr>
      <w:r>
        <w:rPr>
          <w:color w:val="000000"/>
        </w:rPr>
        <w:t>No terceiro momento, para a realização da apresentação do seminário, a dupla utilizou uma dinâmica intitulada “A caixa surpresa”, com perguntas dentro, a saber: Qual foi seu maior desafio no mestrado? Em seguida ao som da música “ Dias melhores” de Jota Quest a caixa passava em uma roda, com os mestrandos, na pausa da música quem estava com o objeto da dinâmica decidia se aceitava ou não o desafio da caixa. Após a conclusão dessa etapa foi contextualizado com o currículo e a avaliação, destacando a complexidade desses assuntos, após foram apresentados os capítulos da obra “Currículo e Avaliação no Ensino Superior”. </w:t>
      </w:r>
    </w:p>
    <w:p w14:paraId="4FC11EC6" w14:textId="77777777" w:rsidR="00BC43E6" w:rsidRDefault="00BC43E6" w:rsidP="00BC43E6">
      <w:pPr>
        <w:pStyle w:val="NormalWeb"/>
        <w:spacing w:before="0" w:beforeAutospacing="0" w:after="0" w:afterAutospacing="0"/>
        <w:jc w:val="both"/>
      </w:pPr>
    </w:p>
    <w:p w14:paraId="3E65A02B" w14:textId="3EC66B18" w:rsidR="005A5D47" w:rsidRDefault="005A5D47" w:rsidP="00BC43E6">
      <w:pPr>
        <w:pStyle w:val="NormalWeb"/>
        <w:spacing w:before="0" w:beforeAutospacing="0" w:after="0" w:afterAutospacing="0"/>
        <w:jc w:val="both"/>
        <w:rPr>
          <w:color w:val="000000"/>
        </w:rPr>
      </w:pPr>
      <w:r>
        <w:rPr>
          <w:color w:val="000000"/>
        </w:rPr>
        <w:t>Após a exposição dos conteúdos, a professora convidada contribuiu com discussões pertinentes sobre o currículo e avaliação, destacando as influências do sistema capitalista na elaboração e construção desses instrumentos para ampliar o entendimento dos mestrandos sobre essas temáticas.</w:t>
      </w:r>
    </w:p>
    <w:p w14:paraId="5D075767" w14:textId="77777777" w:rsidR="00BC43E6" w:rsidRDefault="00BC43E6" w:rsidP="00BC43E6">
      <w:pPr>
        <w:pStyle w:val="NormalWeb"/>
        <w:spacing w:before="0" w:beforeAutospacing="0" w:after="0" w:afterAutospacing="0"/>
        <w:jc w:val="both"/>
      </w:pPr>
    </w:p>
    <w:p w14:paraId="5BBE6AC9" w14:textId="28A70F91" w:rsidR="00504FAE" w:rsidRDefault="005A5D47" w:rsidP="00BC43E6">
      <w:pPr>
        <w:pStyle w:val="NormalWeb"/>
        <w:spacing w:before="0" w:beforeAutospacing="0" w:after="0" w:afterAutospacing="0"/>
        <w:jc w:val="both"/>
        <w:rPr>
          <w:color w:val="000000"/>
        </w:rPr>
      </w:pPr>
      <w:r>
        <w:rPr>
          <w:color w:val="000000"/>
        </w:rPr>
        <w:t>Para a finalização do seminário, com a dinâmica “ Word café” que consiste na formação e discussão de grupos. Assim, os integrantes do grupo selecionam a pessoa que será o relator, esse fica fixo no grupo e</w:t>
      </w:r>
      <w:r w:rsidR="00180C8F">
        <w:rPr>
          <w:color w:val="000000"/>
        </w:rPr>
        <w:t xml:space="preserve"> os demais participam dos outros</w:t>
      </w:r>
      <w:r>
        <w:rPr>
          <w:color w:val="000000"/>
        </w:rPr>
        <w:t xml:space="preserve"> grupos. Para a realização desse momento, a turma foi dividida em três grupos, nesse sentido, cada um ficou responsável por discutir uma questão. Após as discussões, um representante de cada grupo apresentou as informações que foram levantadas durante a dinâmica. </w:t>
      </w:r>
    </w:p>
    <w:p w14:paraId="331380B4" w14:textId="77777777" w:rsidR="008C085E" w:rsidRPr="008C085E" w:rsidRDefault="008C085E" w:rsidP="00BC43E6">
      <w:pPr>
        <w:pStyle w:val="NormalWeb"/>
        <w:spacing w:before="0" w:beforeAutospacing="0" w:after="0" w:afterAutospacing="0"/>
        <w:jc w:val="both"/>
      </w:pPr>
    </w:p>
    <w:p w14:paraId="0E3D5182" w14:textId="77777777" w:rsidR="00504FAE" w:rsidRDefault="002A1B5D" w:rsidP="00BC43E6">
      <w:pPr>
        <w:spacing w:after="0" w:line="240" w:lineRule="auto"/>
        <w:jc w:val="both"/>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t>Fundamentação teórica que sustentou/sustenta a prática desenvolvida</w:t>
      </w:r>
    </w:p>
    <w:p w14:paraId="616CB314" w14:textId="77777777" w:rsidR="005C3D4C" w:rsidRPr="00AD6825" w:rsidRDefault="005C3D4C" w:rsidP="00BC43E6">
      <w:pPr>
        <w:spacing w:after="0" w:line="240" w:lineRule="auto"/>
        <w:jc w:val="both"/>
        <w:rPr>
          <w:rFonts w:ascii="Times New Roman" w:eastAsia="Times New Roman" w:hAnsi="Times New Roman" w:cs="Times New Roman"/>
          <w:b/>
          <w:sz w:val="24"/>
          <w:szCs w:val="24"/>
          <w:lang w:eastAsia="pt-BR"/>
        </w:rPr>
      </w:pPr>
    </w:p>
    <w:p w14:paraId="221EF1B7" w14:textId="383E17C9" w:rsidR="00AD6825" w:rsidRDefault="00AD6825" w:rsidP="00BC43E6">
      <w:pPr>
        <w:spacing w:after="0" w:line="240" w:lineRule="auto"/>
        <w:jc w:val="both"/>
        <w:rPr>
          <w:rFonts w:ascii="Times New Roman" w:hAnsi="Times New Roman" w:cs="Times New Roman"/>
          <w:color w:val="000000"/>
          <w:sz w:val="24"/>
          <w:szCs w:val="24"/>
        </w:rPr>
      </w:pPr>
      <w:r w:rsidRPr="00AD6825">
        <w:rPr>
          <w:rFonts w:ascii="Times New Roman" w:hAnsi="Times New Roman" w:cs="Times New Roman"/>
          <w:color w:val="000000"/>
          <w:sz w:val="24"/>
          <w:szCs w:val="24"/>
        </w:rPr>
        <w:t xml:space="preserve">Segundo </w:t>
      </w:r>
      <w:proofErr w:type="spellStart"/>
      <w:r w:rsidRPr="00AD6825">
        <w:rPr>
          <w:rFonts w:ascii="Times New Roman" w:hAnsi="Times New Roman" w:cs="Times New Roman"/>
          <w:color w:val="000000"/>
          <w:sz w:val="24"/>
          <w:szCs w:val="24"/>
        </w:rPr>
        <w:t>Sordi</w:t>
      </w:r>
      <w:proofErr w:type="spellEnd"/>
      <w:r w:rsidRPr="00AD6825">
        <w:rPr>
          <w:rFonts w:ascii="Times New Roman" w:hAnsi="Times New Roman" w:cs="Times New Roman"/>
          <w:color w:val="000000"/>
          <w:sz w:val="24"/>
          <w:szCs w:val="24"/>
        </w:rPr>
        <w:t xml:space="preserve"> (2005), vivenciamos uma cultura de avaliação positivista, a qual apresenta uma ausência de oportunidades para questionamentos, ainda conforme a referida autora, é importante avaliar a própria avaliação, pois esse instrumento não apresenta neutralidade. Nessa direção, sobre o segundo assunto discutido na obra mencionada neste trabalho,</w:t>
      </w:r>
      <w:r w:rsidR="00A84C91">
        <w:rPr>
          <w:rFonts w:ascii="Times New Roman" w:hAnsi="Times New Roman" w:cs="Times New Roman"/>
          <w:color w:val="000000"/>
          <w:sz w:val="24"/>
          <w:szCs w:val="24"/>
        </w:rPr>
        <w:t xml:space="preserve"> </w:t>
      </w:r>
      <w:r w:rsidRPr="00AD6825">
        <w:rPr>
          <w:rFonts w:ascii="Times New Roman" w:hAnsi="Times New Roman" w:cs="Times New Roman"/>
          <w:color w:val="000000"/>
          <w:sz w:val="24"/>
          <w:szCs w:val="24"/>
        </w:rPr>
        <w:t>o Currículo, que esse “não é algo neutro, universal e imóvel, mas um território controverso e mesmo conflituoso a respeito do qual se tomam decisões” (</w:t>
      </w:r>
      <w:proofErr w:type="spellStart"/>
      <w:r w:rsidRPr="00AD6825">
        <w:rPr>
          <w:rFonts w:ascii="Times New Roman" w:hAnsi="Times New Roman" w:cs="Times New Roman"/>
          <w:color w:val="000000"/>
          <w:sz w:val="24"/>
          <w:szCs w:val="24"/>
        </w:rPr>
        <w:t>Sacristán</w:t>
      </w:r>
      <w:proofErr w:type="spellEnd"/>
      <w:r w:rsidRPr="00AD6825">
        <w:rPr>
          <w:rFonts w:ascii="Times New Roman" w:hAnsi="Times New Roman" w:cs="Times New Roman"/>
          <w:color w:val="000000"/>
          <w:sz w:val="24"/>
          <w:szCs w:val="24"/>
        </w:rPr>
        <w:t xml:space="preserve">, 2013, p.23). </w:t>
      </w:r>
    </w:p>
    <w:p w14:paraId="79C0FD4F" w14:textId="77777777" w:rsidR="00BC43E6" w:rsidRPr="00AD6825" w:rsidRDefault="00BC43E6" w:rsidP="00BC43E6">
      <w:pPr>
        <w:spacing w:after="0" w:line="240" w:lineRule="auto"/>
        <w:jc w:val="both"/>
        <w:rPr>
          <w:rFonts w:ascii="Times New Roman" w:hAnsi="Times New Roman" w:cs="Times New Roman"/>
          <w:color w:val="000000"/>
          <w:sz w:val="24"/>
          <w:szCs w:val="24"/>
        </w:rPr>
      </w:pPr>
    </w:p>
    <w:p w14:paraId="182BBF17" w14:textId="58A7F232" w:rsidR="005C3D4C" w:rsidRPr="00515300" w:rsidRDefault="00AD6825" w:rsidP="00BC43E6">
      <w:pPr>
        <w:spacing w:after="0" w:line="240" w:lineRule="auto"/>
        <w:jc w:val="both"/>
        <w:rPr>
          <w:rFonts w:ascii="Times New Roman" w:hAnsi="Times New Roman" w:cs="Times New Roman"/>
          <w:strike/>
          <w:color w:val="000000"/>
          <w:sz w:val="24"/>
          <w:szCs w:val="24"/>
        </w:rPr>
      </w:pPr>
      <w:r w:rsidRPr="00AD6825">
        <w:rPr>
          <w:rFonts w:ascii="Times New Roman" w:hAnsi="Times New Roman" w:cs="Times New Roman"/>
          <w:color w:val="000000"/>
          <w:sz w:val="24"/>
          <w:szCs w:val="24"/>
        </w:rPr>
        <w:t>Diante do exposto, percebe-se a importância de refletir e analisar de forma crítica esses instrumentos que norteiam as aprendizagens dos estudantes e influenciam a prática pedagógica do professor</w:t>
      </w:r>
      <w:r w:rsidR="00180C8F">
        <w:rPr>
          <w:rFonts w:ascii="Times New Roman" w:hAnsi="Times New Roman" w:cs="Times New Roman"/>
          <w:color w:val="000000"/>
          <w:sz w:val="24"/>
          <w:szCs w:val="24"/>
        </w:rPr>
        <w:t>.</w:t>
      </w:r>
    </w:p>
    <w:p w14:paraId="5D47B9DB" w14:textId="77777777" w:rsidR="00BC43E6" w:rsidRPr="00515300" w:rsidRDefault="00BC43E6" w:rsidP="00BC43E6">
      <w:pPr>
        <w:spacing w:after="0" w:line="240" w:lineRule="auto"/>
        <w:jc w:val="both"/>
        <w:rPr>
          <w:rFonts w:ascii="Times New Roman" w:eastAsia="Times New Roman" w:hAnsi="Times New Roman" w:cs="Times New Roman"/>
          <w:b/>
          <w:strike/>
          <w:sz w:val="24"/>
          <w:szCs w:val="24"/>
          <w:lang w:eastAsia="pt-BR"/>
        </w:rPr>
      </w:pPr>
    </w:p>
    <w:p w14:paraId="212B53C8" w14:textId="09B951BF" w:rsidR="008C085E" w:rsidRPr="008C085E" w:rsidRDefault="002A1B5D" w:rsidP="00BC43E6">
      <w:pPr>
        <w:spacing w:after="0" w:line="240" w:lineRule="auto"/>
        <w:jc w:val="both"/>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t xml:space="preserve">Resultados da prática </w:t>
      </w:r>
    </w:p>
    <w:p w14:paraId="1639D575" w14:textId="5A6DA6ED" w:rsidR="00AD6825" w:rsidRDefault="00AD6825" w:rsidP="00BC43E6">
      <w:pPr>
        <w:pStyle w:val="NormalWeb"/>
        <w:spacing w:before="0" w:beforeAutospacing="0" w:after="0" w:afterAutospacing="0"/>
        <w:jc w:val="both"/>
      </w:pPr>
      <w:r>
        <w:rPr>
          <w:color w:val="000000"/>
        </w:rPr>
        <w:t>Após a conclusão do seminário, foi possível perceber por meio dos relatos orais, que os mestrandos da disciplina, ressaltaram a importância do estudo da obra “Currículo e avaliação no Ensino Superior” de Veiga e Naves (2005) destacando as contribuições para a ampliação e compreensão desse assunto no processo de formação continuada. </w:t>
      </w:r>
    </w:p>
    <w:p w14:paraId="43BEAD04" w14:textId="77777777" w:rsidR="00504FAE" w:rsidRDefault="00504FAE" w:rsidP="00BC43E6">
      <w:pPr>
        <w:spacing w:after="0" w:line="240" w:lineRule="auto"/>
        <w:jc w:val="both"/>
        <w:rPr>
          <w:rFonts w:ascii="Times New Roman" w:eastAsia="Times New Roman" w:hAnsi="Times New Roman" w:cs="Times New Roman"/>
          <w:b/>
          <w:sz w:val="24"/>
          <w:szCs w:val="24"/>
          <w:lang w:eastAsia="pt-BR"/>
        </w:rPr>
      </w:pPr>
    </w:p>
    <w:p w14:paraId="7584A18C" w14:textId="782049BA" w:rsidR="00504FAE" w:rsidRDefault="002A1B5D" w:rsidP="00BC43E6">
      <w:pPr>
        <w:spacing w:after="0" w:line="240" w:lineRule="auto"/>
        <w:jc w:val="both"/>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t>Relevância social da experiência para o contexto/público destinado e para a educação e relações com o eixo temático do COPED</w:t>
      </w:r>
    </w:p>
    <w:p w14:paraId="7C366FE4" w14:textId="3E033E2F" w:rsidR="00AD6825" w:rsidRDefault="00515300" w:rsidP="00BC43E6">
      <w:pPr>
        <w:pStyle w:val="NormalWeb"/>
        <w:spacing w:before="0" w:beforeAutospacing="0" w:after="0" w:afterAutospacing="0"/>
        <w:jc w:val="both"/>
        <w:rPr>
          <w:color w:val="000000"/>
        </w:rPr>
      </w:pPr>
      <w:r w:rsidRPr="00DC702B">
        <w:rPr>
          <w:color w:val="000000" w:themeColor="text1"/>
        </w:rPr>
        <w:lastRenderedPageBreak/>
        <w:t>C</w:t>
      </w:r>
      <w:r w:rsidR="00AD6825" w:rsidRPr="00DC702B">
        <w:rPr>
          <w:color w:val="000000" w:themeColor="text1"/>
        </w:rPr>
        <w:t xml:space="preserve">omo pesquisadores em   processo de formação na área da Educação, é necessário compreender a complexidade </w:t>
      </w:r>
      <w:r w:rsidR="00AD6825">
        <w:rPr>
          <w:color w:val="000000"/>
        </w:rPr>
        <w:t>para a construção do Currículo, o qual interfere e influencia nos processos de ensinar e aprender na sala de aula. Esse trabalho se relaciona ao eixo “Práticas Educativas”, visto que os estudantes da disciplina já mencionada, realizaram um estudo sistematizado e organizaram o planejamento para o desenvolvimento da apresentação da obra selecionada.</w:t>
      </w:r>
    </w:p>
    <w:p w14:paraId="04A472CA" w14:textId="77777777" w:rsidR="00BC43E6" w:rsidRPr="008C085E" w:rsidRDefault="00BC43E6" w:rsidP="00BC43E6">
      <w:pPr>
        <w:pStyle w:val="NormalWeb"/>
        <w:spacing w:before="0" w:beforeAutospacing="0" w:after="0" w:afterAutospacing="0"/>
        <w:jc w:val="both"/>
      </w:pPr>
    </w:p>
    <w:p w14:paraId="03374B2D" w14:textId="33D471D8" w:rsidR="00504FAE" w:rsidRPr="00BC43E6" w:rsidRDefault="002A1B5D" w:rsidP="00BC43E6">
      <w:pPr>
        <w:spacing w:after="0" w:line="240" w:lineRule="auto"/>
        <w:jc w:val="both"/>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t>Considerações finais</w:t>
      </w:r>
    </w:p>
    <w:p w14:paraId="7B4BA176" w14:textId="77777777" w:rsidR="00AD6825" w:rsidRDefault="00AD6825" w:rsidP="00BC43E6">
      <w:pPr>
        <w:pStyle w:val="NormalWeb"/>
        <w:spacing w:before="0" w:beforeAutospacing="0" w:after="0" w:afterAutospacing="0"/>
        <w:jc w:val="both"/>
      </w:pPr>
      <w:r>
        <w:rPr>
          <w:color w:val="000000"/>
        </w:rPr>
        <w:t>Conclui-se que, a proposta do seminário contribuiu para a discussão e compreensão, de dois assuntos importantes no campo educacional, uma vez que como apresentado pelos autores </w:t>
      </w:r>
      <w:proofErr w:type="spellStart"/>
      <w:r>
        <w:rPr>
          <w:color w:val="000000"/>
        </w:rPr>
        <w:t>Sordi</w:t>
      </w:r>
      <w:proofErr w:type="spellEnd"/>
      <w:r>
        <w:rPr>
          <w:color w:val="000000"/>
        </w:rPr>
        <w:t xml:space="preserve"> (2002) e </w:t>
      </w:r>
      <w:proofErr w:type="spellStart"/>
      <w:r>
        <w:rPr>
          <w:color w:val="000000"/>
        </w:rPr>
        <w:t>Sacristán</w:t>
      </w:r>
      <w:proofErr w:type="spellEnd"/>
      <w:r>
        <w:rPr>
          <w:color w:val="000000"/>
        </w:rPr>
        <w:t xml:space="preserve"> (2013) o Currículo e a Avaliação não são instrumentos neutros, assim, é necessário refletir acerca do processo de construção e realização destes nas salas de aulas.  </w:t>
      </w:r>
    </w:p>
    <w:p w14:paraId="1F7E1AD7" w14:textId="77777777" w:rsidR="00AD6825" w:rsidRDefault="00AD6825" w:rsidP="00BC43E6">
      <w:pPr>
        <w:spacing w:after="0" w:line="240" w:lineRule="auto"/>
        <w:jc w:val="both"/>
        <w:rPr>
          <w:rFonts w:ascii="Times New Roman" w:eastAsia="Times New Roman" w:hAnsi="Times New Roman" w:cs="Times New Roman"/>
          <w:sz w:val="24"/>
          <w:szCs w:val="24"/>
          <w:lang w:eastAsia="pt-BR"/>
        </w:rPr>
      </w:pPr>
      <w:bookmarkStart w:id="0" w:name="_GoBack"/>
      <w:bookmarkEnd w:id="0"/>
    </w:p>
    <w:p w14:paraId="43D874F5" w14:textId="77777777" w:rsidR="00504FAE" w:rsidRDefault="002A1B5D" w:rsidP="00BC43E6">
      <w:pPr>
        <w:spacing w:after="0" w:line="240" w:lineRule="auto"/>
        <w:jc w:val="both"/>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t>Referências</w:t>
      </w:r>
    </w:p>
    <w:p w14:paraId="620BC673" w14:textId="77777777" w:rsidR="00504FAE" w:rsidRDefault="00504FAE" w:rsidP="00BC43E6">
      <w:pPr>
        <w:spacing w:after="0" w:line="240" w:lineRule="auto"/>
        <w:rPr>
          <w:sz w:val="24"/>
          <w:szCs w:val="24"/>
        </w:rPr>
      </w:pPr>
    </w:p>
    <w:p w14:paraId="78C915BF" w14:textId="30761D18" w:rsidR="00AD6825" w:rsidRDefault="00AD6825" w:rsidP="00BC43E6">
      <w:pPr>
        <w:pStyle w:val="NormalWeb"/>
        <w:spacing w:before="0" w:beforeAutospacing="0" w:after="0" w:afterAutospacing="0"/>
        <w:rPr>
          <w:color w:val="000000"/>
        </w:rPr>
      </w:pPr>
      <w:r w:rsidRPr="005C3D4C">
        <w:rPr>
          <w:color w:val="000000"/>
        </w:rPr>
        <w:t xml:space="preserve">SORDI, Mara Regina Lemes da. </w:t>
      </w:r>
      <w:r w:rsidRPr="00A84C91">
        <w:rPr>
          <w:b/>
          <w:bCs/>
          <w:color w:val="000000"/>
        </w:rPr>
        <w:t>Avaliação universitária:</w:t>
      </w:r>
      <w:r w:rsidRPr="005C3D4C">
        <w:rPr>
          <w:color w:val="000000"/>
        </w:rPr>
        <w:t xml:space="preserve"> mecanismos de controle, de competição e exclusão ou caminho para construção da autonomia, da cooperação e da inclusão. In: </w:t>
      </w:r>
      <w:proofErr w:type="spellStart"/>
      <w:r w:rsidRPr="005C3D4C">
        <w:rPr>
          <w:color w:val="000000"/>
        </w:rPr>
        <w:t>Ilma</w:t>
      </w:r>
      <w:proofErr w:type="spellEnd"/>
      <w:r w:rsidRPr="005C3D4C">
        <w:rPr>
          <w:color w:val="000000"/>
        </w:rPr>
        <w:t xml:space="preserve"> Passos Alencastro Veiga, Marisa </w:t>
      </w:r>
      <w:proofErr w:type="spellStart"/>
      <w:r w:rsidRPr="005C3D4C">
        <w:rPr>
          <w:color w:val="000000"/>
        </w:rPr>
        <w:t>Lomônaco</w:t>
      </w:r>
      <w:proofErr w:type="spellEnd"/>
      <w:r w:rsidRPr="005C3D4C">
        <w:rPr>
          <w:color w:val="000000"/>
        </w:rPr>
        <w:t xml:space="preserve"> de Paula Naves (Org.). </w:t>
      </w:r>
      <w:r w:rsidRPr="00DC702B">
        <w:rPr>
          <w:b/>
          <w:bCs/>
          <w:color w:val="000000" w:themeColor="text1"/>
        </w:rPr>
        <w:t>Currículo e avaliação no ensino superior</w:t>
      </w:r>
      <w:r w:rsidRPr="00BC43E6">
        <w:rPr>
          <w:b/>
          <w:bCs/>
          <w:color w:val="FF0000"/>
        </w:rPr>
        <w:t>.</w:t>
      </w:r>
      <w:r w:rsidRPr="00BC43E6">
        <w:rPr>
          <w:color w:val="FF0000"/>
        </w:rPr>
        <w:t xml:space="preserve"> </w:t>
      </w:r>
      <w:r w:rsidRPr="005C3D4C">
        <w:rPr>
          <w:color w:val="000000"/>
        </w:rPr>
        <w:t>1. ed. Araraquara, SP: Junqueira &amp; Marin. 2005.</w:t>
      </w:r>
    </w:p>
    <w:p w14:paraId="3E46DCC3" w14:textId="77777777" w:rsidR="00BC43E6" w:rsidRPr="005C3D4C" w:rsidRDefault="00BC43E6" w:rsidP="00BC43E6">
      <w:pPr>
        <w:pStyle w:val="NormalWeb"/>
        <w:spacing w:before="0" w:beforeAutospacing="0" w:after="0" w:afterAutospacing="0"/>
      </w:pPr>
    </w:p>
    <w:p w14:paraId="555436C6" w14:textId="3F9003C6" w:rsidR="00AD6825" w:rsidRDefault="00AD6825" w:rsidP="00BC43E6">
      <w:pPr>
        <w:pStyle w:val="NormalWeb"/>
        <w:spacing w:before="0" w:beforeAutospacing="0" w:after="0" w:afterAutospacing="0"/>
        <w:rPr>
          <w:color w:val="000000"/>
        </w:rPr>
      </w:pPr>
      <w:r w:rsidRPr="005C3D4C">
        <w:rPr>
          <w:color w:val="000000"/>
        </w:rPr>
        <w:t xml:space="preserve">SOUZA, Vera Lúcia </w:t>
      </w:r>
      <w:proofErr w:type="spellStart"/>
      <w:r w:rsidRPr="005C3D4C">
        <w:rPr>
          <w:color w:val="000000"/>
        </w:rPr>
        <w:t>Puga</w:t>
      </w:r>
      <w:proofErr w:type="spellEnd"/>
      <w:r w:rsidRPr="005C3D4C">
        <w:rPr>
          <w:color w:val="000000"/>
        </w:rPr>
        <w:t xml:space="preserve"> de</w:t>
      </w:r>
      <w:r w:rsidRPr="00A84C91">
        <w:rPr>
          <w:b/>
          <w:color w:val="000000"/>
        </w:rPr>
        <w:t xml:space="preserve">. </w:t>
      </w:r>
      <w:r w:rsidRPr="00A84C91">
        <w:rPr>
          <w:b/>
          <w:bCs/>
          <w:color w:val="000000"/>
        </w:rPr>
        <w:t>Apresentação</w:t>
      </w:r>
      <w:r w:rsidRPr="00BC43E6">
        <w:rPr>
          <w:bCs/>
          <w:color w:val="000000"/>
        </w:rPr>
        <w:t>.</w:t>
      </w:r>
      <w:r w:rsidRPr="005C3D4C">
        <w:rPr>
          <w:color w:val="000000"/>
        </w:rPr>
        <w:t xml:space="preserve"> In: </w:t>
      </w:r>
      <w:proofErr w:type="spellStart"/>
      <w:r w:rsidRPr="005C3D4C">
        <w:rPr>
          <w:color w:val="000000"/>
        </w:rPr>
        <w:t>Ilma</w:t>
      </w:r>
      <w:proofErr w:type="spellEnd"/>
      <w:r w:rsidRPr="005C3D4C">
        <w:rPr>
          <w:color w:val="000000"/>
        </w:rPr>
        <w:t xml:space="preserve"> Passos Alencastro Veiga, Marisa </w:t>
      </w:r>
      <w:proofErr w:type="spellStart"/>
      <w:r w:rsidRPr="005C3D4C">
        <w:rPr>
          <w:color w:val="000000"/>
        </w:rPr>
        <w:t>Lomônaco</w:t>
      </w:r>
      <w:proofErr w:type="spellEnd"/>
      <w:r w:rsidRPr="005C3D4C">
        <w:rPr>
          <w:color w:val="000000"/>
        </w:rPr>
        <w:t xml:space="preserve"> de Paula Naves (Org.). </w:t>
      </w:r>
      <w:r w:rsidRPr="00DC702B">
        <w:rPr>
          <w:b/>
          <w:bCs/>
          <w:color w:val="000000" w:themeColor="text1"/>
        </w:rPr>
        <w:t>Currículo e avaliação no ensino superior.</w:t>
      </w:r>
      <w:r w:rsidRPr="00DC702B">
        <w:rPr>
          <w:color w:val="000000" w:themeColor="text1"/>
        </w:rPr>
        <w:t xml:space="preserve"> </w:t>
      </w:r>
      <w:r w:rsidRPr="005C3D4C">
        <w:rPr>
          <w:color w:val="000000"/>
        </w:rPr>
        <w:t>1. ed. Araraquara, SP: Junqueira &amp; Marin. 2005.</w:t>
      </w:r>
    </w:p>
    <w:p w14:paraId="12EDA217" w14:textId="77777777" w:rsidR="00BC43E6" w:rsidRPr="005C3D4C" w:rsidRDefault="00BC43E6" w:rsidP="00BC43E6">
      <w:pPr>
        <w:pStyle w:val="NormalWeb"/>
        <w:spacing w:before="0" w:beforeAutospacing="0" w:after="0" w:afterAutospacing="0"/>
        <w:rPr>
          <w:color w:val="000000"/>
        </w:rPr>
      </w:pPr>
    </w:p>
    <w:p w14:paraId="1AC62379" w14:textId="7330EFD1" w:rsidR="00AD6825" w:rsidRPr="005C3D4C" w:rsidRDefault="00AD6825" w:rsidP="00BC43E6">
      <w:pPr>
        <w:pStyle w:val="NormalWeb"/>
        <w:spacing w:before="0" w:beforeAutospacing="0" w:after="0" w:afterAutospacing="0"/>
      </w:pPr>
      <w:r w:rsidRPr="005C3D4C">
        <w:rPr>
          <w:color w:val="000000"/>
        </w:rPr>
        <w:t xml:space="preserve">SACRISTÁN, José </w:t>
      </w:r>
      <w:proofErr w:type="spellStart"/>
      <w:r w:rsidRPr="005C3D4C">
        <w:rPr>
          <w:color w:val="000000"/>
        </w:rPr>
        <w:t>Gimeno</w:t>
      </w:r>
      <w:proofErr w:type="spellEnd"/>
      <w:r w:rsidRPr="005C3D4C">
        <w:rPr>
          <w:b/>
          <w:color w:val="000000"/>
        </w:rPr>
        <w:t>.  Saberes e incertezas sobre o currículo.</w:t>
      </w:r>
      <w:r w:rsidRPr="00A601EE">
        <w:rPr>
          <w:color w:val="000000"/>
        </w:rPr>
        <w:t xml:space="preserve"> </w:t>
      </w:r>
      <w:hyperlink r:id="rId8" w:history="1">
        <w:r w:rsidRPr="00A601EE">
          <w:rPr>
            <w:rStyle w:val="Hyperlink"/>
            <w:color w:val="000000"/>
            <w:u w:val="none"/>
          </w:rPr>
          <w:t>1.</w:t>
        </w:r>
        <w:r w:rsidR="00A601EE" w:rsidRPr="00A601EE">
          <w:rPr>
            <w:rStyle w:val="Hyperlink"/>
            <w:color w:val="000000"/>
            <w:u w:val="none"/>
          </w:rPr>
          <w:t xml:space="preserve"> </w:t>
        </w:r>
        <w:r w:rsidRPr="00A601EE">
          <w:rPr>
            <w:rStyle w:val="Hyperlink"/>
            <w:color w:val="000000"/>
            <w:u w:val="none"/>
          </w:rPr>
          <w:t>ed</w:t>
        </w:r>
      </w:hyperlink>
      <w:r w:rsidRPr="005C3D4C">
        <w:rPr>
          <w:color w:val="000000"/>
        </w:rPr>
        <w:t>. Penso. 2013. </w:t>
      </w:r>
    </w:p>
    <w:p w14:paraId="3E4B8EC2" w14:textId="77777777" w:rsidR="00504FAE" w:rsidRDefault="00504FAE" w:rsidP="00BC43E6">
      <w:pPr>
        <w:spacing w:after="0" w:line="240" w:lineRule="auto"/>
        <w:rPr>
          <w:sz w:val="24"/>
          <w:szCs w:val="24"/>
        </w:rPr>
      </w:pPr>
    </w:p>
    <w:sectPr w:rsidR="00504FAE">
      <w:headerReference w:type="default" r:id="rId9"/>
      <w:pgSz w:w="11906" w:h="16838"/>
      <w:pgMar w:top="1701" w:right="1134" w:bottom="1134" w:left="1701" w:header="708" w:footer="709" w:gutter="0"/>
      <w:cols w:space="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8E6C49" w14:textId="77777777" w:rsidR="0051654E" w:rsidRDefault="0051654E">
      <w:pPr>
        <w:spacing w:line="240" w:lineRule="auto"/>
      </w:pPr>
      <w:r>
        <w:separator/>
      </w:r>
    </w:p>
  </w:endnote>
  <w:endnote w:type="continuationSeparator" w:id="0">
    <w:p w14:paraId="785C38E2" w14:textId="77777777" w:rsidR="0051654E" w:rsidRDefault="005165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871170" w14:textId="77777777" w:rsidR="0051654E" w:rsidRDefault="0051654E">
      <w:pPr>
        <w:spacing w:after="0"/>
      </w:pPr>
      <w:r>
        <w:separator/>
      </w:r>
    </w:p>
  </w:footnote>
  <w:footnote w:type="continuationSeparator" w:id="0">
    <w:p w14:paraId="7C7C3761" w14:textId="77777777" w:rsidR="0051654E" w:rsidRDefault="0051654E">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D7F401" w14:textId="77777777" w:rsidR="00504FAE" w:rsidRDefault="002A1B5D">
    <w:pPr>
      <w:pStyle w:val="Cabealho"/>
    </w:pPr>
    <w:r>
      <w:rPr>
        <w:noProof/>
        <w:lang w:eastAsia="pt-BR"/>
      </w:rPr>
      <w:drawing>
        <wp:inline distT="0" distB="0" distL="114300" distR="114300" wp14:anchorId="3F782A8A" wp14:editId="0004D165">
          <wp:extent cx="5756910" cy="1344295"/>
          <wp:effectExtent l="0" t="0" r="0" b="0"/>
          <wp:docPr id="1" name="Imagem 1" descr="Cabeçalho - fundo transpar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Cabeçalho - fundo transparente"/>
                  <pic:cNvPicPr>
                    <a:picLocks noChangeAspect="1"/>
                  </pic:cNvPicPr>
                </pic:nvPicPr>
                <pic:blipFill>
                  <a:blip r:embed="rId1"/>
                  <a:stretch>
                    <a:fillRect/>
                  </a:stretch>
                </pic:blipFill>
                <pic:spPr>
                  <a:xfrm>
                    <a:off x="0" y="0"/>
                    <a:ext cx="5756910" cy="134429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proofState w:spelling="clean" w:grammar="clean"/>
  <w:defaultTabStop w:val="708"/>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B16D9"/>
    <w:rsid w:val="00172A27"/>
    <w:rsid w:val="00180C8F"/>
    <w:rsid w:val="00256F52"/>
    <w:rsid w:val="002A1B5D"/>
    <w:rsid w:val="003C61B2"/>
    <w:rsid w:val="004333BA"/>
    <w:rsid w:val="00504FAE"/>
    <w:rsid w:val="00515300"/>
    <w:rsid w:val="0051654E"/>
    <w:rsid w:val="00536C7F"/>
    <w:rsid w:val="005A5D47"/>
    <w:rsid w:val="005C3D4C"/>
    <w:rsid w:val="00677F30"/>
    <w:rsid w:val="006B50F4"/>
    <w:rsid w:val="00741E2B"/>
    <w:rsid w:val="008C085E"/>
    <w:rsid w:val="008C40A0"/>
    <w:rsid w:val="00A601EE"/>
    <w:rsid w:val="00A84C91"/>
    <w:rsid w:val="00AD6825"/>
    <w:rsid w:val="00B10050"/>
    <w:rsid w:val="00B82A8F"/>
    <w:rsid w:val="00BA12DB"/>
    <w:rsid w:val="00BC43E6"/>
    <w:rsid w:val="00CD25D6"/>
    <w:rsid w:val="00DC702B"/>
    <w:rsid w:val="00F4581B"/>
    <w:rsid w:val="07BD78D2"/>
    <w:rsid w:val="0CB10AFC"/>
    <w:rsid w:val="0E9E37B4"/>
    <w:rsid w:val="1A894334"/>
    <w:rsid w:val="1EF63937"/>
    <w:rsid w:val="221653A0"/>
    <w:rsid w:val="22184B3D"/>
    <w:rsid w:val="236E20A2"/>
    <w:rsid w:val="25485496"/>
    <w:rsid w:val="27CD66DB"/>
    <w:rsid w:val="2D0A23B4"/>
    <w:rsid w:val="336839D0"/>
    <w:rsid w:val="39113C01"/>
    <w:rsid w:val="4A4308C7"/>
    <w:rsid w:val="4DAD2754"/>
    <w:rsid w:val="597F7F50"/>
    <w:rsid w:val="59FB6197"/>
    <w:rsid w:val="5B5B3C9A"/>
    <w:rsid w:val="60FF12C0"/>
    <w:rsid w:val="68F74436"/>
    <w:rsid w:val="6AC044BA"/>
    <w:rsid w:val="704476BC"/>
    <w:rsid w:val="7E5F027E"/>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5E98F"/>
  <w15:docId w15:val="{E8B988F7-4A31-4784-8E3E-CCC7B6C2E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rFonts w:asciiTheme="minorHAnsi" w:eastAsiaTheme="minorHAnsi" w:hAnsiTheme="minorHAnsi" w:cstheme="minorBidi"/>
      <w:kern w:val="2"/>
      <w:sz w:val="22"/>
      <w:szCs w:val="22"/>
      <w:lang w:eastAsia="en-US"/>
      <w14:ligatures w14:val="standardContextual"/>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qFormat/>
    <w:rPr>
      <w:color w:val="0000FF"/>
      <w:u w:val="single"/>
    </w:rPr>
  </w:style>
  <w:style w:type="paragraph" w:styleId="Cabealho">
    <w:name w:val="header"/>
    <w:basedOn w:val="Normal"/>
    <w:uiPriority w:val="99"/>
    <w:semiHidden/>
    <w:unhideWhenUsed/>
    <w:qFormat/>
    <w:pPr>
      <w:tabs>
        <w:tab w:val="center" w:pos="4252"/>
        <w:tab w:val="right" w:pos="8504"/>
      </w:tabs>
    </w:pPr>
  </w:style>
  <w:style w:type="paragraph" w:styleId="Rodap">
    <w:name w:val="footer"/>
    <w:basedOn w:val="Normal"/>
    <w:uiPriority w:val="99"/>
    <w:semiHidden/>
    <w:unhideWhenUsed/>
    <w:qFormat/>
    <w:pPr>
      <w:tabs>
        <w:tab w:val="center" w:pos="4252"/>
        <w:tab w:val="right" w:pos="8504"/>
      </w:tabs>
    </w:pPr>
  </w:style>
  <w:style w:type="table" w:styleId="Tabelacomgrade">
    <w:name w:val="Table Grid"/>
    <w:basedOn w:val="Tabela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A5D47"/>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91966">
      <w:bodyDiv w:val="1"/>
      <w:marLeft w:val="0"/>
      <w:marRight w:val="0"/>
      <w:marTop w:val="0"/>
      <w:marBottom w:val="0"/>
      <w:divBdr>
        <w:top w:val="none" w:sz="0" w:space="0" w:color="auto"/>
        <w:left w:val="none" w:sz="0" w:space="0" w:color="auto"/>
        <w:bottom w:val="none" w:sz="0" w:space="0" w:color="auto"/>
        <w:right w:val="none" w:sz="0" w:space="0" w:color="auto"/>
      </w:divBdr>
    </w:div>
    <w:div w:id="390885562">
      <w:bodyDiv w:val="1"/>
      <w:marLeft w:val="0"/>
      <w:marRight w:val="0"/>
      <w:marTop w:val="0"/>
      <w:marBottom w:val="0"/>
      <w:divBdr>
        <w:top w:val="none" w:sz="0" w:space="0" w:color="auto"/>
        <w:left w:val="none" w:sz="0" w:space="0" w:color="auto"/>
        <w:bottom w:val="none" w:sz="0" w:space="0" w:color="auto"/>
        <w:right w:val="none" w:sz="0" w:space="0" w:color="auto"/>
      </w:divBdr>
    </w:div>
    <w:div w:id="649557031">
      <w:bodyDiv w:val="1"/>
      <w:marLeft w:val="0"/>
      <w:marRight w:val="0"/>
      <w:marTop w:val="0"/>
      <w:marBottom w:val="0"/>
      <w:divBdr>
        <w:top w:val="none" w:sz="0" w:space="0" w:color="auto"/>
        <w:left w:val="none" w:sz="0" w:space="0" w:color="auto"/>
        <w:bottom w:val="none" w:sz="0" w:space="0" w:color="auto"/>
        <w:right w:val="none" w:sz="0" w:space="0" w:color="auto"/>
      </w:divBdr>
    </w:div>
    <w:div w:id="719668280">
      <w:bodyDiv w:val="1"/>
      <w:marLeft w:val="0"/>
      <w:marRight w:val="0"/>
      <w:marTop w:val="0"/>
      <w:marBottom w:val="0"/>
      <w:divBdr>
        <w:top w:val="none" w:sz="0" w:space="0" w:color="auto"/>
        <w:left w:val="none" w:sz="0" w:space="0" w:color="auto"/>
        <w:bottom w:val="none" w:sz="0" w:space="0" w:color="auto"/>
        <w:right w:val="none" w:sz="0" w:space="0" w:color="auto"/>
      </w:divBdr>
    </w:div>
    <w:div w:id="827475693">
      <w:bodyDiv w:val="1"/>
      <w:marLeft w:val="0"/>
      <w:marRight w:val="0"/>
      <w:marTop w:val="0"/>
      <w:marBottom w:val="0"/>
      <w:divBdr>
        <w:top w:val="none" w:sz="0" w:space="0" w:color="auto"/>
        <w:left w:val="none" w:sz="0" w:space="0" w:color="auto"/>
        <w:bottom w:val="none" w:sz="0" w:space="0" w:color="auto"/>
        <w:right w:val="none" w:sz="0" w:space="0" w:color="auto"/>
      </w:divBdr>
    </w:div>
    <w:div w:id="1403985548">
      <w:bodyDiv w:val="1"/>
      <w:marLeft w:val="0"/>
      <w:marRight w:val="0"/>
      <w:marTop w:val="0"/>
      <w:marBottom w:val="0"/>
      <w:divBdr>
        <w:top w:val="none" w:sz="0" w:space="0" w:color="auto"/>
        <w:left w:val="none" w:sz="0" w:space="0" w:color="auto"/>
        <w:bottom w:val="none" w:sz="0" w:space="0" w:color="auto"/>
        <w:right w:val="none" w:sz="0" w:space="0" w:color="auto"/>
      </w:divBdr>
    </w:div>
    <w:div w:id="1423212272">
      <w:bodyDiv w:val="1"/>
      <w:marLeft w:val="0"/>
      <w:marRight w:val="0"/>
      <w:marTop w:val="0"/>
      <w:marBottom w:val="0"/>
      <w:divBdr>
        <w:top w:val="none" w:sz="0" w:space="0" w:color="auto"/>
        <w:left w:val="none" w:sz="0" w:space="0" w:color="auto"/>
        <w:bottom w:val="none" w:sz="0" w:space="0" w:color="auto"/>
        <w:right w:val="none" w:sz="0" w:space="0" w:color="auto"/>
      </w:divBdr>
    </w:div>
    <w:div w:id="1649364274">
      <w:bodyDiv w:val="1"/>
      <w:marLeft w:val="0"/>
      <w:marRight w:val="0"/>
      <w:marTop w:val="0"/>
      <w:marBottom w:val="0"/>
      <w:divBdr>
        <w:top w:val="none" w:sz="0" w:space="0" w:color="auto"/>
        <w:left w:val="none" w:sz="0" w:space="0" w:color="auto"/>
        <w:bottom w:val="none" w:sz="0" w:space="0" w:color="auto"/>
        <w:right w:val="none" w:sz="0" w:space="0" w:color="auto"/>
      </w:divBdr>
    </w:div>
    <w:div w:id="1754471326">
      <w:bodyDiv w:val="1"/>
      <w:marLeft w:val="0"/>
      <w:marRight w:val="0"/>
      <w:marTop w:val="0"/>
      <w:marBottom w:val="0"/>
      <w:divBdr>
        <w:top w:val="none" w:sz="0" w:space="0" w:color="auto"/>
        <w:left w:val="none" w:sz="0" w:space="0" w:color="auto"/>
        <w:bottom w:val="none" w:sz="0" w:space="0" w:color="auto"/>
        <w:right w:val="none" w:sz="0" w:space="0" w:color="auto"/>
      </w:divBdr>
    </w:div>
    <w:div w:id="19947953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1.ed" TargetMode="External"/><Relationship Id="rId3" Type="http://schemas.openxmlformats.org/officeDocument/2006/relationships/webSettings" Target="webSettings.xml"/><Relationship Id="rId7" Type="http://schemas.openxmlformats.org/officeDocument/2006/relationships/hyperlink" Target="mailto:francely.santos@unimontes.br"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lhuferreira2507@gmail.com"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1111</Words>
  <Characters>6000</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Ùrsula</dc:creator>
  <cp:lastModifiedBy>maria emília alves</cp:lastModifiedBy>
  <cp:revision>2</cp:revision>
  <dcterms:created xsi:type="dcterms:W3CDTF">2026-04-24T11:58:00Z</dcterms:created>
  <dcterms:modified xsi:type="dcterms:W3CDTF">2026-04-24T11:58:00Z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1046-12.2.0.23196</vt:lpwstr>
  </property>
  <property fmtid="{D5CDD505-2E9C-101B-9397-08002B2CF9AE}" pid="3" name="ICV">
    <vt:lpwstr>53FC246208EA42E987A751BCACD637E5_13</vt:lpwstr>
  </property>
</Properties>
</file>