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MISE EN ABYME </w:t>
      </w:r>
      <w:r w:rsidDel="00000000" w:rsidR="00000000" w:rsidRPr="00000000">
        <w:rPr>
          <w:b w:val="1"/>
          <w:sz w:val="28"/>
          <w:szCs w:val="28"/>
          <w:rtl w:val="0"/>
        </w:rPr>
        <w:t xml:space="preserve">EM “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THE WEREWOLF</w:t>
      </w:r>
      <w:r w:rsidDel="00000000" w:rsidR="00000000" w:rsidRPr="00000000">
        <w:rPr>
          <w:b w:val="1"/>
          <w:sz w:val="28"/>
          <w:szCs w:val="28"/>
          <w:rtl w:val="0"/>
        </w:rPr>
        <w:t xml:space="preserve">” E “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THE COMPANY OF WOLVES</w:t>
      </w:r>
      <w:r w:rsidDel="00000000" w:rsidR="00000000" w:rsidRPr="00000000">
        <w:rPr>
          <w:b w:val="1"/>
          <w:sz w:val="28"/>
          <w:szCs w:val="28"/>
          <w:rtl w:val="0"/>
        </w:rPr>
        <w:t xml:space="preserve">”, DE ANGELA CARTER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Matheus Carlesso da Silva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Altamir Botoso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Originando-se na heráldica, campo que analisa brasões, o termo </w:t>
      </w:r>
      <w:r w:rsidDel="00000000" w:rsidR="00000000" w:rsidRPr="00000000">
        <w:rPr>
          <w:i w:val="1"/>
          <w:sz w:val="24"/>
          <w:szCs w:val="24"/>
          <w:rtl w:val="0"/>
        </w:rPr>
        <w:t xml:space="preserve">mise en abyme, </w:t>
      </w:r>
      <w:r w:rsidDel="00000000" w:rsidR="00000000" w:rsidRPr="00000000">
        <w:rPr>
          <w:sz w:val="24"/>
          <w:szCs w:val="24"/>
          <w:rtl w:val="0"/>
        </w:rPr>
        <w:t xml:space="preserve">cunhado </w:t>
      </w:r>
      <w:r w:rsidDel="00000000" w:rsidR="00000000" w:rsidRPr="00000000">
        <w:rPr>
          <w:sz w:val="24"/>
          <w:szCs w:val="24"/>
          <w:rtl w:val="0"/>
        </w:rPr>
        <w:t xml:space="preserve">por C. E. Magny, e discutido também</w:t>
      </w:r>
      <w:r w:rsidDel="00000000" w:rsidR="00000000" w:rsidRPr="00000000">
        <w:rPr>
          <w:sz w:val="24"/>
          <w:szCs w:val="24"/>
          <w:rtl w:val="0"/>
        </w:rPr>
        <w:t xml:space="preserve"> pelo escritor francês André Gide, refere-se a uma técnica literária caracterizada pela repetição, pelo espelhamento, pela duplicação e pela construção caleidoscópica ou fractal. Essa técnica se manifesta em diversas formas de arte, desde pinturas até anúncios publicitários e, na literatura, um exemplo amplamente conhecido é a icônica obra </w:t>
      </w:r>
      <w:r w:rsidDel="00000000" w:rsidR="00000000" w:rsidRPr="00000000">
        <w:rPr>
          <w:i w:val="1"/>
          <w:sz w:val="24"/>
          <w:szCs w:val="24"/>
          <w:rtl w:val="0"/>
        </w:rPr>
        <w:t xml:space="preserve">Hamlet</w:t>
      </w:r>
      <w:r w:rsidDel="00000000" w:rsidR="00000000" w:rsidRPr="00000000">
        <w:rPr>
          <w:sz w:val="24"/>
          <w:szCs w:val="24"/>
          <w:rtl w:val="0"/>
        </w:rPr>
        <w:t xml:space="preserve">, de William Shakespeare, na qual encontramos uma peça sendo encenada dentro de outra peça, semelhante às bonecas </w:t>
      </w:r>
      <w:r w:rsidDel="00000000" w:rsidR="00000000" w:rsidRPr="00000000">
        <w:rPr>
          <w:i w:val="1"/>
          <w:sz w:val="24"/>
          <w:szCs w:val="24"/>
          <w:rtl w:val="0"/>
        </w:rPr>
        <w:t xml:space="preserve">matrioskas</w:t>
      </w:r>
      <w:r w:rsidDel="00000000" w:rsidR="00000000" w:rsidRPr="00000000">
        <w:rPr>
          <w:sz w:val="24"/>
          <w:szCs w:val="24"/>
          <w:rtl w:val="0"/>
        </w:rPr>
        <w:t xml:space="preserve">, que são colocadas umas dentro das outras.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 Dessa forma, nossa pesquisa busca relacionar a referida técnica com os contos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Werewolf” </w:t>
      </w:r>
      <w:r w:rsidDel="00000000" w:rsidR="00000000" w:rsidRPr="00000000">
        <w:rPr>
          <w:sz w:val="24"/>
          <w:szCs w:val="24"/>
          <w:rtl w:val="0"/>
        </w:rPr>
        <w:t xml:space="preserve">e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Company of Wolves”,</w:t>
      </w:r>
      <w:r w:rsidDel="00000000" w:rsidR="00000000" w:rsidRPr="00000000">
        <w:rPr>
          <w:sz w:val="24"/>
          <w:szCs w:val="24"/>
          <w:rtl w:val="0"/>
        </w:rPr>
        <w:t xml:space="preserve"> presentes no livro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Bloody Chamber </w:t>
      </w:r>
      <w:r w:rsidDel="00000000" w:rsidR="00000000" w:rsidRPr="00000000">
        <w:rPr>
          <w:sz w:val="24"/>
          <w:szCs w:val="24"/>
          <w:rtl w:val="0"/>
        </w:rPr>
        <w:t xml:space="preserve">(2015), da autora inglesa Angela Carter que, após ler e traduzir para o inglês as histórias clássicas do autor francês do século XVII Charles Perrault, Carter obteve um material riquíssimo com o qual soube trabalhar e subverter a sua estética narrativa, rompendo estruturas tradicionais, especialmente no que se refere à representação feminina e à dominação masculina. À luz de teóricos como Lucien Dällenbach (1989), Véronique Labeille (2011) e Mariângela Alonso (2015), que se dedicam ao estudo da </w:t>
      </w:r>
      <w:r w:rsidDel="00000000" w:rsidR="00000000" w:rsidRPr="00000000">
        <w:rPr>
          <w:i w:val="1"/>
          <w:sz w:val="24"/>
          <w:szCs w:val="24"/>
          <w:rtl w:val="0"/>
        </w:rPr>
        <w:t xml:space="preserve">mise en abyme</w:t>
      </w:r>
      <w:r w:rsidDel="00000000" w:rsidR="00000000" w:rsidRPr="00000000">
        <w:rPr>
          <w:sz w:val="24"/>
          <w:szCs w:val="24"/>
          <w:rtl w:val="0"/>
        </w:rPr>
        <w:t xml:space="preserve">, além de pesquisadores especialistas na obra de Carter, como Cleide Antonia Rapucci </w:t>
      </w:r>
      <w:r w:rsidDel="00000000" w:rsidR="00000000" w:rsidRPr="00000000">
        <w:rPr>
          <w:sz w:val="24"/>
          <w:szCs w:val="24"/>
          <w:rtl w:val="0"/>
        </w:rPr>
        <w:t xml:space="preserve">2024</w:t>
      </w:r>
      <w:r w:rsidDel="00000000" w:rsidR="00000000" w:rsidRPr="00000000">
        <w:rPr>
          <w:sz w:val="24"/>
          <w:szCs w:val="24"/>
          <w:rtl w:val="0"/>
        </w:rPr>
        <w:t xml:space="preserve"> e Marie Mulvey-Roberts </w:t>
      </w:r>
      <w:r w:rsidDel="00000000" w:rsidR="00000000" w:rsidRPr="00000000">
        <w:rPr>
          <w:sz w:val="24"/>
          <w:szCs w:val="24"/>
          <w:rtl w:val="0"/>
        </w:rPr>
        <w:t xml:space="preserve">(2022)</w:t>
      </w:r>
      <w:r w:rsidDel="00000000" w:rsidR="00000000" w:rsidRPr="00000000">
        <w:rPr>
          <w:sz w:val="24"/>
          <w:szCs w:val="24"/>
          <w:rtl w:val="0"/>
        </w:rPr>
        <w:t xml:space="preserve">, nosso estudo visa realizar uma revisão bibliográfica dos autores previamente citados, com o objetivo de investigar, identificar e categorizar as manifestações da </w:t>
      </w:r>
      <w:r w:rsidDel="00000000" w:rsidR="00000000" w:rsidRPr="00000000">
        <w:rPr>
          <w:i w:val="1"/>
          <w:sz w:val="24"/>
          <w:szCs w:val="24"/>
          <w:rtl w:val="0"/>
        </w:rPr>
        <w:t xml:space="preserve">mise en abyme</w:t>
      </w:r>
      <w:r w:rsidDel="00000000" w:rsidR="00000000" w:rsidRPr="00000000">
        <w:rPr>
          <w:sz w:val="24"/>
          <w:szCs w:val="24"/>
          <w:rtl w:val="0"/>
        </w:rPr>
        <w:t xml:space="preserve"> presentes nos contos selecionados. Ademais, mesmo sendo uma autora cujos escritos estão entre uns dos mais inovadores do século XX, Carter ainda é pouco reconhecida no âmbito literário e acadêmico brasileiro. Portanto, o presente estudo pretende contribuir para um maior reconhecimento dos escritos de Angela Carter no Brasil e, mais especificamente, em Mato Grosso do Sul, reforçando a relevância da autora, bem como um aprofundamento dos estudos teóricos sobre a </w:t>
      </w:r>
      <w:r w:rsidDel="00000000" w:rsidR="00000000" w:rsidRPr="00000000">
        <w:rPr>
          <w:i w:val="1"/>
          <w:sz w:val="24"/>
          <w:szCs w:val="24"/>
          <w:rtl w:val="0"/>
        </w:rPr>
        <w:t xml:space="preserve">mise en abyme </w:t>
      </w:r>
      <w:r w:rsidDel="00000000" w:rsidR="00000000" w:rsidRPr="00000000">
        <w:rPr>
          <w:sz w:val="24"/>
          <w:szCs w:val="24"/>
          <w:rtl w:val="0"/>
        </w:rPr>
        <w:t xml:space="preserve">no contexto da literatura contemporânea. </w:t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Angela Carter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Mise en abyme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Literatura Inglesa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Bloody Chamber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Contos.</w:t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Mestrando em Estudos Literários no Programa de Pós-graduação em Letras da Universidade Estadual de Mato Grosso do Sul.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Doutor em Letras e professor do curso de Letras/Espanhol e do Mestrado em Letras da Universidade Estadual de Mato Grosso do Sul, UEMS, e cursando o Estágio Pós-Doutoral do Programa de Pós-Graduação em "Estudos de Linguagens" da Faculdade de Arte, Letras e Comunicação - Faalc/UFMS, sob a orientação do professor Dr. Wellington Furtado Ramos. Orcid: https://orcid.org/0000-0003-3231-2351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uI5fP7iiwRivEWMF4PeqRCSmBw==">CgMxLjA4AHIhMUx2cnExeDBISlc5ZXBtXzhVSkxhSlVfSzRNc28xVmJt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