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A1AB2" w14:textId="77777777" w:rsidR="00483094" w:rsidRPr="0009257C" w:rsidRDefault="00483094" w:rsidP="0024601B">
      <w:pPr>
        <w:pStyle w:val="Corpodetexto"/>
        <w:spacing w:after="100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6D2322" w14:textId="1C29234A" w:rsidR="00483094" w:rsidRPr="007C784A" w:rsidRDefault="00583CD1" w:rsidP="007C784A">
      <w:pPr>
        <w:pStyle w:val="Corpodetexto"/>
        <w:spacing w:after="100"/>
        <w:jc w:val="center"/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583CD1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PROGRAMA NACIONAL DE IMUNIZAÇÕES: </w:t>
      </w:r>
      <w:r w:rsidR="00FE67F9" w:rsidRPr="00FE67F9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DECLÍNIO DA COBERTURA VACINAL</w:t>
      </w:r>
    </w:p>
    <w:p w14:paraId="61010EFD" w14:textId="737004AD" w:rsidR="00483094" w:rsidRPr="004E268B" w:rsidRDefault="00483094" w:rsidP="004E268B">
      <w:pPr>
        <w:pStyle w:val="Corpodetexto"/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INTRODUÇÃO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09257C">
        <w:rPr>
          <w:rFonts w:ascii="Times New Roman" w:hAnsi="Times New Roman" w:cs="Times New Roman"/>
          <w:sz w:val="24"/>
          <w:szCs w:val="24"/>
        </w:rPr>
        <w:t xml:space="preserve"> </w:t>
      </w:r>
      <w:r w:rsidR="004E268B" w:rsidRPr="004E268B">
        <w:rPr>
          <w:rFonts w:ascii="Times New Roman" w:hAnsi="Times New Roman" w:cs="Times New Roman"/>
          <w:sz w:val="24"/>
          <w:szCs w:val="24"/>
        </w:rPr>
        <w:t xml:space="preserve">O Programa Nacional de Imunizações (PNI), </w:t>
      </w:r>
      <w:r w:rsidR="004E268B">
        <w:rPr>
          <w:rFonts w:ascii="Times New Roman" w:hAnsi="Times New Roman" w:cs="Times New Roman"/>
          <w:sz w:val="24"/>
          <w:szCs w:val="24"/>
        </w:rPr>
        <w:t>criado</w:t>
      </w:r>
      <w:r w:rsidR="004E268B" w:rsidRPr="004E268B">
        <w:rPr>
          <w:rFonts w:ascii="Times New Roman" w:hAnsi="Times New Roman" w:cs="Times New Roman"/>
          <w:sz w:val="24"/>
          <w:szCs w:val="24"/>
        </w:rPr>
        <w:t xml:space="preserve"> em 1973, configura-se como uma política pública central na saúde coletiva brasileira, responsável pela redução da morbimortalidade por doenças imunopreveníveis. Apesar dos avanços históricos, observa-se declínio das coberturas vacinais nas últimas décadas, o que compromete a manutenção de resultados alcançados e justifica a análise de seus determinantes</w:t>
      </w:r>
      <w:r w:rsidRPr="0009257C">
        <w:rPr>
          <w:rFonts w:ascii="Times New Roman" w:hAnsi="Times New Roman" w:cs="Times New Roman"/>
          <w:sz w:val="24"/>
          <w:szCs w:val="24"/>
        </w:rPr>
        <w:t xml:space="preserve">.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OBJETIVO: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22E18" w:rsidRPr="00722E18">
        <w:rPr>
          <w:rFonts w:ascii="Times New Roman" w:hAnsi="Times New Roman" w:cs="Times New Roman"/>
          <w:sz w:val="24"/>
          <w:szCs w:val="24"/>
        </w:rPr>
        <w:t>Analisar os desafios relacionados à cobertura vacinal no âmbito do Programa Nacional de Imunizações no Brasil</w:t>
      </w:r>
      <w:r w:rsidR="004E268B" w:rsidRPr="004E268B">
        <w:rPr>
          <w:rFonts w:ascii="Times New Roman" w:hAnsi="Times New Roman" w:cs="Times New Roman"/>
          <w:sz w:val="24"/>
          <w:szCs w:val="24"/>
        </w:rPr>
        <w:t>.</w:t>
      </w:r>
      <w:r w:rsidR="004E268B">
        <w:rPr>
          <w:rFonts w:ascii="Times New Roman" w:hAnsi="Times New Roman" w:cs="Times New Roman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MÉTODO: </w:t>
      </w:r>
      <w:r w:rsidR="004E268B" w:rsidRPr="004E268B">
        <w:rPr>
          <w:rFonts w:ascii="Times New Roman" w:hAnsi="Times New Roman" w:cs="Times New Roman"/>
          <w:sz w:val="24"/>
          <w:szCs w:val="24"/>
        </w:rPr>
        <w:t>Trata-se de uma pesquisa do tipo revisão d</w:t>
      </w:r>
      <w:r w:rsidR="004E268B">
        <w:rPr>
          <w:rFonts w:ascii="Times New Roman" w:hAnsi="Times New Roman" w:cs="Times New Roman"/>
          <w:sz w:val="24"/>
          <w:szCs w:val="24"/>
        </w:rPr>
        <w:t>a</w:t>
      </w:r>
      <w:r w:rsidR="004E268B" w:rsidRPr="004E268B">
        <w:rPr>
          <w:rFonts w:ascii="Times New Roman" w:hAnsi="Times New Roman" w:cs="Times New Roman"/>
          <w:sz w:val="24"/>
          <w:szCs w:val="24"/>
        </w:rPr>
        <w:t xml:space="preserve"> literatura, realizado por meio da análise de artigos científicos, dissertações e documentos oficiais, com busca nas bases </w:t>
      </w:r>
      <w:proofErr w:type="spellStart"/>
      <w:r w:rsidR="004E268B" w:rsidRPr="004E268B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="004E268B" w:rsidRPr="004E2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268B" w:rsidRPr="004E268B">
        <w:rPr>
          <w:rFonts w:ascii="Times New Roman" w:hAnsi="Times New Roman" w:cs="Times New Roman"/>
          <w:sz w:val="24"/>
          <w:szCs w:val="24"/>
        </w:rPr>
        <w:t>Electronic</w:t>
      </w:r>
      <w:proofErr w:type="spellEnd"/>
      <w:r w:rsidR="004E268B" w:rsidRPr="004E268B">
        <w:rPr>
          <w:rFonts w:ascii="Times New Roman" w:hAnsi="Times New Roman" w:cs="Times New Roman"/>
          <w:sz w:val="24"/>
          <w:szCs w:val="24"/>
        </w:rPr>
        <w:t xml:space="preserve"> Library Online </w:t>
      </w:r>
      <w:r w:rsidR="004E268B">
        <w:rPr>
          <w:rFonts w:ascii="Times New Roman" w:hAnsi="Times New Roman" w:cs="Times New Roman"/>
          <w:sz w:val="24"/>
          <w:szCs w:val="24"/>
        </w:rPr>
        <w:t xml:space="preserve">(SciELO), </w:t>
      </w:r>
      <w:r w:rsidR="004E268B" w:rsidRPr="004E268B">
        <w:rPr>
          <w:rFonts w:ascii="Times New Roman" w:hAnsi="Times New Roman" w:cs="Times New Roman"/>
          <w:sz w:val="24"/>
          <w:szCs w:val="24"/>
        </w:rPr>
        <w:t>Biblioteca Virtual em Saúde</w:t>
      </w:r>
      <w:r w:rsidR="004E268B">
        <w:rPr>
          <w:rFonts w:ascii="Times New Roman" w:hAnsi="Times New Roman" w:cs="Times New Roman"/>
          <w:sz w:val="24"/>
          <w:szCs w:val="24"/>
        </w:rPr>
        <w:t xml:space="preserve"> (BVS) e </w:t>
      </w:r>
      <w:proofErr w:type="spellStart"/>
      <w:r w:rsidR="004E268B" w:rsidRPr="004E268B">
        <w:rPr>
          <w:rFonts w:ascii="Times New Roman" w:hAnsi="Times New Roman" w:cs="Times New Roman"/>
          <w:sz w:val="24"/>
          <w:szCs w:val="24"/>
        </w:rPr>
        <w:t>PubMed</w:t>
      </w:r>
      <w:proofErr w:type="spellEnd"/>
      <w:r w:rsidR="004E268B" w:rsidRPr="004E268B">
        <w:rPr>
          <w:rFonts w:ascii="Times New Roman" w:hAnsi="Times New Roman" w:cs="Times New Roman"/>
          <w:sz w:val="24"/>
          <w:szCs w:val="24"/>
        </w:rPr>
        <w:t>, considerando publicações entre 200</w:t>
      </w:r>
      <w:r w:rsidR="004E268B">
        <w:rPr>
          <w:rFonts w:ascii="Times New Roman" w:hAnsi="Times New Roman" w:cs="Times New Roman"/>
          <w:sz w:val="24"/>
          <w:szCs w:val="24"/>
        </w:rPr>
        <w:t>5</w:t>
      </w:r>
      <w:r w:rsidR="004E268B" w:rsidRPr="004E268B">
        <w:rPr>
          <w:rFonts w:ascii="Times New Roman" w:hAnsi="Times New Roman" w:cs="Times New Roman"/>
          <w:sz w:val="24"/>
          <w:szCs w:val="24"/>
        </w:rPr>
        <w:t xml:space="preserve"> e 2025</w:t>
      </w:r>
      <w:r w:rsidR="00103BD8">
        <w:rPr>
          <w:rFonts w:ascii="Times New Roman" w:hAnsi="Times New Roman" w:cs="Times New Roman"/>
          <w:sz w:val="24"/>
          <w:szCs w:val="24"/>
        </w:rPr>
        <w:t xml:space="preserve">. </w:t>
      </w:r>
      <w:r w:rsidRPr="0009257C">
        <w:rPr>
          <w:rFonts w:ascii="Times New Roman" w:hAnsi="Times New Roman" w:cs="Times New Roman"/>
          <w:b/>
          <w:bCs/>
          <w:sz w:val="24"/>
          <w:szCs w:val="24"/>
        </w:rPr>
        <w:t>RESULTADOS:</w:t>
      </w:r>
      <w:r w:rsidRPr="0009257C">
        <w:rPr>
          <w:rFonts w:ascii="Times New Roman" w:hAnsi="Times New Roman" w:cs="Times New Roman"/>
          <w:sz w:val="24"/>
          <w:szCs w:val="24"/>
        </w:rPr>
        <w:t> </w:t>
      </w:r>
      <w:r w:rsidR="004E268B" w:rsidRPr="004E268B">
        <w:rPr>
          <w:rFonts w:ascii="Times New Roman" w:hAnsi="Times New Roman" w:cs="Times New Roman"/>
          <w:sz w:val="24"/>
          <w:szCs w:val="24"/>
        </w:rPr>
        <w:t xml:space="preserve">O PNI apresenta um dos calendários vacinais mais abrangentes, com oferta gratuita de imunobiológicos em diferentes fases da vida. </w:t>
      </w:r>
      <w:r w:rsidR="00646425" w:rsidRPr="00646425">
        <w:rPr>
          <w:rFonts w:ascii="Times New Roman" w:hAnsi="Times New Roman" w:cs="Times New Roman"/>
          <w:sz w:val="24"/>
          <w:szCs w:val="24"/>
        </w:rPr>
        <w:t>Entretanto, desde 2016, a cobertura vacinal apresenta redução, abaixo da meta de 95% preconizada pela Organização Mundial de Saúde (OMS) e atingindo cerca de 52% em 2021</w:t>
      </w:r>
      <w:r w:rsidRPr="0009257C">
        <w:rPr>
          <w:rFonts w:ascii="Times New Roman" w:hAnsi="Times New Roman" w:cs="Times New Roman"/>
          <w:sz w:val="24"/>
          <w:szCs w:val="24"/>
        </w:rPr>
        <w:t>.</w:t>
      </w:r>
      <w:r w:rsidR="004E268B">
        <w:rPr>
          <w:rFonts w:ascii="Times New Roman" w:hAnsi="Times New Roman" w:cs="Times New Roman"/>
          <w:sz w:val="24"/>
          <w:szCs w:val="24"/>
        </w:rPr>
        <w:t xml:space="preserve"> </w:t>
      </w:r>
      <w:r w:rsidR="00722E18" w:rsidRPr="00722E18">
        <w:rPr>
          <w:rFonts w:ascii="Times New Roman" w:hAnsi="Times New Roman" w:cs="Times New Roman"/>
          <w:sz w:val="24"/>
          <w:szCs w:val="24"/>
        </w:rPr>
        <w:t>Entre os principais fatores associados destacam-se a hesitação vacinal, a disseminação de desinformação, barreiras de acesso aos serviços de saúde e desigualdades regionais.</w:t>
      </w:r>
      <w:r w:rsidR="00722E18">
        <w:rPr>
          <w:rFonts w:ascii="Times New Roman" w:hAnsi="Times New Roman" w:cs="Times New Roman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CONSIDERAÇÕES FINAIS</w:t>
      </w:r>
      <w:r w:rsidR="004E268B">
        <w:rPr>
          <w:rFonts w:ascii="Times New Roman" w:hAnsi="Times New Roman" w:cs="Times New Roman"/>
          <w:sz w:val="24"/>
          <w:szCs w:val="24"/>
        </w:rPr>
        <w:t xml:space="preserve">: </w:t>
      </w:r>
      <w:r w:rsidR="00722E18" w:rsidRPr="00722E18">
        <w:rPr>
          <w:rFonts w:ascii="Times New Roman" w:hAnsi="Times New Roman" w:cs="Times New Roman"/>
          <w:sz w:val="24"/>
          <w:szCs w:val="24"/>
        </w:rPr>
        <w:t>A queda da cobertura vacinal no Brasil está relacionada a múltiplos determinantes, exigindo estratégias que ampliem o acesso, qualifiquem a informação em saúde e fortaleçam a adesão da população às ações de imunização</w:t>
      </w:r>
      <w:r w:rsidR="004E268B" w:rsidRPr="004E268B">
        <w:rPr>
          <w:rFonts w:ascii="Times New Roman" w:hAnsi="Times New Roman" w:cs="Times New Roman"/>
          <w:sz w:val="24"/>
          <w:szCs w:val="24"/>
        </w:rPr>
        <w:t>.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CONTRIBUIÇÕES PARA A ENFERMAGEM: </w:t>
      </w:r>
      <w:r w:rsidR="004E268B" w:rsidRPr="004E268B">
        <w:rPr>
          <w:rFonts w:ascii="Times New Roman" w:hAnsi="Times New Roman" w:cs="Times New Roman"/>
          <w:color w:val="000000" w:themeColor="text1"/>
          <w:sz w:val="24"/>
          <w:szCs w:val="24"/>
        </w:rPr>
        <w:t>A análise evidencia o papel da enfermagem na promoção da vacinação, especialmente na educação em saúde, no enfrentamento da hesitação vacinal e organização do processo de trabalho na atenção primária, contribuindo para a ampliação da cobertura vacinal.</w:t>
      </w:r>
    </w:p>
    <w:p w14:paraId="00A8E9CA" w14:textId="77777777" w:rsidR="00483094" w:rsidRPr="0009257C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1D90BE" w14:textId="2D01BB65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Descritores (</w:t>
      </w:r>
      <w:proofErr w:type="spell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DeCS</w:t>
      </w:r>
      <w:proofErr w:type="spell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– ID): </w:t>
      </w:r>
      <w:r w:rsidR="004E268B" w:rsidRPr="004E268B">
        <w:rPr>
          <w:rFonts w:ascii="Times New Roman" w:hAnsi="Times New Roman" w:cs="Times New Roman"/>
          <w:color w:val="000000" w:themeColor="text1"/>
          <w:sz w:val="24"/>
          <w:szCs w:val="24"/>
        </w:rPr>
        <w:t>Programa Nacional de Imunizações (PNI)</w:t>
      </w:r>
      <w:r w:rsidR="004E26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583CD1" w:rsidRPr="00583CD1">
        <w:rPr>
          <w:rFonts w:ascii="Times New Roman" w:hAnsi="Times New Roman" w:cs="Times New Roman"/>
          <w:color w:val="000000" w:themeColor="text1"/>
          <w:sz w:val="24"/>
          <w:szCs w:val="24"/>
        </w:rPr>
        <w:t>D017589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583CD1" w:rsidRPr="00583CD1">
        <w:rPr>
          <w:rFonts w:ascii="Times New Roman" w:hAnsi="Times New Roman" w:cs="Times New Roman"/>
          <w:color w:val="000000" w:themeColor="text1"/>
          <w:sz w:val="24"/>
          <w:szCs w:val="24"/>
        </w:rPr>
        <w:t>Hesitação Vacinal</w:t>
      </w:r>
      <w:r w:rsidR="00583CD1" w:rsidRPr="00583CD1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583CD1" w:rsidRPr="00583CD1">
        <w:rPr>
          <w:rFonts w:ascii="Times New Roman" w:hAnsi="Times New Roman" w:cs="Times New Roman"/>
          <w:color w:val="000000" w:themeColor="text1"/>
          <w:sz w:val="24"/>
          <w:szCs w:val="24"/>
        </w:rPr>
        <w:t>D000088823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4E268B" w:rsidRPr="004E268B">
        <w:rPr>
          <w:rFonts w:ascii="Times New Roman" w:hAnsi="Times New Roman" w:cs="Times New Roman"/>
          <w:color w:val="000000" w:themeColor="text1"/>
          <w:sz w:val="24"/>
          <w:szCs w:val="24"/>
        </w:rPr>
        <w:t>Cobertura Vacinal</w:t>
      </w:r>
      <w:r w:rsidR="004E26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583CD1" w:rsidRPr="00583CD1">
        <w:rPr>
          <w:rFonts w:ascii="Times New Roman" w:hAnsi="Times New Roman" w:cs="Times New Roman"/>
          <w:color w:val="000000" w:themeColor="text1"/>
          <w:sz w:val="24"/>
          <w:szCs w:val="24"/>
        </w:rPr>
        <w:t>D000073887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6846C93A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Modalidade: </w:t>
      </w:r>
      <w:proofErr w:type="gram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  </w:t>
      </w:r>
      <w:proofErr w:type="gram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) estudo </w:t>
      </w:r>
      <w:proofErr w:type="gram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original 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  </w:t>
      </w:r>
      <w:proofErr w:type="gram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) </w:t>
      </w:r>
      <w:r w:rsidRPr="0009257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desenvolvimento tecnológico</w:t>
      </w:r>
    </w:p>
    <w:p w14:paraId="7EA2935A" w14:textId="3ACAF507" w:rsidR="00483094" w:rsidRPr="0009257C" w:rsidRDefault="00483094" w:rsidP="00483094">
      <w:pPr>
        <w:pStyle w:val="Corpodetexto"/>
        <w:spacing w:after="100"/>
        <w:ind w:left="1418" w:firstLine="709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9257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(  )</w:t>
      </w:r>
      <w:proofErr w:type="gram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relato de experiência </w:t>
      </w:r>
      <w:proofErr w:type="gram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r w:rsidR="00583CD1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x</w:t>
      </w:r>
      <w:proofErr w:type="gram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) revisão da literatura</w:t>
      </w:r>
    </w:p>
    <w:p w14:paraId="3DFBE95E" w14:textId="69CFA899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Eixo Temático:  </w:t>
      </w:r>
      <w:r w:rsidR="00D90940" w:rsidRPr="00D90940">
        <w:rPr>
          <w:rFonts w:ascii="Times New Roman" w:hAnsi="Times New Roman" w:cs="Times New Roman"/>
          <w:color w:val="000000" w:themeColor="text1"/>
          <w:sz w:val="24"/>
          <w:szCs w:val="24"/>
        </w:rPr>
        <w:t>Eixo 7 – Imunização/ Vacinas e Imunobiológicos</w:t>
      </w:r>
    </w:p>
    <w:p w14:paraId="043496CA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897C7A" w14:textId="77777777" w:rsidR="00483094" w:rsidRPr="0009257C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REFERÊNCIAS: </w:t>
      </w:r>
    </w:p>
    <w:p w14:paraId="52FB4AD1" w14:textId="3325F751" w:rsidR="000E4336" w:rsidRPr="000E4336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1 </w:t>
      </w:r>
      <w:r w:rsidR="000E4336" w:rsidRPr="000E4336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Brasil. Ministério da Saúde. Fundação Nacional de Saúde. Programa Nacional de Imunizações: PNI 25 anos. 2nd ed. rev. </w:t>
      </w:r>
      <w:proofErr w:type="spellStart"/>
      <w:r w:rsidR="000E4336" w:rsidRPr="000E4336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ampl</w:t>
      </w:r>
      <w:proofErr w:type="spellEnd"/>
      <w:r w:rsidR="000E4336" w:rsidRPr="000E4336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. Brasília: Ministério da Saúde; Fundação Nacional de Saúde; 1998. 88 p.</w:t>
      </w:r>
    </w:p>
    <w:p w14:paraId="38978E63" w14:textId="2217E842" w:rsidR="000E4336" w:rsidRDefault="000E4336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E4336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Brasil. Ministério da Saúde. Secretaria de Vigilância em Saúde e Ambiente. Coordenação-Geral do Programa Nacional de Imunizações; Pan American Health </w:t>
      </w:r>
      <w:proofErr w:type="spellStart"/>
      <w:r w:rsidRPr="000E4336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Organization</w:t>
      </w:r>
      <w:proofErr w:type="spellEnd"/>
      <w:r w:rsidRPr="000E4336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; World Health </w:t>
      </w:r>
      <w:proofErr w:type="spellStart"/>
      <w:r w:rsidRPr="000E4336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Organization</w:t>
      </w:r>
      <w:proofErr w:type="spellEnd"/>
      <w:r w:rsidRPr="000E4336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. Relatório técnico: cooperação técnica para fortalecimento da vigilância das doenças imunopreveníveis e ampliação das coberturas vacinais no âmbito do SUS: 1º semestre de 2024. Brasília: Ministério da Saúde; 2024.</w:t>
      </w:r>
    </w:p>
    <w:p w14:paraId="65793DE4" w14:textId="47F3C6FE" w:rsidR="00483094" w:rsidRPr="0009257C" w:rsidRDefault="000E4336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3 </w:t>
      </w:r>
      <w:r w:rsidRPr="000E43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Teixeira SES, et al. O Programa Nacional de Imunização e os principais desafios enfrentados: uma revisão integrativa. </w:t>
      </w:r>
      <w:proofErr w:type="spellStart"/>
      <w:r w:rsidRPr="000E4336">
        <w:rPr>
          <w:rFonts w:ascii="Times New Roman" w:hAnsi="Times New Roman" w:cs="Times New Roman"/>
          <w:color w:val="000000" w:themeColor="text1"/>
          <w:sz w:val="24"/>
          <w:szCs w:val="24"/>
        </w:rPr>
        <w:t>Rev</w:t>
      </w:r>
      <w:proofErr w:type="spellEnd"/>
      <w:r w:rsidRPr="000E43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336">
        <w:rPr>
          <w:rFonts w:ascii="Times New Roman" w:hAnsi="Times New Roman" w:cs="Times New Roman"/>
          <w:color w:val="000000" w:themeColor="text1"/>
          <w:sz w:val="24"/>
          <w:szCs w:val="24"/>
        </w:rPr>
        <w:t>Bras</w:t>
      </w:r>
      <w:proofErr w:type="spellEnd"/>
      <w:r w:rsidRPr="000E43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336">
        <w:rPr>
          <w:rFonts w:ascii="Times New Roman" w:hAnsi="Times New Roman" w:cs="Times New Roman"/>
          <w:color w:val="000000" w:themeColor="text1"/>
          <w:sz w:val="24"/>
          <w:szCs w:val="24"/>
        </w:rPr>
        <w:t>Promoc</w:t>
      </w:r>
      <w:proofErr w:type="spellEnd"/>
      <w:r w:rsidRPr="000E43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336">
        <w:rPr>
          <w:rFonts w:ascii="Times New Roman" w:hAnsi="Times New Roman" w:cs="Times New Roman"/>
          <w:color w:val="000000" w:themeColor="text1"/>
          <w:sz w:val="24"/>
          <w:szCs w:val="24"/>
        </w:rPr>
        <w:t>Saude</w:t>
      </w:r>
      <w:proofErr w:type="spellEnd"/>
      <w:r w:rsidRPr="000E43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gramStart"/>
      <w:r w:rsidRPr="000E4336">
        <w:rPr>
          <w:rFonts w:ascii="Times New Roman" w:hAnsi="Times New Roman" w:cs="Times New Roman"/>
          <w:color w:val="000000" w:themeColor="text1"/>
          <w:sz w:val="24"/>
          <w:szCs w:val="24"/>
        </w:rPr>
        <w:t>2024;37:1</w:t>
      </w:r>
      <w:proofErr w:type="gramEnd"/>
      <w:r w:rsidRPr="000E43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-10. </w:t>
      </w:r>
      <w:proofErr w:type="spellStart"/>
      <w:r w:rsidRPr="000E4336">
        <w:rPr>
          <w:rFonts w:ascii="Times New Roman" w:hAnsi="Times New Roman" w:cs="Times New Roman"/>
          <w:color w:val="000000" w:themeColor="text1"/>
          <w:sz w:val="24"/>
          <w:szCs w:val="24"/>
        </w:rPr>
        <w:t>doi</w:t>
      </w:r>
      <w:proofErr w:type="spellEnd"/>
      <w:r w:rsidRPr="000E43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6" w:history="1">
        <w:r w:rsidR="006609CA" w:rsidRPr="005B0CD2">
          <w:rPr>
            <w:rStyle w:val="Hyperlink"/>
            <w:rFonts w:ascii="Times New Roman" w:hAnsi="Times New Roman" w:cs="Times New Roman"/>
            <w:sz w:val="24"/>
            <w:szCs w:val="24"/>
          </w:rPr>
          <w:t>https://doi.org/10.5020/18061230.2024.14840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748517B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6ACCFA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</w:t>
      </w:r>
    </w:p>
    <w:p w14:paraId="62BA77ED" w14:textId="713B857A" w:rsidR="00212EC8" w:rsidRPr="0024601B" w:rsidRDefault="00212EC8" w:rsidP="0024601B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12EC8" w:rsidRPr="0024601B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C808A" w14:textId="77777777" w:rsidR="00802DA2" w:rsidRDefault="00802DA2" w:rsidP="0068569C">
      <w:pPr>
        <w:spacing w:before="0" w:after="0" w:line="240" w:lineRule="auto"/>
      </w:pPr>
      <w:r>
        <w:separator/>
      </w:r>
    </w:p>
  </w:endnote>
  <w:endnote w:type="continuationSeparator" w:id="0">
    <w:p w14:paraId="2579A825" w14:textId="77777777" w:rsidR="00802DA2" w:rsidRDefault="00802DA2" w:rsidP="006856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26A6F" w14:textId="068E8347" w:rsidR="007958B3" w:rsidRPr="007958B3" w:rsidRDefault="007958B3" w:rsidP="007958B3">
    <w:pPr>
      <w:pStyle w:val="Rodap"/>
    </w:pPr>
    <w:r w:rsidRPr="007958B3">
      <w:rPr>
        <w:noProof/>
      </w:rPr>
      <w:drawing>
        <wp:inline distT="0" distB="0" distL="0" distR="0" wp14:anchorId="44F87CA4" wp14:editId="2A0A764F">
          <wp:extent cx="5397905" cy="789559"/>
          <wp:effectExtent l="0" t="0" r="0" b="0"/>
          <wp:docPr id="19352251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D3F7BF" w14:textId="77777777" w:rsidR="007958B3" w:rsidRDefault="007958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7B9AB" w14:textId="77777777" w:rsidR="00802DA2" w:rsidRDefault="00802DA2" w:rsidP="0068569C">
      <w:pPr>
        <w:spacing w:before="0" w:after="0" w:line="240" w:lineRule="auto"/>
      </w:pPr>
      <w:r>
        <w:separator/>
      </w:r>
    </w:p>
  </w:footnote>
  <w:footnote w:type="continuationSeparator" w:id="0">
    <w:p w14:paraId="41069E93" w14:textId="77777777" w:rsidR="00802DA2" w:rsidRDefault="00802DA2" w:rsidP="006856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748B1" w14:textId="4BF7574D" w:rsidR="0068569C" w:rsidRDefault="0068569C">
    <w:pPr>
      <w:pStyle w:val="Cabealho"/>
    </w:pPr>
    <w:r w:rsidRPr="0068569C">
      <w:rPr>
        <w:noProof/>
      </w:rPr>
      <w:drawing>
        <wp:inline distT="0" distB="0" distL="0" distR="0" wp14:anchorId="6ADCF6A4" wp14:editId="4A582121">
          <wp:extent cx="5397754" cy="899160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94"/>
    <w:rsid w:val="000E4336"/>
    <w:rsid w:val="00103BD8"/>
    <w:rsid w:val="0012337D"/>
    <w:rsid w:val="0017250B"/>
    <w:rsid w:val="00212EC8"/>
    <w:rsid w:val="002177C6"/>
    <w:rsid w:val="0024601B"/>
    <w:rsid w:val="00353678"/>
    <w:rsid w:val="003A2B51"/>
    <w:rsid w:val="004431AA"/>
    <w:rsid w:val="00483094"/>
    <w:rsid w:val="004E268B"/>
    <w:rsid w:val="004F5267"/>
    <w:rsid w:val="00583CD1"/>
    <w:rsid w:val="00644558"/>
    <w:rsid w:val="00646425"/>
    <w:rsid w:val="006609CA"/>
    <w:rsid w:val="0068569C"/>
    <w:rsid w:val="00722E18"/>
    <w:rsid w:val="007436FB"/>
    <w:rsid w:val="007958B3"/>
    <w:rsid w:val="007C784A"/>
    <w:rsid w:val="00802DA2"/>
    <w:rsid w:val="00A063B8"/>
    <w:rsid w:val="00B10BE2"/>
    <w:rsid w:val="00D5632C"/>
    <w:rsid w:val="00D75C0C"/>
    <w:rsid w:val="00D90940"/>
    <w:rsid w:val="00E45D99"/>
    <w:rsid w:val="00FE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F119"/>
  <w15:chartTrackingRefBased/>
  <w15:docId w15:val="{FD5DBA8C-C9D1-4FE3-9B78-6B7BE94B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0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0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0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0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0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0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0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0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09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483094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nfaseforte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583CD1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83C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5020/18061230.2024.14840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498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Borges</dc:creator>
  <cp:keywords/>
  <dc:description/>
  <cp:lastModifiedBy>Izabella Sampaio</cp:lastModifiedBy>
  <cp:revision>10</cp:revision>
  <dcterms:created xsi:type="dcterms:W3CDTF">2026-05-02T01:58:00Z</dcterms:created>
  <dcterms:modified xsi:type="dcterms:W3CDTF">2026-05-02T16:24:00Z</dcterms:modified>
</cp:coreProperties>
</file>