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="00A75325" w:rsidP="5B366555" w:rsidRDefault="00EF2062" w14:paraId="2F002012" wp14:textId="65B5D19F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B366555" w:rsidR="66AA06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Eixo Temático: </w:t>
      </w:r>
      <w:r w:rsidRPr="5B366555" w:rsidR="48E252F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Epidemiologia Clínica e Saúde Pública</w:t>
      </w:r>
    </w:p>
    <w:p xmlns:wp14="http://schemas.microsoft.com/office/word/2010/wordml" w:rsidR="00A75325" w:rsidP="5B366555" w:rsidRDefault="00EF2062" w14:paraId="3FA44FE4" wp14:textId="6E3FB88B">
      <w:pPr>
        <w:spacing w:line="24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B366555" w:rsidR="48E252F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ESTRATÉGIAS DE IMUNIZAÇÃO MATERNA PARA A PROTEÇÃO PRECOCE CONTRA A BRONQUIOLITE</w:t>
      </w:r>
    </w:p>
    <w:p xmlns:wp14="http://schemas.microsoft.com/office/word/2010/wordml" w:rsidR="00A75325" w:rsidRDefault="00EF2062" w14:paraId="08C85CBC" wp14:textId="00AE01C7">
      <w:pPr>
        <w:spacing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A75325" w:rsidRDefault="00A75325" w14:paraId="672A6659" wp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A75325" w:rsidP="5B366555" w:rsidRDefault="00EF2062" w14:paraId="76F0351D" wp14:textId="1AA510C3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B366555" w:rsidR="66AA06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INTRODUÇÃO:</w:t>
      </w:r>
      <w:r w:rsidRPr="5B366555" w:rsidR="66AA066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B366555" w:rsidR="0B9892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A bronquiolite é uma doença respiratória, causando inflamação dos bronquíolos e de pequenas vias aéreas pulmonares, sendo acometida principalmente por infecções virais como o vírus sincicial respiratório (VSR), porém também pode ser causada por outros agentes etiológicos como: adenovírus, influenza, vírus parainfluenza e rinovírus. A bronquiolite é uma condição aguda, sendo mais comum em crianças menores de 2 anos e idosos, no período do inverno, apresentando sintomas como tosse, febre, dificuldade para respirar etc. O diagnostico se baseia no histórico epidemiológico e exame físico, com tratamento voltado para os sintomas, como uso de broncodilatadores. </w:t>
      </w:r>
      <w:r w:rsidRPr="5B366555" w:rsidR="0B9892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5B366555" w:rsidR="66AA06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OBJETIVO:</w:t>
      </w:r>
      <w:r w:rsidRPr="5B366555" w:rsidR="66AA066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B366555" w:rsidR="38B540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Analisar novas metodologias propostas para prevenção contra bronquiolites nos últimos </w:t>
      </w:r>
      <w:r w:rsidRPr="5B366555" w:rsidR="509391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6</w:t>
      </w:r>
      <w:r w:rsidRPr="5B366555" w:rsidR="38B540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anos no </w:t>
      </w:r>
      <w:r w:rsidRPr="5B366555" w:rsidR="1A183C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mundo. </w:t>
      </w:r>
      <w:r w:rsidRPr="5B366555" w:rsidR="66AA06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MÉTODOS:</w:t>
      </w:r>
      <w:r w:rsidRPr="5B366555" w:rsidR="77D744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Realizou-se um levantamento epidemiológico dos últimos cinco anos. Para isso, utilizaram-se relatórios recentes da ANVISA, e do Ministério da Saúde, DATAUSUS e artigos publicados nos últimos seis anos disponíveis nas plataformas 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PubMed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Cennect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Pappers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rabit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utilizando os descritores em português e inglês “VSR”, “bronquiolite” e “terapia”,”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bronchiolitis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”, “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therapy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”, com o operador booleano “AND”. Durante a coletânea dos artigos, foram selecionados estudos em inglês e português, que estivessem disponíveis na íntegra e pertencessem ao período escolhido, sendo desconsiderados estudos que possuíam temática além de marcadores ou que não entravam na temática estabelecida, além de trabalhos duplicados fora do período de </w:t>
      </w:r>
      <w:r w:rsidRPr="5B366555" w:rsidR="3F98B8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seis</w:t>
      </w:r>
      <w:r w:rsidRPr="5B366555" w:rsidR="265B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anos. </w:t>
      </w:r>
      <w:r w:rsidRPr="5B366555" w:rsidR="265BFF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5B366555" w:rsidR="66AA06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RESULTADOS:</w:t>
      </w:r>
      <w:r w:rsidRPr="5B366555" w:rsidR="63139B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Este ano, o ministério da Saúde incorporou duas tecnologias para prevenir os casos de bronquiolite e tratar a doença: a vacina </w:t>
      </w:r>
      <w:r w:rsidRPr="5B366555" w:rsidR="63139B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AbrysvoÒ</w:t>
      </w:r>
      <w:r w:rsidRPr="5B366555" w:rsidR="63139B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(Pfizer</w:t>
      </w:r>
      <w:r w:rsidRPr="5B366555" w:rsidR="63139B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E5E5E"/>
          <w:sz w:val="22"/>
          <w:szCs w:val="22"/>
          <w:lang w:val="pt-BR"/>
        </w:rPr>
        <w:t>)</w:t>
      </w:r>
      <w:r w:rsidRPr="5B366555" w:rsidR="63139B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o uso de anticorpos monoclonais. A recente autorização da vacina </w:t>
      </w:r>
      <w:r w:rsidRPr="5B366555" w:rsidR="63139B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Abrysvo</w:t>
      </w:r>
      <w:r w:rsidRPr="5B366555" w:rsidR="63139B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para gestantes a partir de 28 semanas de gestação, com base em dados de farmacovigilância dos EUA, oferece uma nova oportunidade de proteção precoce às faixas mais vulneráveis. A vacinação de gestantes visa induzir a transferência de anticorpos passivos ao feto, promovendo uma imunidade precoce em recém-nascidos, o que deve reduzir a incidência de bronquiolite e hospitalizações decorrentes do VSR ao longo do ciclo de vida inicial. A implementação dessa estratégia exige vigilância contínua de efeitos adversos e avaliação de eficácia em diferentes contextos epidemiológicos. Ensaios clínicos realizados na Itália e outros locais demonstraram alta eficácia do </w:t>
      </w:r>
      <w:r w:rsidRPr="5B366555" w:rsidR="63139B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Nirsevimab</w:t>
      </w:r>
      <w:r w:rsidRPr="5B366555" w:rsidR="63139B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na prevenção de casos graves de VSR, com reduções de até 82% em crianças até 3 meses e 69% até 6 meses de idade. Na prática, observa-se uma diminuição nas hospitalizações relacionadas ao VSR, com uma redução de 56,1% nos anos de 2023 e 2024, indicando impacto positivo dessas intervenções na redução da morbidade. Ainda, estudos de fase 2 e 3 relatam eficácia de 77,3% em prevenir casos de VSR ao longo de cinco meses, o que possibilita a prevenção de milhares de hospitalizações de crianças menores de um ano.</w:t>
      </w:r>
      <w:r w:rsidRPr="5B366555" w:rsidR="66AA066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B366555" w:rsidR="66AA06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CONCLUSÃO:</w:t>
      </w:r>
      <w:r w:rsidRPr="5B366555" w:rsidR="66AA066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B366555" w:rsidR="7447AE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Conclui- seque A introdução de novas estratégias preventivas, como a vacinação materna com </w:t>
      </w:r>
      <w:r w:rsidRPr="5B366555" w:rsidR="7447AE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Abrysvo</w:t>
      </w:r>
      <w:r w:rsidRPr="5B366555" w:rsidR="7447AE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a profilaxia com o anticorpo monoclonal </w:t>
      </w:r>
      <w:r w:rsidRPr="5B366555" w:rsidR="7447AE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Nirsevimab</w:t>
      </w:r>
      <w:r w:rsidRPr="5B366555" w:rsidR="7447AE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representa uma mudança de paradigma no combate ao VSR. O estudo epidemiológico pode concluir que essas intervenções têm o potencial de alterar o cenário da doença, reduzindo drasticamente a incidência de casos graves e o número de hospitalizações.</w:t>
      </w:r>
    </w:p>
    <w:p xmlns:wp14="http://schemas.microsoft.com/office/word/2010/wordml" w:rsidR="00A75325" w:rsidP="5B366555" w:rsidRDefault="00EF2062" w14:paraId="257AE803" wp14:textId="4F1157B6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B366555" w:rsidR="66AA06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PALAVRAS-CHAVE:</w:t>
      </w:r>
      <w:r w:rsidRPr="5B366555" w:rsidR="303D9D8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B366555" w:rsidR="303D9D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</w:t>
      </w:r>
      <w:r w:rsidRPr="5B366555" w:rsidR="303D9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revenção</w:t>
      </w:r>
      <w:r w:rsidRPr="5B366555" w:rsidR="303D9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, Vírus, Bronquiolite.</w:t>
      </w:r>
    </w:p>
    <w:p xmlns:wp14="http://schemas.microsoft.com/office/word/2010/wordml" w:rsidR="00A75325" w:rsidRDefault="00A75325" w14:paraId="0A37501D" wp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A75325" w:rsidRDefault="00EF2062" w14:paraId="6FB81F8E" wp14:textId="79DBEAD3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B366555" w:rsidR="66AA06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REFERêNCIAS</w:t>
      </w:r>
      <w:r w:rsidRPr="5B366555" w:rsidR="66AA06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B366555" w:rsidR="66AA066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AFEC048" w:rsidP="5B366555" w:rsidRDefault="3AFEC048" w14:paraId="24CD521E" w14:textId="6B9BF175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Baraldi, E.,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Checcucci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Lisi, G., Costantino, C., Heinrichs, J. H., Manzoni, P.,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Riccò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M., Roberts, M., &amp;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Vassilouthis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N. (2022). RSV disease in infants and young children: Can we see a brighter future? </w:t>
      </w:r>
      <w:r w:rsidRPr="5B366555" w:rsidR="3AFEC0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Human Vaccines &amp; Immunotherapeutic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(4), 2079322.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Disponível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&lt;</w:t>
      </w:r>
      <w:hyperlink r:id="R8e378592b6a44822">
        <w:r w:rsidRPr="5B366555" w:rsidR="3AFEC04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4"/>
            <w:szCs w:val="24"/>
            <w:lang w:val="en-US"/>
          </w:rPr>
          <w:t>https://doi.org/10.1080/21645515.2022.2079322&gt;</w:t>
        </w:r>
      </w:hyperlink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acesso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03 de ago de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2025.</w:t>
      </w:r>
    </w:p>
    <w:p w:rsidR="5B366555" w:rsidP="5B366555" w:rsidRDefault="5B366555" w14:paraId="0F0FD538" w14:textId="7F4A9A32">
      <w:pPr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AFEC048" w:rsidP="5B366555" w:rsidRDefault="3AFEC048" w14:paraId="7EEEC29D" w14:textId="328C3F62">
      <w:pPr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366555" w:rsidR="3AFEC0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Boletim </w:t>
      </w:r>
      <w:r w:rsidRPr="5B366555" w:rsidR="3AFEC0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InfoGripe</w:t>
      </w:r>
      <w:r w:rsidRPr="5B366555" w:rsidR="3AFEC0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 internações por influenza A seguem em alta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Disponível em: &lt;https://agenciagov.ebc.com.br/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noticias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/202404/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infogripe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internacoes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-por-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vsr</w:t>
      </w:r>
      <w:r w:rsidRPr="5B366555" w:rsidR="3AFEC0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-e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-influenza-a-seguem-em-alta</w:t>
      </w:r>
      <w:r w:rsidRPr="5B366555" w:rsidR="3AFEC0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&gt;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acesso em: 1 set de 2025</w:t>
      </w:r>
    </w:p>
    <w:p w:rsidR="5B366555" w:rsidP="5B366555" w:rsidRDefault="5B366555" w14:paraId="16217D6C" w14:textId="3DCCA5BA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AFEC048" w:rsidP="5B366555" w:rsidRDefault="3AFEC048" w14:paraId="48FAB881" w14:textId="305B7958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Consolati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A., Farinelli, M., Serravalle, P.,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Rollandin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C.,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Apprato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L., Esposito, S., &amp; Bongiorno, S. (2024). Safety and efficacy of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nirsevimab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 universal prevention program of respiratory syncytial virus bronchiolitis in newborns and infants in the first year of life in the Valle d’Aosta region, Italy, in the 2023-2024 epidemic season. </w:t>
      </w:r>
      <w:r w:rsidRPr="5B366555" w:rsidR="3AFEC0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Vaccines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(5), 549.disponível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&lt; </w:t>
      </w:r>
      <w:hyperlink r:id="R0815595662ca4c2d">
        <w:r w:rsidRPr="5B366555" w:rsidR="3AFEC04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4"/>
            <w:szCs w:val="24"/>
            <w:lang w:val="en-US"/>
          </w:rPr>
          <w:t>https://doi.org/10.3390/vaccines12050549</w:t>
        </w:r>
      </w:hyperlink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&gt;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acesso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03 de ago de 2025.</w:t>
      </w:r>
    </w:p>
    <w:p w:rsidR="5B366555" w:rsidP="5B366555" w:rsidRDefault="5B366555" w14:paraId="116B4091" w14:textId="725E8F21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AFEC048" w:rsidP="5B366555" w:rsidRDefault="3AFEC048" w14:paraId="22B11781" w14:textId="26F5AB1A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Russo. D. Otoni, Lemos. N. Brant, da Costa Braga. A. Sérgio,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Candiani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A. Sérgio, Mourão. M. Assumpção, Teixeira. D. Caldas. Atualização sobre a infecção pelo Vírus Sincicial Respiratório (VSR) em lactentes – 2025. </w:t>
      </w:r>
      <w:r w:rsidRPr="5B366555" w:rsidR="3AFEC0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Boletim Científico Eletrônico.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SMP 10 de março de 2025 – nº 74. Disponível em:&lt; </w:t>
      </w:r>
      <w:hyperlink r:id="Rd26c62e0b8b648de">
        <w:r w:rsidRPr="5B366555" w:rsidR="3AFEC04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4"/>
            <w:szCs w:val="24"/>
            <w:lang w:val="pt-BR"/>
          </w:rPr>
          <w:t>https://smp.org.br/informativo-smp/boletim-cientifico</w:t>
        </w:r>
      </w:hyperlink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&gt; acesso em 1 de set de 2025.</w:t>
      </w:r>
    </w:p>
    <w:p w:rsidR="5B366555" w:rsidP="5B366555" w:rsidRDefault="5B366555" w14:paraId="57F048DE" w14:textId="796FB99D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AFEC048" w:rsidP="5B366555" w:rsidRDefault="3AFEC048" w14:paraId="64876CA3" w14:textId="4836B9EE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Gatt, D., Martin, I.,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AlFouzan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R., &amp; Moraes, T. J. (2023). Prevention and treatment strategies for respiratory syncytial virus (RSV).</w:t>
      </w:r>
      <w:r w:rsidRPr="5B366555" w:rsidR="3AFEC0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66555" w:rsidR="3AFEC0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Pathogens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(2), 154.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Disponível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&lt;https://doi.org/10.3390/pathogens12020154&gt;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acesso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03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 ago de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2025.</w:t>
      </w:r>
    </w:p>
    <w:p w:rsidR="5B366555" w:rsidP="5B366555" w:rsidRDefault="5B366555" w14:paraId="066619B5" w14:textId="11FB4559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AFEC048" w:rsidP="5B366555" w:rsidRDefault="3AFEC048" w14:paraId="22F5943C" w14:textId="5E35ECB6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Hammitt, L. L., Dagan, R., Yuan, Y., Baca Cots, M.,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Bosheva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M., Madhi, S. A., Muller, W. J., Zar, H. J., Brooks, D., Grenham, A.,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Wählby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Hamrén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U., Mankad, V. S., Ren, P., Takas, T., Abram, M. E., Leach, A., Griffin, M. P., Villafana, T., &amp; MELODY Study Group. (2022).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Nirsevimab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prevention of RSV in healthy late-preterm and term infants. </w:t>
      </w:r>
      <w:r w:rsidRPr="5B366555" w:rsidR="3AFEC0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New England Journal of Medicine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386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(9), 837–846.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Disponível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&lt;https://doi.org/10.1056/NEJMoa2110275&gt;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acesso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03 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 ago de</w:t>
      </w:r>
      <w:r w:rsidRPr="5B366555" w:rsidR="3AFEC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2025.</w:t>
      </w:r>
    </w:p>
    <w:p w:rsidR="5B366555" w:rsidP="5B366555" w:rsidRDefault="5B366555" w14:paraId="12CAA27D" w14:textId="6FD5C448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A75325" w:rsidRDefault="00A75325" w14:paraId="5DAB6C7B" wp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A75325" w:rsidRDefault="00A75325" w14:paraId="02EB378F" wp14:textId="77777777"/>
    <w:sectPr w:rsidR="00A75325">
      <w:headerReference w:type="default" r:id="rId7"/>
      <w:pgSz w:w="11906" w:h="16838" w:orient="portrait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F2062" w:rsidRDefault="00EF2062" w14:paraId="5A39BBE3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EF2062" w:rsidRDefault="00EF2062" w14:paraId="41C8F396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F2062" w:rsidRDefault="00EF2062" w14:paraId="72A3D3E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EF2062" w:rsidRDefault="00EF2062" w14:paraId="0D0B940D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A75325" w:rsidRDefault="00EF2062" w14:paraId="6A05A809" wp14:textId="77777777">
    <w:pPr>
      <w:jc w:val="center"/>
    </w:pPr>
    <w:r>
      <w:rPr>
        <w:noProof/>
      </w:rPr>
      <w:drawing>
        <wp:inline xmlns:wp14="http://schemas.microsoft.com/office/word/2010/wordprocessingDrawing" distT="0" distB="0" distL="0" distR="0" wp14:anchorId="0F47503D" wp14:editId="7777777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25"/>
    <w:rsid w:val="00A75325"/>
    <w:rsid w:val="00AF00BE"/>
    <w:rsid w:val="00EF2062"/>
    <w:rsid w:val="0B989287"/>
    <w:rsid w:val="18DB7ED0"/>
    <w:rsid w:val="1A183C6D"/>
    <w:rsid w:val="1ACE7426"/>
    <w:rsid w:val="22D6E7DD"/>
    <w:rsid w:val="265BFF48"/>
    <w:rsid w:val="2E51A219"/>
    <w:rsid w:val="2E96BC00"/>
    <w:rsid w:val="303D9D8B"/>
    <w:rsid w:val="32F3C9FF"/>
    <w:rsid w:val="38B540A2"/>
    <w:rsid w:val="3AFEC048"/>
    <w:rsid w:val="3F98B828"/>
    <w:rsid w:val="48E252FF"/>
    <w:rsid w:val="509391CF"/>
    <w:rsid w:val="5B366555"/>
    <w:rsid w:val="5DBC8D35"/>
    <w:rsid w:val="5EFF5A15"/>
    <w:rsid w:val="5F3452C9"/>
    <w:rsid w:val="62974AFA"/>
    <w:rsid w:val="63139B32"/>
    <w:rsid w:val="66AA066D"/>
    <w:rsid w:val="6FD4204C"/>
    <w:rsid w:val="7213D5D2"/>
    <w:rsid w:val="7447AE95"/>
    <w:rsid w:val="77D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CDC9"/>
  <w15:docId w15:val="{E5B4FBA9-9FA2-4BAE-8803-FE5F68C30B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uiPriority w:val="99"/>
    <w:name w:val="Hyperlink"/>
    <w:basedOn w:val="Fontepargpadro"/>
    <w:unhideWhenUsed/>
    <w:rsid w:val="5B366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doi.org/10.1080/21645515.2022.2079322%3E" TargetMode="External" Id="R8e378592b6a44822" /><Relationship Type="http://schemas.openxmlformats.org/officeDocument/2006/relationships/hyperlink" Target="https://doi.org/10.3390/vaccines12050549" TargetMode="External" Id="R0815595662ca4c2d" /><Relationship Type="http://schemas.openxmlformats.org/officeDocument/2006/relationships/hyperlink" Target="https://smp.org.br/informativo-smp/boletim-cientifico" TargetMode="External" Id="Rd26c62e0b8b648d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Larissa Moraes</dc:creator>
  <lastModifiedBy>MARCELO Oliveira</lastModifiedBy>
  <revision>2</revision>
  <dcterms:created xsi:type="dcterms:W3CDTF">2025-11-08T14:55:00.0000000Z</dcterms:created>
  <dcterms:modified xsi:type="dcterms:W3CDTF">2025-11-08T15:10:49.2429923Z</dcterms:modified>
</coreProperties>
</file>