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2BC5D" w14:textId="77777777" w:rsidR="004A3B3A" w:rsidRDefault="00033FFB">
      <w:pPr>
        <w:spacing w:after="0"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CARACTERÍSTICAS SOCIOECONÔMICAS, CUIDADOS PREVENTIVOS E GRAVIDADE NA ADMISSÃO EM PACIENTES ACOMETIDOS PELO SARS-COV-2</w:t>
      </w:r>
    </w:p>
    <w:p w14:paraId="4F60E0B9" w14:textId="77777777" w:rsidR="004A3B3A" w:rsidRDefault="004A3B3A">
      <w:pPr>
        <w:spacing w:after="0" w:line="360" w:lineRule="auto"/>
        <w:rPr>
          <w:rFonts w:ascii="Times New Roman" w:hAnsi="Times New Roman" w:cs="Times New Roman"/>
          <w:b/>
          <w:bCs/>
          <w:sz w:val="24"/>
          <w:szCs w:val="24"/>
          <w:shd w:val="clear" w:color="auto" w:fill="FFFFFF"/>
        </w:rPr>
      </w:pPr>
    </w:p>
    <w:p w14:paraId="529A081A" w14:textId="77777777" w:rsidR="004A3B3A" w:rsidRDefault="00033FFB">
      <w:pPr>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RESUMO</w:t>
      </w:r>
    </w:p>
    <w:p w14:paraId="7A35B7B1" w14:textId="03D2CC71" w:rsidR="004A3B3A" w:rsidRDefault="00033FFB">
      <w:pPr>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t xml:space="preserve">Introdução: </w:t>
      </w:r>
      <w:r>
        <w:rPr>
          <w:rFonts w:ascii="Times New Roman" w:hAnsi="Times New Roman" w:cs="Times New Roman"/>
          <w:bCs/>
          <w:sz w:val="24"/>
          <w:szCs w:val="24"/>
          <w:shd w:val="clear" w:color="auto" w:fill="FFFFFF"/>
        </w:rPr>
        <w:t>A COVID-19, doença causada por infecção pelo SARS-CoV-2, síndrome respiratória aguda grave-2, tem sido caracterizada pelo seu amplo espe</w:t>
      </w:r>
      <w:r w:rsidR="00E41FC5">
        <w:rPr>
          <w:rFonts w:ascii="Times New Roman" w:hAnsi="Times New Roman" w:cs="Times New Roman"/>
          <w:bCs/>
          <w:sz w:val="24"/>
          <w:szCs w:val="24"/>
          <w:shd w:val="clear" w:color="auto" w:fill="FFFFFF"/>
        </w:rPr>
        <w:t>c</w:t>
      </w:r>
      <w:r>
        <w:rPr>
          <w:rFonts w:ascii="Times New Roman" w:hAnsi="Times New Roman" w:cs="Times New Roman"/>
          <w:bCs/>
          <w:sz w:val="24"/>
          <w:szCs w:val="24"/>
          <w:shd w:val="clear" w:color="auto" w:fill="FFFFFF"/>
        </w:rPr>
        <w:t>tro clínico, com piores desfechos associados a fatores como idade avançada e comorbidades prévias. Considerando a inexistência de um tratamento ou vacina específicos, é reconhecida a importância de medidas de prevenção à doença.</w:t>
      </w:r>
      <w:r>
        <w:rPr>
          <w:rFonts w:ascii="Times New Roman" w:hAnsi="Times New Roman" w:cs="Times New Roman"/>
          <w:b/>
          <w:bCs/>
          <w:sz w:val="24"/>
          <w:szCs w:val="24"/>
          <w:shd w:val="clear" w:color="auto" w:fill="FFFFFF"/>
        </w:rPr>
        <w:t xml:space="preserve"> Objetivo:</w:t>
      </w:r>
      <w:r>
        <w:rPr>
          <w:rFonts w:ascii="Times New Roman" w:hAnsi="Times New Roman" w:cs="Times New Roman"/>
          <w:sz w:val="24"/>
          <w:szCs w:val="24"/>
          <w:shd w:val="clear" w:color="auto" w:fill="FFFFFF"/>
        </w:rPr>
        <w:t xml:space="preserve"> Descrever as características socioeconômicas, cuidados preventivos da infecção e piora da doença e sua relação com a gravidade da COVID-19, na admissão hospitalar de adultos e idosos. </w:t>
      </w:r>
      <w:r>
        <w:rPr>
          <w:rFonts w:ascii="Times New Roman" w:hAnsi="Times New Roman" w:cs="Times New Roman"/>
          <w:b/>
          <w:bCs/>
          <w:sz w:val="24"/>
          <w:szCs w:val="24"/>
          <w:shd w:val="clear" w:color="auto" w:fill="FFFFFF"/>
        </w:rPr>
        <w:t>Métodos:</w:t>
      </w:r>
      <w:r>
        <w:rPr>
          <w:rFonts w:ascii="Times New Roman" w:hAnsi="Times New Roman" w:cs="Times New Roman"/>
          <w:sz w:val="24"/>
          <w:szCs w:val="24"/>
          <w:shd w:val="clear" w:color="auto" w:fill="FFFFFF"/>
        </w:rPr>
        <w:t xml:space="preserve"> Trata-se de um estudo transversal, como parte de uma coorte dinâmica, realizado com 55 pacientes maiores de 18 anos, </w:t>
      </w:r>
      <w:r>
        <w:rPr>
          <w:rFonts w:ascii="Times New Roman" w:hAnsi="Times New Roman" w:cs="Times New Roman"/>
          <w:sz w:val="24"/>
          <w:szCs w:val="24"/>
        </w:rPr>
        <w:t>diagnosticados laboratorialmente com COVID-19. Dados de cuidados preventivos, tempo de busca por serviço de saúde e dados socioeconômicos foram obtidos de forma remota. Gravidade da doença, de acordo com a intensidade dos sintomas, foi avaliada por dados de prontuários, sendo considerada doença grave (casos graves/muito graves), ou não grave (leves e moderados).</w:t>
      </w:r>
      <w:r>
        <w:rPr>
          <w:rFonts w:ascii="Times New Roman" w:hAnsi="Times New Roman" w:cs="Times New Roman"/>
          <w:color w:val="000000"/>
          <w:sz w:val="24"/>
          <w:szCs w:val="24"/>
          <w:shd w:val="clear" w:color="auto" w:fill="FFFFFF"/>
        </w:rPr>
        <w:t xml:space="preserve"> </w:t>
      </w:r>
      <w:r>
        <w:rPr>
          <w:rFonts w:ascii="Times New Roman" w:hAnsi="Times New Roman" w:cs="Times New Roman"/>
          <w:b/>
          <w:bCs/>
          <w:sz w:val="24"/>
          <w:szCs w:val="24"/>
          <w:shd w:val="clear" w:color="auto" w:fill="FFFFFF"/>
        </w:rPr>
        <w:t xml:space="preserve">Resultado: </w:t>
      </w:r>
      <w:r>
        <w:rPr>
          <w:rFonts w:ascii="Times New Roman" w:hAnsi="Times New Roman" w:cs="Times New Roman"/>
          <w:bCs/>
          <w:sz w:val="24"/>
          <w:szCs w:val="24"/>
          <w:shd w:val="clear" w:color="auto" w:fill="FFFFFF"/>
        </w:rPr>
        <w:t xml:space="preserve">Foi constatado naqueles com COVID-19 grave uma maior média de idade (p=0,038) e frequência de desemprego/trabalho informal (p=0,002). </w:t>
      </w:r>
      <w:r>
        <w:rPr>
          <w:rFonts w:ascii="Times New Roman" w:hAnsi="Times New Roman" w:cs="Times New Roman"/>
          <w:sz w:val="24"/>
          <w:szCs w:val="24"/>
          <w:shd w:val="clear" w:color="auto" w:fill="FFFFFF"/>
        </w:rPr>
        <w:t>Diabetes e hipertensão arterial foram comorbidades frequentes em ambos os grupos. Doença pulmonar obstrutiva crônica foi verificada em 15,6% dos pacientes graves e em nenhum não grave (p=</w:t>
      </w:r>
      <w:r>
        <w:rPr>
          <w:rFonts w:ascii="Times New Roman" w:hAnsi="Times New Roman" w:cs="Times New Roman"/>
          <w:sz w:val="24"/>
          <w:szCs w:val="24"/>
        </w:rPr>
        <w:t xml:space="preserve">0,066). Uso de máscara, distanciamento físico, busca por serviço de saúde não diferiu entre as formas graves e não graves. </w:t>
      </w:r>
      <w:r>
        <w:rPr>
          <w:rFonts w:ascii="Times New Roman" w:hAnsi="Times New Roman" w:cs="Times New Roman"/>
          <w:b/>
          <w:bCs/>
          <w:sz w:val="24"/>
          <w:szCs w:val="24"/>
          <w:shd w:val="clear" w:color="auto" w:fill="FFFFFF"/>
        </w:rPr>
        <w:t xml:space="preserve">Conclusão: </w:t>
      </w:r>
      <w:r>
        <w:rPr>
          <w:rFonts w:ascii="Times New Roman" w:hAnsi="Times New Roman" w:cs="Times New Roman"/>
          <w:bCs/>
          <w:sz w:val="24"/>
          <w:szCs w:val="24"/>
          <w:shd w:val="clear" w:color="auto" w:fill="FFFFFF"/>
        </w:rPr>
        <w:t xml:space="preserve">Indivíduos com COVID grave apresentaram maior média de idade e frequência de desemprego/trabalho informal do que aqueles com formas leves a moderadas. Medidas preventivas não se relacionaram à gravidade da doença. </w:t>
      </w:r>
    </w:p>
    <w:p w14:paraId="79D4F0DE" w14:textId="77777777" w:rsidR="004A3B3A" w:rsidRDefault="004A3B3A">
      <w:pPr>
        <w:spacing w:after="0" w:line="240" w:lineRule="auto"/>
        <w:jc w:val="both"/>
        <w:rPr>
          <w:rFonts w:ascii="Times New Roman" w:hAnsi="Times New Roman" w:cs="Times New Roman"/>
          <w:bCs/>
          <w:sz w:val="24"/>
          <w:szCs w:val="24"/>
          <w:shd w:val="clear" w:color="auto" w:fill="FFFFFF"/>
        </w:rPr>
      </w:pPr>
    </w:p>
    <w:p w14:paraId="79296051" w14:textId="77777777" w:rsidR="004A3B3A" w:rsidRDefault="00033FFB">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Palavras chave:</w:t>
      </w:r>
      <w:r>
        <w:rPr>
          <w:rFonts w:ascii="Times New Roman" w:hAnsi="Times New Roman" w:cs="Times New Roman"/>
          <w:sz w:val="24"/>
          <w:szCs w:val="24"/>
          <w:shd w:val="clear" w:color="auto" w:fill="FFFFFF"/>
        </w:rPr>
        <w:t xml:space="preserve"> COVID-19, Agravamento, Manifestações clínicas, Prevenção e mitigação.</w:t>
      </w:r>
    </w:p>
    <w:p w14:paraId="43610461" w14:textId="77777777" w:rsidR="004A3B3A" w:rsidRDefault="004A3B3A">
      <w:pPr>
        <w:spacing w:after="0" w:line="240" w:lineRule="auto"/>
        <w:jc w:val="both"/>
        <w:rPr>
          <w:rFonts w:ascii="Times New Roman" w:hAnsi="Times New Roman" w:cs="Times New Roman"/>
          <w:sz w:val="24"/>
          <w:szCs w:val="24"/>
          <w:shd w:val="clear" w:color="auto" w:fill="FFFFFF"/>
        </w:rPr>
      </w:pPr>
    </w:p>
    <w:p w14:paraId="7BF1C7F0" w14:textId="77777777" w:rsidR="004A3B3A" w:rsidRDefault="004A3B3A">
      <w:pPr>
        <w:spacing w:after="0" w:line="240" w:lineRule="auto"/>
        <w:jc w:val="both"/>
        <w:rPr>
          <w:rFonts w:ascii="Times New Roman" w:hAnsi="Times New Roman" w:cs="Times New Roman"/>
          <w:sz w:val="24"/>
          <w:szCs w:val="24"/>
          <w:shd w:val="clear" w:color="auto" w:fill="FFFFFF"/>
        </w:rPr>
      </w:pPr>
    </w:p>
    <w:p w14:paraId="05904611" w14:textId="77777777" w:rsidR="004A3B3A" w:rsidRDefault="00033FFB">
      <w:pPr>
        <w:pStyle w:val="PargrafodaLista"/>
        <w:numPr>
          <w:ilvl w:val="0"/>
          <w:numId w:val="2"/>
        </w:numPr>
        <w:spacing w:after="0" w:line="360" w:lineRule="auto"/>
        <w:ind w:left="1208" w:hanging="357"/>
        <w:jc w:val="both"/>
        <w:rPr>
          <w:rFonts w:ascii="Times New Roman" w:hAnsi="Times New Roman" w:cs="Times New Roman"/>
          <w:b/>
          <w:sz w:val="24"/>
          <w:szCs w:val="24"/>
          <w:shd w:val="clear" w:color="auto" w:fill="FFFFFF"/>
        </w:rPr>
      </w:pPr>
      <w:r>
        <w:rPr>
          <w:rFonts w:ascii="Times New Roman" w:hAnsi="Times New Roman" w:cs="Times New Roman"/>
          <w:b/>
          <w:bCs/>
          <w:sz w:val="24"/>
          <w:szCs w:val="24"/>
          <w:shd w:val="clear" w:color="auto" w:fill="FFFFFF"/>
        </w:rPr>
        <w:t>INTRODUÇÃO</w:t>
      </w:r>
    </w:p>
    <w:p w14:paraId="0ADCA1AB" w14:textId="77777777" w:rsidR="004A3B3A" w:rsidRDefault="00033FFB">
      <w:pPr>
        <w:pStyle w:val="NormalWeb"/>
        <w:shd w:val="clear" w:color="auto" w:fill="FFFFFF"/>
        <w:spacing w:beforeAutospacing="0" w:after="0" w:afterAutospacing="0" w:line="360" w:lineRule="auto"/>
        <w:ind w:firstLine="709"/>
        <w:jc w:val="both"/>
      </w:pPr>
      <w:r>
        <w:t xml:space="preserve">A COVID-19, doença caracterizada pela infecção causada pelo </w:t>
      </w:r>
      <w:proofErr w:type="spellStart"/>
      <w:r>
        <w:t>C</w:t>
      </w:r>
      <w:r>
        <w:rPr>
          <w:bCs/>
          <w:shd w:val="clear" w:color="auto" w:fill="FFFFFF"/>
        </w:rPr>
        <w:t>oronavírus</w:t>
      </w:r>
      <w:proofErr w:type="spellEnd"/>
      <w:r>
        <w:rPr>
          <w:bCs/>
          <w:shd w:val="clear" w:color="auto" w:fill="FFFFFF"/>
        </w:rPr>
        <w:t xml:space="preserve"> da Síndrome Respiratória Aguda Grave-2 (SARS-CoV-2),</w:t>
      </w:r>
      <w:r>
        <w:t xml:space="preserve"> </w:t>
      </w:r>
      <w:r>
        <w:rPr>
          <w:shd w:val="clear" w:color="auto" w:fill="FFFFFF"/>
        </w:rPr>
        <w:t>tem</w:t>
      </w:r>
      <w:r>
        <w:t xml:space="preserve"> demonstrado ser o principal problema de saúde pública atual com milhões de mortes em todo o mundo </w:t>
      </w:r>
      <w:r>
        <w:fldChar w:fldCharType="begin"/>
      </w:r>
      <w:r>
        <w:instrText>ADDIN CSL_CITATION {"citationItems":[{"id":"ITEM-1","itemData":{"URL":"https://covid19.who.int/region/amro/country/br","author":[{"dropping-particle":"","family":"WHO","given":"","non-dropping-particle":"","parse-names":false,"suffix":""}],"container-title":"Who","id":"ITEM-1","issued":{"date-parts":[["2020"]]},"title":"Brazil: WHO Coronavirus Disease (COVID-19) Dashboard | WHO Coronavirus Disease (COVID-19) Dashboard","type":"webpage"},"uris":["http://www.mendeley.com/documents/?uuid=ab9d593f-056e-43d9-861f-8a1e31c27115"]}],"mendeley":{"formattedCitation":"(WHO, 2020)","manualFormatting":"(WHO, 2020a)","plainTextFormattedCitation":"(WHO, 2020)","previouslyFormattedCitation":"(WHO, 2020)"},"properties":{"noteIndex":0},"schema":"https://github.com/citation-style-language/schema/raw/master/csl-citation.json"}</w:instrText>
      </w:r>
      <w:r>
        <w:fldChar w:fldCharType="separate"/>
      </w:r>
      <w:r>
        <w:t>(WHO, 2020a)</w:t>
      </w:r>
      <w:r>
        <w:fldChar w:fldCharType="end"/>
      </w:r>
      <w:r>
        <w:t xml:space="preserve">. A alta prevalência esperada coloca a COVID-19 como uma das maiores pandemias de todos os tempos </w:t>
      </w:r>
      <w:r>
        <w:fldChar w:fldCharType="begin"/>
      </w:r>
      <w:r>
        <w:instrText>ADDIN CSL_CITATION {"citationItems":[{"id":"ITEM-1","itemData":{"author":[{"dropping-particle":"","family":"OPAS","given":"","non-dropping-particle":"","parse-names":false,"suffix":""}],"id":"ITEM-1","issued":{"date-parts":[["2020"]]},"title":"OPAS_OMS Brasil - Folha informativa – COVID-19 (doença causada pelo novo coronavírus)","type":"webpage"},"uris":["http://www.mendeley.com/documents/?uuid=67d0b96b-999f-4a47-a653-71ad62f2d227"]}],"mendeley":{"formattedCitation":"(OPAS, 2020)","plainTextFormattedCitation":"(OPAS, 2020)","previouslyFormattedCitation":"(OPAS, 2020)"},"properties":{"noteIndex":0},"schema":"https://github.com/citation-style-language/schema/raw/master/csl-citation.json"}</w:instrText>
      </w:r>
      <w:r>
        <w:fldChar w:fldCharType="separate"/>
      </w:r>
      <w:r>
        <w:t>(OPAS, 2020)</w:t>
      </w:r>
      <w:r>
        <w:fldChar w:fldCharType="end"/>
      </w:r>
      <w:r>
        <w:t>.</w:t>
      </w:r>
    </w:p>
    <w:p w14:paraId="4D32C608" w14:textId="7EF16127" w:rsidR="004A3B3A" w:rsidRDefault="00033F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Brasil, de </w:t>
      </w:r>
      <w:r>
        <w:rPr>
          <w:rStyle w:val="sc-axmlo"/>
          <w:rFonts w:ascii="Times New Roman" w:hAnsi="Times New Roman" w:cs="Times New Roman"/>
          <w:sz w:val="24"/>
          <w:szCs w:val="24"/>
        </w:rPr>
        <w:t>3 de janeiro</w:t>
      </w:r>
      <w:r>
        <w:rPr>
          <w:rFonts w:ascii="Times New Roman" w:hAnsi="Times New Roman" w:cs="Times New Roman"/>
          <w:sz w:val="24"/>
          <w:szCs w:val="24"/>
        </w:rPr>
        <w:t> a  24</w:t>
      </w:r>
      <w:r>
        <w:rPr>
          <w:rStyle w:val="sc-axmlo"/>
          <w:rFonts w:ascii="Times New Roman" w:hAnsi="Times New Roman" w:cs="Times New Roman"/>
          <w:sz w:val="24"/>
          <w:szCs w:val="24"/>
        </w:rPr>
        <w:t xml:space="preserve"> de outubro de 2020</w:t>
      </w:r>
      <w:r>
        <w:rPr>
          <w:rFonts w:ascii="Times New Roman" w:hAnsi="Times New Roman" w:cs="Times New Roman"/>
          <w:sz w:val="24"/>
          <w:szCs w:val="24"/>
        </w:rPr>
        <w:t>, houve 5</w:t>
      </w:r>
      <w:r>
        <w:rPr>
          <w:rStyle w:val="sc-axmlo"/>
          <w:rFonts w:ascii="Times New Roman" w:hAnsi="Times New Roman" w:cs="Times New Roman"/>
          <w:sz w:val="24"/>
          <w:szCs w:val="24"/>
        </w:rPr>
        <w:t xml:space="preserve">.353.656 casos confirmados </w:t>
      </w:r>
      <w:r>
        <w:rPr>
          <w:rFonts w:ascii="Times New Roman" w:hAnsi="Times New Roman" w:cs="Times New Roman"/>
          <w:sz w:val="24"/>
          <w:szCs w:val="24"/>
        </w:rPr>
        <w:t>e 156</w:t>
      </w:r>
      <w:r>
        <w:rPr>
          <w:rStyle w:val="sc-axmlo"/>
          <w:rFonts w:ascii="Times New Roman" w:hAnsi="Times New Roman" w:cs="Times New Roman"/>
          <w:sz w:val="24"/>
          <w:szCs w:val="24"/>
        </w:rPr>
        <w:t>.471 óbitos (letalidade de 2,9%) sendo, portanto, o 2º país do mundo com mais óbitos e 1º na América Latina em número de casos e mortes confirmados</w:t>
      </w:r>
      <w:r>
        <w:rPr>
          <w:rFonts w:ascii="Times New Roman" w:hAnsi="Times New Roman" w:cs="Times New Roman"/>
          <w:sz w:val="24"/>
          <w:szCs w:val="24"/>
        </w:rPr>
        <w:t xml:space="preserve"> por COVID-19 </w:t>
      </w:r>
      <w:r>
        <w:fldChar w:fldCharType="begin"/>
      </w:r>
      <w:r>
        <w:rPr>
          <w:rFonts w:ascii="Times New Roman" w:hAnsi="Times New Roman" w:cs="Times New Roman"/>
          <w:sz w:val="24"/>
          <w:szCs w:val="24"/>
        </w:rPr>
        <w:instrText>ADDIN CSL_CITATION {"citationItems":[{"id":"ITEM-1","itemData":{"URL":"https://covid.saude.gov.br/","abstract":"Painel Coronavírus, casos confirmados, mortes, letalidade entre confirmados, COVID-19","author":[{"dropping-particle":"","family":"Brasil","given":"","non-dropping-particle":"","parse-names":false,"suffix":""}],"container-title":"Ministério da Saúde","id":"ITEM-1","issued":{"date-parts":[["2020"]]},"page":"1","title":"Coronavírus Brasil: Painel geral, casos confirmados, mortes, letalidade","type":"webpage"},"uris":["http://www.mendeley.com/documents/?uuid=573d43ac-17ac-4f25-976a-35b990306265"]}],"mendeley":{"formattedCitation":"(BRASIL, 2020a)","plainTextFormattedCitation":"(BRASIL, 2020a)","previouslyFormattedCitation":"(BRASIL,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(BRASIL, 2020a)</w:t>
      </w:r>
      <w:r>
        <w:rPr>
          <w:rFonts w:ascii="Times New Roman" w:hAnsi="Times New Roman" w:cs="Times New Roman"/>
          <w:sz w:val="24"/>
          <w:szCs w:val="24"/>
        </w:rPr>
        <w:fldChar w:fldCharType="end"/>
      </w:r>
      <w:r>
        <w:rPr>
          <w:rFonts w:ascii="Times New Roman" w:hAnsi="Times New Roman" w:cs="Times New Roman"/>
          <w:sz w:val="24"/>
          <w:szCs w:val="24"/>
        </w:rPr>
        <w:t xml:space="preserve">. Dentre as macrorregiões brasileiras, o Nordeste é a segunda em número de casos, atrás apenas da região Sudeste </w:t>
      </w:r>
      <w:r>
        <w:fldChar w:fldCharType="begin"/>
      </w:r>
      <w:r>
        <w:rPr>
          <w:rFonts w:ascii="Times New Roman" w:hAnsi="Times New Roman" w:cs="Times New Roman"/>
          <w:sz w:val="24"/>
          <w:szCs w:val="24"/>
        </w:rPr>
        <w:instrText>ADDIN CSL_CITATION {"citationItems":[{"id":"ITEM-1","itemData":{"URL":"https://covid.saude.gov.br/","abstract":"Painel Coronavírus, casos confirmados, mortes, letalidade entre confirmados, COVID-19","author":[{"dropping-particle":"","family":"Brasil","given":"","non-dropping-particle":"","parse-names":false,"suffix":""}],"container-title":"Ministério da Saúde","id":"ITEM-1","issued":{"date-parts":[["2020"]]},"page":"1","title":"Coronavírus Brasil: Painel geral, casos confirmados, mortes, letalidade","type":"webpage"},"uris":["http://www.mendeley.com/documents/?uuid=573d43ac-17ac-4f25-976a-35b990306265"]}],"mendeley":{"formattedCitation":"(BRASIL, 2020a)","plainTextFormattedCitation":"(BRASIL, 2020a)","previouslyFormattedCitation":"(BRASIL,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(BRASIL, 2020a)</w:t>
      </w:r>
      <w:r>
        <w:rPr>
          <w:rFonts w:ascii="Times New Roman" w:hAnsi="Times New Roman" w:cs="Times New Roman"/>
          <w:sz w:val="24"/>
          <w:szCs w:val="24"/>
        </w:rPr>
        <w:fldChar w:fldCharType="end"/>
      </w:r>
      <w:r>
        <w:rPr>
          <w:rFonts w:ascii="Times New Roman" w:hAnsi="Times New Roman" w:cs="Times New Roman"/>
          <w:sz w:val="24"/>
          <w:szCs w:val="24"/>
        </w:rPr>
        <w:t xml:space="preserve">. Até agora, nenhuma estratégia eficaz foi </w:t>
      </w:r>
      <w:r>
        <w:rPr>
          <w:rFonts w:ascii="Times New Roman" w:hAnsi="Times New Roman" w:cs="Times New Roman"/>
          <w:sz w:val="24"/>
          <w:szCs w:val="24"/>
        </w:rPr>
        <w:lastRenderedPageBreak/>
        <w:t xml:space="preserve">encontrada para o tratamento da infecção por SARS-CoV-2. </w:t>
      </w:r>
      <w:r>
        <w:rPr>
          <w:rFonts w:ascii="Times New Roman" w:hAnsi="Times New Roman" w:cs="Times New Roman"/>
          <w:sz w:val="24"/>
          <w:szCs w:val="24"/>
          <w:shd w:val="clear" w:color="auto" w:fill="FFFFFF"/>
        </w:rPr>
        <w:t xml:space="preserve">Estudiosos e cientistas no mundo todo têm se dedicado na pesquisa de novos medicamentos e na formulação de vacina para combater o vírus. </w:t>
      </w:r>
      <w:r>
        <w:rPr>
          <w:rFonts w:ascii="Times New Roman" w:hAnsi="Times New Roman" w:cs="Times New Roman"/>
          <w:sz w:val="24"/>
          <w:szCs w:val="24"/>
        </w:rPr>
        <w:t xml:space="preserve">Atualmente, adotar medidas de proteção individual para reduzir o risco de transmissão, determinar a fonte de infecção, diagnóstico precoce, isolamento social e tratamento de suporte para pacientes confirmados, são cursos de ação cruciais para o controle da doença </w:t>
      </w:r>
      <w:r>
        <w:fldChar w:fldCharType="begin"/>
      </w:r>
      <w:r>
        <w:rPr>
          <w:rFonts w:ascii="Times New Roman" w:hAnsi="Times New Roman" w:cs="Times New Roman"/>
          <w:sz w:val="24"/>
          <w:szCs w:val="24"/>
        </w:rPr>
        <w:instrText>ADDIN CSL_CITATION {"citationItems":[{"id":"ITEM-1","itemData":{"DOI":"10.26355/eurrev_202005_21374","ISSN":"22840729","PMID":"32495918","abstract":"OBJECTIVE: Subsequent to a global outbreak of the Middle East Respiratory Syndrome (MERS) in 2012, a novel human coronavirus, known as Corona Virus Disease 2019 (COVID-19) has caused a major disease outbreak. The aim of this study was to perform a systematic review to compare epidemiological, clinical, and laboratory features of COVID-19 and MERS-COV populations. MATERIALS AND METHODS: We searched PubMed, EMBASE, and Cochrane Central Register of Controlled Trials database to identify potential studies that have reported COVID-19 or MERS-COV disease. Epidemiology, clinical, and laboratory outcomes, intensive care unit (ICU) admission rates, discharge rates, and fatality rates were evaluated using Graph-Pad Prism software. RESULTS: A total of forty-two studies were included in our research, involving in 4,720 patients (COVID-19 = 2,012, MERS-COV = 2,708). The present study revealed that main clinical manifestations of both COVID-19 and MERS-COV populations are fever, cough and generalized weakness or myalgia, and Acute Respiratory Distress Syndrome (ARDS) is the main complication. The COVID-19 population has a lower rate of ICU admissions, discharges, fatalities, and shorter incubation periods than those of MERS-COV population. CONCLUSIONS: The main clinical features of both COVID-19 and MERS-COV populations are fever, cough and generalized weakness or myalgia. ARDS is the main complication of both populations. COVID-19 cases have a shorter incubation period and lower rate of ICU admissions, discharges and fatalities compared to MRES-COV population.","author":[{"dropping-particle":"","family":"Xu","given":"P.","non-dropping-particle":"","parse-names":false,"suffix":""},{"dropping-particle":"","family":"Sun","given":"G. D.","non-dropping-particle":"","parse-names":false,"suffix":""},{"dropping-particle":"","family":"Li","given":"Z. Z.","non-dropping-particle":"","parse-names":false,"suffix":""}],"container-title":"European Review for Medical and Pharmacological Sciences","id":"ITEM-1","issue":"10","issued":{"date-parts":[["2020"]]},"page":"5797-5809","title":"Clinical characteristics of two human-to-human transmitted coronaviruses: Corona Virus Disease 2019 vs. Middle East Respiratory Syndrome Coronavirus","type":"article-journal","volume":"24"},"uris":["http://www.mendeley.com/documents/?uuid=b6425af6-6cc4-4e29-b97b-06ac97a42d57"]}],"mendeley":{"formattedCitation":"(XU; SUN; LI, 2020)","plainTextFormattedCitation":"(XU; SUN; LI, 2020)","previouslyFormattedCitation":"(XU; SUN; LI,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(XU; SUN; LI, 2020)</w:t>
      </w:r>
      <w:r>
        <w:rPr>
          <w:rFonts w:ascii="Times New Roman" w:hAnsi="Times New Roman" w:cs="Times New Roman"/>
          <w:sz w:val="24"/>
          <w:szCs w:val="24"/>
        </w:rPr>
        <w:fldChar w:fldCharType="end"/>
      </w:r>
      <w:r>
        <w:rPr>
          <w:rFonts w:ascii="Times New Roman" w:hAnsi="Times New Roman" w:cs="Times New Roman"/>
          <w:sz w:val="24"/>
          <w:szCs w:val="24"/>
        </w:rPr>
        <w:t>.</w:t>
      </w:r>
    </w:p>
    <w:p w14:paraId="2FE4017D" w14:textId="77777777" w:rsidR="004A3B3A" w:rsidRDefault="00033FFB">
      <w:pPr>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Apesar da forma democrática de contágio</w:t>
      </w:r>
      <w:r>
        <w:rPr>
          <w:rFonts w:ascii="Times New Roman" w:hAnsi="Times New Roman" w:cs="Times New Roman"/>
          <w:sz w:val="24"/>
          <w:szCs w:val="24"/>
        </w:rPr>
        <w:t>, estima-se que pessoas</w:t>
      </w:r>
      <w:r>
        <w:rPr>
          <w:rFonts w:ascii="Times New Roman" w:eastAsia="Times New Roman" w:hAnsi="Times New Roman" w:cs="Times New Roman"/>
          <w:sz w:val="24"/>
          <w:szCs w:val="24"/>
        </w:rPr>
        <w:t xml:space="preserve"> mais pobres, que já se encontravam em</w:t>
      </w:r>
      <w:r>
        <w:rPr>
          <w:rFonts w:ascii="Times New Roman" w:hAnsi="Times New Roman" w:cs="Times New Roman"/>
          <w:sz w:val="24"/>
          <w:szCs w:val="24"/>
          <w:shd w:val="clear" w:color="auto" w:fill="FFFFFF"/>
        </w:rPr>
        <w:t xml:space="preserve"> situação de vulnerabilidade antes da pandemia,</w:t>
      </w:r>
      <w:r>
        <w:rPr>
          <w:rFonts w:ascii="Times New Roman" w:eastAsia="Times New Roman" w:hAnsi="Times New Roman" w:cs="Times New Roman"/>
          <w:sz w:val="24"/>
          <w:szCs w:val="24"/>
        </w:rPr>
        <w:t xml:space="preserve"> são mais fortemente atingidas </w:t>
      </w:r>
      <w:r>
        <w:fldChar w:fldCharType="begin"/>
      </w:r>
      <w:r>
        <w:rPr>
          <w:rFonts w:ascii="Times New Roman" w:eastAsia="Times New Roman" w:hAnsi="Times New Roman" w:cs="Times New Roman"/>
          <w:sz w:val="24"/>
          <w:szCs w:val="24"/>
        </w:rPr>
        <w:instrText>ADDIN CSL_CITATION {"citationItems":[{"id":"ITEM-1","itemData":{"DOI":"10.1590/1413-81232020259.14052020","ISBN":"0000000175","ISSN":"16784561","PMID":"32876261","author":[{"dropping-particle":"","family":"Estrela","given":"Fernanda Matheus","non-dropping-particle":"","parse-names":false,"suffix":""},{"dropping-particle":"","family":"Soares","given":"Caroline Fernandes Soares E.","non-dropping-particle":"","parse-names":false,"suffix":""},{"dropping-particle":"da","family":"Cruz","given":"Moniky Araújo","non-dropping-particle":"","parse-names":false,"suffix":""},{"dropping-particle":"da","family":"Silva","given":"Andrey Ferreira","non-dropping-particle":"","parse-names":false,"suffix":""},{"dropping-particle":"","family":"Santos","given":"Jemima Raquel Lopes","non-dropping-particle":"","parse-names":false,"suffix":""},{"dropping-particle":"","family":"Moreira","given":"Tânia Maria de Oliveira","non-dropping-particle":"","parse-names":false,"suffix":""},{"dropping-particle":"","family":"Lima","given":"Adriana Braitt","non-dropping-particle":"","parse-names":false,"suffix":""},{"dropping-particle":"","family":"Silva","given":"Márcia Gomes","non-dropping-particle":"","parse-names":false,"suffix":""}],"container-title":"Ciencia &amp; saude coletiva","id":"ITEM-1","issue":"9","issued":{"date-parts":[["2020"]]},"page":"3431-3436","title":"Pandemia da Covid 19: refletindo as vulnerabilidades a luz do gênero, raça e classe","type":"article-journal","volume":"25"},"uris":["http://www.mendeley.com/documents/?uuid=c781978b-b765-42e1-be12-a31ff7cb6857"]}],"mendeley":{"formattedCitation":"(ESTRELA et al., 2020)","plainTextFormattedCitation":"(ESTRELA et al., 2020)","previouslyFormattedCitation":"(ESTRELA et al., 2020)"},"properties":{"noteIndex":0},"schema":"https://github.com/citation-style-language/schema/raw/master/csl-citation.json"}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(ESTRELA et al., 2020)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Isto porque, para além de dificuldade de acesso a serviços de saúde, a prevenção da doença é um desafio pelo contexto de insalubridade de moradias, superlotação de residências, precariedade de saneamento básico e condições de vida que impedem o isolamento e distanciamento social efetivo. Ademais</w:t>
      </w:r>
      <w:r>
        <w:rPr>
          <w:rFonts w:ascii="Times New Roman" w:hAnsi="Times New Roman" w:cs="Times New Roman"/>
          <w:sz w:val="24"/>
          <w:szCs w:val="24"/>
        </w:rPr>
        <w:t xml:space="preserve">, segundo dados do IBGE/PINAD, cerca de 40% dos trabalhadores brasileiros são informais </w:t>
      </w:r>
      <w:r>
        <w:fldChar w:fldCharType="begin"/>
      </w:r>
      <w:r>
        <w:rPr>
          <w:rFonts w:ascii="Times New Roman" w:hAnsi="Times New Roman" w:cs="Times New Roman"/>
          <w:sz w:val="24"/>
          <w:szCs w:val="24"/>
        </w:rPr>
        <w:instrText>ADDIN CSL_CITATION {"citationItems":[{"id":"ITEM-1","itemData":{"author":[{"dropping-particle":"","family":"Lameiras","given":"Maria Andreia Parente","non-dropping-particle":"","parse-names":false,"suffix":""},{"dropping-particle":"","family":"Corseuil","given":"Carlos Henrique L.","non-dropping-particle":"","parse-names":false,"suffix":""},{"dropping-particle":"","family":"Ramos","given":"Lauro Roberto Albrecht","non-dropping-particle":"","parse-names":false,"suffix":""},{"dropping-particle":"de","family":"Carvalho","given":"Sandro Sacchet","non-dropping-particle":"","parse-names":false,"suffix":""}],"container-title":"Instituto de Pesquisa Econômica Aplicada","id":"ITEM-1","issued":{"date-parts":[["2019"]]},"page":"1-27","title":"Conjuntura - 4˚ trimestre de 2019","type":"article-journal","volume":"45"},"uris":["http://www.mendeley.com/documents/?uuid=7d27c97c-dcb9-453d-8ed6-eda7baa32e24"]}],"mendeley":{"formattedCitation":"(LAMEIRAS et al., 2019)","plainTextFormattedCitation":"(LAMEIRAS et al., 2019)","previouslyFormattedCitation":"(LAMEIRAS et al.,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(LAMEIRAS et al., 2019)</w:t>
      </w:r>
      <w:r>
        <w:rPr>
          <w:rFonts w:ascii="Times New Roman" w:hAnsi="Times New Roman" w:cs="Times New Roman"/>
          <w:sz w:val="24"/>
          <w:szCs w:val="24"/>
        </w:rPr>
        <w:fldChar w:fldCharType="end"/>
      </w:r>
      <w:r>
        <w:rPr>
          <w:rFonts w:ascii="Times New Roman" w:hAnsi="Times New Roman" w:cs="Times New Roman"/>
          <w:sz w:val="24"/>
          <w:szCs w:val="24"/>
        </w:rPr>
        <w:t>, ou seja, nesse período de crise não contam com nenhum tipo de seguridade social e acabam sem alternativa, submetendo-se a exposição e contraindo a COVID-19.</w:t>
      </w:r>
      <w:r>
        <w:rPr>
          <w:rFonts w:ascii="Times New Roman" w:eastAsia="Times New Roman" w:hAnsi="Times New Roman" w:cs="Times New Roman"/>
          <w:sz w:val="24"/>
          <w:szCs w:val="24"/>
        </w:rPr>
        <w:t xml:space="preserve"> </w:t>
      </w:r>
    </w:p>
    <w:p w14:paraId="5919F76B" w14:textId="0D292363" w:rsidR="004A3B3A" w:rsidRDefault="00033FFB">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Considerando que não apenas fatores de risco biológicos devem ser foco da ciência para o combate à COVID-19, como também os determinantes sociais responsáveis pela maior propagação da SARS-COV-2, salienta-se a necessidade de </w:t>
      </w:r>
      <w:r>
        <w:rPr>
          <w:rFonts w:ascii="Times New Roman" w:eastAsia="Times New Roman" w:hAnsi="Times New Roman" w:cs="Times New Roman"/>
          <w:sz w:val="24"/>
          <w:szCs w:val="24"/>
        </w:rPr>
        <w:t xml:space="preserve">estratégias notadamente relacionadas à identificação da população vulnerável e estudar a relação com indicadores de acesso e cuidado com saúde. </w:t>
      </w:r>
      <w:r>
        <w:rPr>
          <w:rFonts w:ascii="Times New Roman" w:hAnsi="Times New Roman" w:cs="Times New Roman"/>
          <w:sz w:val="24"/>
          <w:szCs w:val="24"/>
          <w:lang w:val="pt-PT"/>
        </w:rPr>
        <w:t xml:space="preserve">Assim, o presente estudo teve como objetivo </w:t>
      </w:r>
      <w:r>
        <w:rPr>
          <w:rFonts w:ascii="Times New Roman" w:hAnsi="Times New Roman" w:cs="Times New Roman"/>
          <w:sz w:val="24"/>
          <w:szCs w:val="24"/>
          <w:shd w:val="clear" w:color="auto" w:fill="FFFFFF"/>
        </w:rPr>
        <w:t>descrever as características socioeconômicas, cuidados preventivos da infecção e piora da doença e sua relação com a gravidade da COVID-19, na admissão hospitalar de adultos e idosos.</w:t>
      </w:r>
    </w:p>
    <w:p w14:paraId="5435A9FF" w14:textId="77777777" w:rsidR="004A3B3A" w:rsidRDefault="004A3B3A">
      <w:pPr>
        <w:spacing w:after="0" w:line="360" w:lineRule="auto"/>
        <w:ind w:firstLine="709"/>
        <w:jc w:val="both"/>
        <w:rPr>
          <w:rFonts w:ascii="Times New Roman" w:hAnsi="Times New Roman" w:cs="Times New Roman"/>
          <w:sz w:val="24"/>
          <w:szCs w:val="24"/>
        </w:rPr>
      </w:pPr>
    </w:p>
    <w:p w14:paraId="29C78B95" w14:textId="77777777" w:rsidR="004A3B3A" w:rsidRDefault="00033FFB">
      <w:pPr>
        <w:pStyle w:val="NormalWeb"/>
        <w:numPr>
          <w:ilvl w:val="0"/>
          <w:numId w:val="1"/>
        </w:numPr>
        <w:shd w:val="clear" w:color="auto" w:fill="FFFFFF"/>
        <w:spacing w:beforeAutospacing="0" w:after="0" w:afterAutospacing="0" w:line="360" w:lineRule="auto"/>
        <w:jc w:val="both"/>
        <w:rPr>
          <w:b/>
          <w:bCs/>
          <w:color w:val="000000"/>
        </w:rPr>
      </w:pPr>
      <w:r>
        <w:rPr>
          <w:b/>
          <w:bCs/>
          <w:color w:val="000000"/>
        </w:rPr>
        <w:t>MÉTODOS</w:t>
      </w:r>
    </w:p>
    <w:p w14:paraId="674294D7" w14:textId="77777777" w:rsidR="004A3B3A" w:rsidRDefault="00033FFB">
      <w:pPr>
        <w:pStyle w:val="Default"/>
        <w:spacing w:line="360" w:lineRule="auto"/>
        <w:ind w:firstLine="709"/>
        <w:jc w:val="both"/>
        <w:rPr>
          <w:rFonts w:ascii="Times New Roman" w:hAnsi="Times New Roman" w:cs="Times New Roman"/>
          <w:color w:val="auto"/>
          <w:spacing w:val="5"/>
          <w:shd w:val="clear" w:color="auto" w:fill="FFFFFF"/>
        </w:rPr>
      </w:pPr>
      <w:r>
        <w:rPr>
          <w:rFonts w:ascii="Times New Roman" w:hAnsi="Times New Roman" w:cs="Times New Roman"/>
          <w:color w:val="auto"/>
        </w:rPr>
        <w:t xml:space="preserve">Trata-se de um </w:t>
      </w:r>
      <w:r>
        <w:rPr>
          <w:rFonts w:ascii="Times New Roman" w:hAnsi="Times New Roman" w:cs="Times New Roman"/>
          <w:shd w:val="clear" w:color="auto" w:fill="FFFFFF"/>
        </w:rPr>
        <w:t xml:space="preserve">estudo transversal </w:t>
      </w:r>
      <w:r>
        <w:rPr>
          <w:rFonts w:ascii="Times New Roman" w:hAnsi="Times New Roman" w:cs="Times New Roman"/>
          <w:color w:val="auto"/>
        </w:rPr>
        <w:t>de base populacional, aninhado a uma coorte dinâmica multicêntrica, intitulada “Aspectos clínicos, nutricionais e sociodemográficos associados a mortalidade em pacientes com COVID-19: um estudo multicêntrico no nordeste brasileiro”. O estudo foi aprovado pelo Comitê de Ética em Pesquisa da Escola de Nutrição da Universidade Federal da Bahia, sob parecer número 4.121.810.</w:t>
      </w:r>
    </w:p>
    <w:p w14:paraId="0054E16A" w14:textId="32E5EB8F" w:rsidR="004A3B3A" w:rsidRDefault="00033F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Foram incluídas neste estudo pessoas de ambos os sexos, com idade igual ou maior de 18 anos, com diagnóstico laboratorial positivo para COVID-19, por teste RT-PCR ou </w:t>
      </w:r>
      <w:r>
        <w:rPr>
          <w:rFonts w:ascii="Times New Roman" w:hAnsi="Times New Roman" w:cs="Times New Roman"/>
          <w:sz w:val="24"/>
          <w:szCs w:val="24"/>
        </w:rPr>
        <w:lastRenderedPageBreak/>
        <w:t xml:space="preserve">sorológico em tempo real, após coleta de </w:t>
      </w:r>
      <w:proofErr w:type="spellStart"/>
      <w:r>
        <w:rPr>
          <w:rFonts w:ascii="Times New Roman" w:hAnsi="Times New Roman" w:cs="Times New Roman"/>
          <w:sz w:val="24"/>
          <w:szCs w:val="24"/>
        </w:rPr>
        <w:t>swab</w:t>
      </w:r>
      <w:proofErr w:type="spellEnd"/>
      <w:r>
        <w:rPr>
          <w:rFonts w:ascii="Times New Roman" w:hAnsi="Times New Roman" w:cs="Times New Roman"/>
          <w:sz w:val="24"/>
          <w:szCs w:val="24"/>
        </w:rPr>
        <w:t xml:space="preserve"> em nasofaringe ou sanguínea,</w:t>
      </w:r>
      <w:r w:rsidR="0003032F">
        <w:rPr>
          <w:rFonts w:ascii="Times New Roman" w:hAnsi="Times New Roman" w:cs="Times New Roman"/>
          <w:sz w:val="24"/>
          <w:szCs w:val="24"/>
        </w:rPr>
        <w:t xml:space="preserve"> respectivamente,</w:t>
      </w:r>
      <w:r>
        <w:rPr>
          <w:rFonts w:ascii="Times New Roman" w:hAnsi="Times New Roman" w:cs="Times New Roman"/>
          <w:sz w:val="24"/>
          <w:szCs w:val="24"/>
        </w:rPr>
        <w:t xml:space="preserve"> atendidas nos hospitais participantes do estudo. Não foram incluídos aqueles cujo diagnóstico laboratorial não foi confirmado ou que não aceitaram a participação voluntária. </w:t>
      </w:r>
    </w:p>
    <w:p w14:paraId="535842CC" w14:textId="77777777" w:rsidR="004A3B3A" w:rsidRDefault="00033FFB">
      <w:pPr>
        <w:spacing w:after="0" w:line="36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Termo de consentimento livre e esclarecido foi obtido remotamente (via ligação telefônica ou aplicativo de troca de mensagens), em contato com o próprio paciente ou com seu responsável. Deste modo também foram obtidas informações de idade, sexo, raça/cor autodeclarada, características socioeconômicas [renda, desempregado/trabalho informal (sim ou não)], escolaridade do chefe de família (se </w:t>
      </w:r>
      <w:r>
        <w:rPr>
          <w:rFonts w:ascii="Symbol" w:eastAsia="Symbol" w:hAnsi="Symbol" w:cs="Symbol"/>
          <w:sz w:val="24"/>
          <w:szCs w:val="24"/>
        </w:rPr>
        <w:t></w:t>
      </w:r>
      <w:r>
        <w:rPr>
          <w:rFonts w:ascii="Times New Roman" w:hAnsi="Times New Roman" w:cs="Times New Roman"/>
          <w:sz w:val="24"/>
          <w:szCs w:val="24"/>
        </w:rPr>
        <w:t>8 anos de estudo) e dados sobre cuidados preventivos de infecção pela COVID-19 ou agravamento dos sintomas sugestivos da doença. Questões acerca do uso adequado de máscara (por todo o tempo e sem tocá-la), medidas de distanciamento físico (não seguir orientação de sair de casa em casos estritos), busca pelo serviço de saúde aos primeiros sintomas (se ≥1 semana) também foram coletadas.</w:t>
      </w:r>
    </w:p>
    <w:p w14:paraId="7C077B27" w14:textId="0FF89844" w:rsidR="004A3B3A" w:rsidRDefault="00033F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Foram obtidos em prontuário hospitalar ou da Unidade de Saúde, queixas e registros de intercorrências clínicas, para estratificação de gravidade [diarreia, náusea, vômito, febre, cefaleia, produção de escarro, dor de garganta, dispneia ou taquipneia (&gt;30 </w:t>
      </w:r>
      <w:proofErr w:type="spellStart"/>
      <w:r>
        <w:rPr>
          <w:rFonts w:ascii="Times New Roman" w:hAnsi="Times New Roman" w:cs="Times New Roman"/>
          <w:sz w:val="24"/>
          <w:szCs w:val="24"/>
        </w:rPr>
        <w:t>mpm</w:t>
      </w:r>
      <w:proofErr w:type="spellEnd"/>
      <w:r>
        <w:rPr>
          <w:rFonts w:ascii="Times New Roman" w:hAnsi="Times New Roman" w:cs="Times New Roman"/>
          <w:sz w:val="24"/>
          <w:szCs w:val="24"/>
        </w:rPr>
        <w:t>), ronco ou retração sub/intercostal severa, arritmias, choque, insuficiência cardíaca aguda, insuficiência renal aguda, infecções secundárias, cardiomiopatia, hipotensão (com pressão arterial sistólica abaixo de 90 mmHg e/ou diastólica abaixo de 60mmHg), bradicardia diminuição do pulso periférico, saturação de hemoglobina, uso de medicamentos, antecedentes patológicos]. Deste modo casos leves, moderados, graves ou muito graves foram categorizados, considerando os dados clínic</w:t>
      </w:r>
      <w:r w:rsidR="00557A02">
        <w:rPr>
          <w:rFonts w:ascii="Times New Roman" w:hAnsi="Times New Roman" w:cs="Times New Roman"/>
          <w:sz w:val="24"/>
          <w:szCs w:val="24"/>
        </w:rPr>
        <w:t>o</w:t>
      </w:r>
      <w:r>
        <w:rPr>
          <w:rFonts w:ascii="Times New Roman" w:hAnsi="Times New Roman" w:cs="Times New Roman"/>
          <w:sz w:val="24"/>
          <w:szCs w:val="24"/>
        </w:rPr>
        <w:t xml:space="preserve">s obtidos e a classificação da Organização Mundial de Saúde (WHO, 2020b). Para análise dos dados, os pacientes foram agrupados em grupo COVID-19 grave (casos graves e muito graves) e COVID-19 não grave (casos leves e moderados). </w:t>
      </w:r>
    </w:p>
    <w:p w14:paraId="460C76BC" w14:textId="77777777" w:rsidR="004A3B3A" w:rsidRDefault="00033F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tabulação e análise dos dados foram realizadas utilizando-se o programa estatístico </w:t>
      </w:r>
      <w:proofErr w:type="spellStart"/>
      <w:r w:rsidRPr="00966B92">
        <w:rPr>
          <w:rFonts w:ascii="Times New Roman" w:hAnsi="Times New Roman" w:cs="Times New Roman"/>
          <w:i/>
          <w:iCs/>
          <w:sz w:val="24"/>
          <w:szCs w:val="24"/>
        </w:rPr>
        <w:t>Statistical</w:t>
      </w:r>
      <w:proofErr w:type="spellEnd"/>
      <w:r w:rsidRPr="00966B92">
        <w:rPr>
          <w:rFonts w:ascii="Times New Roman" w:hAnsi="Times New Roman" w:cs="Times New Roman"/>
          <w:i/>
          <w:iCs/>
          <w:sz w:val="24"/>
          <w:szCs w:val="24"/>
        </w:rPr>
        <w:t xml:space="preserve"> </w:t>
      </w:r>
      <w:proofErr w:type="spellStart"/>
      <w:r w:rsidRPr="00966B92">
        <w:rPr>
          <w:rFonts w:ascii="Times New Roman" w:hAnsi="Times New Roman" w:cs="Times New Roman"/>
          <w:i/>
          <w:iCs/>
          <w:sz w:val="24"/>
          <w:szCs w:val="24"/>
        </w:rPr>
        <w:t>Package</w:t>
      </w:r>
      <w:proofErr w:type="spellEnd"/>
      <w:r w:rsidRPr="00966B92">
        <w:rPr>
          <w:rFonts w:ascii="Times New Roman" w:hAnsi="Times New Roman" w:cs="Times New Roman"/>
          <w:i/>
          <w:iCs/>
          <w:sz w:val="24"/>
          <w:szCs w:val="24"/>
        </w:rPr>
        <w:t xml:space="preserve"> for Social Science</w:t>
      </w:r>
      <w:r>
        <w:rPr>
          <w:rFonts w:ascii="Times New Roman" w:hAnsi="Times New Roman" w:cs="Times New Roman"/>
          <w:sz w:val="24"/>
          <w:szCs w:val="24"/>
        </w:rPr>
        <w:t xml:space="preserve"> - SPSS versão 21.0. Foi realizada análise descritiva das variáveis de interesse, utilizando-se média e desvio padrão, para variáveis contínuas e distribuição de frequências, para variáveis categóricas. A normalidade das variáveis foi avaliada pelo teste </w:t>
      </w:r>
      <w:proofErr w:type="spellStart"/>
      <w:r>
        <w:rPr>
          <w:rFonts w:ascii="Times New Roman" w:hAnsi="Times New Roman" w:cs="Times New Roman"/>
          <w:sz w:val="24"/>
          <w:szCs w:val="24"/>
        </w:rPr>
        <w:t>Kolmogorov</w:t>
      </w:r>
      <w:proofErr w:type="spellEnd"/>
      <w:r>
        <w:rPr>
          <w:rFonts w:ascii="Times New Roman" w:hAnsi="Times New Roman" w:cs="Times New Roman"/>
          <w:sz w:val="24"/>
          <w:szCs w:val="24"/>
        </w:rPr>
        <w:t xml:space="preserve">-Smirnov. As associações entre a variável de interesse foram avaliadas pelo teste do </w:t>
      </w:r>
      <w:proofErr w:type="spellStart"/>
      <w:r>
        <w:rPr>
          <w:rFonts w:ascii="Times New Roman" w:hAnsi="Times New Roman" w:cs="Times New Roman"/>
          <w:sz w:val="24"/>
          <w:szCs w:val="24"/>
        </w:rPr>
        <w:t>Qui</w:t>
      </w:r>
      <w:proofErr w:type="spellEnd"/>
      <w:r>
        <w:rPr>
          <w:rFonts w:ascii="Times New Roman" w:hAnsi="Times New Roman" w:cs="Times New Roman"/>
          <w:sz w:val="24"/>
          <w:szCs w:val="24"/>
        </w:rPr>
        <w:t>-quadrado de Pearson ou exato de Fisher. Nas análises estatísticas adotaram-se os testes bicaudais e um nível de significância de 5%.</w:t>
      </w:r>
    </w:p>
    <w:p w14:paraId="6733F5F7" w14:textId="77777777" w:rsidR="004A3B3A" w:rsidRDefault="004A3B3A">
      <w:pPr>
        <w:spacing w:after="0" w:line="360" w:lineRule="auto"/>
        <w:jc w:val="both"/>
        <w:rPr>
          <w:rFonts w:ascii="Times New Roman" w:hAnsi="Times New Roman" w:cs="Times New Roman"/>
          <w:sz w:val="24"/>
          <w:szCs w:val="24"/>
        </w:rPr>
      </w:pPr>
    </w:p>
    <w:p w14:paraId="4F70059B" w14:textId="77777777" w:rsidR="004A3B3A" w:rsidRDefault="00033FFB">
      <w:pPr>
        <w:pStyle w:val="PargrafodaLista"/>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RESULTADOS E DISCUSSÃO</w:t>
      </w:r>
    </w:p>
    <w:p w14:paraId="1793F556" w14:textId="7760CE61" w:rsidR="004A3B3A" w:rsidRDefault="00033FF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No estudo foram avaliados 55 pacientes adultos e idosos, destes, 14 (25,5%) apresentaram COVID-19 grave. Na Tabela 1 são demonstrados os dados demográficos e socioeconômicos. Pode ser verificado que aqueles com a forma grave da doença apresentaram uma média de idade de 62,0 (± 15,12) anos, sendo 12 anos a mais do que aqueles com quadro não grave (p=0,038). Em relação a ocupação, 85,7% daqueles com COVID-19 grave estavam desempregados/trabalho informal, o que foi verificado em 36,6% dos demais (</w:t>
      </w:r>
      <w:r w:rsidR="00A23BF9">
        <w:rPr>
          <w:rFonts w:ascii="Times New Roman" w:hAnsi="Times New Roman" w:cs="Times New Roman"/>
          <w:sz w:val="24"/>
          <w:szCs w:val="24"/>
        </w:rPr>
        <w:t>p</w:t>
      </w:r>
      <w:r>
        <w:rPr>
          <w:rFonts w:ascii="Times New Roman" w:hAnsi="Times New Roman" w:cs="Times New Roman"/>
          <w:sz w:val="24"/>
          <w:szCs w:val="24"/>
        </w:rPr>
        <w:t>=0,002).</w:t>
      </w:r>
    </w:p>
    <w:p w14:paraId="2237988B" w14:textId="40B81906" w:rsidR="004A3B3A" w:rsidRDefault="00033F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Tabela 2 estão caracterizadas as medidas preventivas para infecção por COVID-19 e as comorbidades prévias dos pacientes, sendo que não foram constatadas diferenças entre aqueles com as formas graves ou não graves da doença (p&gt;0,05). Foi verificado que 35,7% dos pacientes com COVID-19 grave demoraram mais de 1 semana para procurarem serviço médico, o que foi relatado por 14,6% daqueles sem sintomas graves (p=0,091). A elevada frequência de distanciamento físico inadequado, antes da contaminação, foi verificada em ambos os grupos. </w:t>
      </w:r>
    </w:p>
    <w:p w14:paraId="49E3DE18" w14:textId="77777777" w:rsidR="004A3B3A" w:rsidRDefault="00033F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Presença de comorbidades como diabetes (53,8% dos pacientes graves e 30,0% dos não graves) e hipertensão arterial (64,2% dos graves e 52,5% dos não graves) foi alta nos pacientes avaliados. Doença pulmonar obstrutiva crônica (DPOC) foi observada em 15,4% daqueles com COVID-19 grave, não sendo verificado nenhum caso entre os não graves (p=0,066).</w:t>
      </w:r>
    </w:p>
    <w:p w14:paraId="45CC1124" w14:textId="77777777" w:rsidR="004A3B3A" w:rsidRDefault="00033FFB">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Corroborando com os nossos achados, de acordo com a OMS (WHO, 2020b), indivíduos com 60 anos ou mais têm maior chance de apresentar a COVID-19 nas suas formas graves. D</w:t>
      </w:r>
      <w:r>
        <w:rPr>
          <w:rFonts w:ascii="Times New Roman" w:hAnsi="Times New Roman" w:cs="Times New Roman"/>
          <w:color w:val="000000"/>
          <w:sz w:val="24"/>
          <w:szCs w:val="24"/>
          <w:shd w:val="clear" w:color="auto" w:fill="FFFFFF"/>
        </w:rPr>
        <w:t xml:space="preserve">ados recentes, no Brasil, mostram que 51,5% das hospitalizações e 73,5% dos óbitos por síndrome respiratória aguda grave causada por COVID-19 ocorrem em pessoas acima dos 60 anos </w:t>
      </w:r>
      <w:r>
        <w:fldChar w:fldCharType="begin"/>
      </w:r>
      <w:r>
        <w:rPr>
          <w:rFonts w:ascii="Times New Roman" w:hAnsi="Times New Roman" w:cs="Times New Roman"/>
          <w:color w:val="000000"/>
          <w:sz w:val="24"/>
          <w:szCs w:val="24"/>
          <w:shd w:val="clear" w:color="auto" w:fill="FFFFFF"/>
        </w:rPr>
        <w:instrText>ADDIN CSL_CITATION {"citationItems":[{"id":"ITEM-1","itemData":{"author":[{"dropping-particle":"","family":"Brasil","given":"","non-dropping-particle":"","parse-names":false,"suffix":""}],"container-title":"Ministério da Saúde. Secretaria de Vigilância em Saúde","id":"ITEM-1","issued":{"date-parts":[["2020"]]},"title":"36º Boletim epidemiológico especial: Doença pelo Coronavírus COVID-19. Semana Epidemiológica 42 (11/10 a 17/10/2020).","type":"article-journal"},"uris":["http://www.mendeley.com/documents/?uuid=b163096b-55bc-49c0-86e0-5bf4b8d858ed"]}],"mendeley":{"formattedCitation":"(BRASIL, 2020b)","plainTextFormattedCitation":"(BRASIL, 2020b)"},"properties":{"noteIndex":0},"schema":"https://github.com/citation-style-language/schema/raw/master/csl-citation.json"}</w:instrText>
      </w:r>
      <w:r>
        <w:rPr>
          <w:rFonts w:ascii="Times New Roman" w:hAnsi="Times New Roman" w:cs="Times New Roman"/>
          <w:color w:val="000000"/>
          <w:sz w:val="24"/>
          <w:szCs w:val="24"/>
          <w:shd w:val="clear" w:color="auto" w:fill="FFFFFF"/>
        </w:rPr>
        <w:fldChar w:fldCharType="separate"/>
      </w:r>
      <w:r>
        <w:rPr>
          <w:rFonts w:ascii="Times New Roman" w:hAnsi="Times New Roman" w:cs="Times New Roman"/>
          <w:color w:val="000000"/>
          <w:sz w:val="24"/>
          <w:szCs w:val="24"/>
          <w:shd w:val="clear" w:color="auto" w:fill="FFFFFF"/>
        </w:rPr>
        <w:t>(BRASIL, 2020b)</w:t>
      </w:r>
      <w:r>
        <w:rPr>
          <w:rFonts w:ascii="Times New Roman" w:hAnsi="Times New Roman" w:cs="Times New Roman"/>
          <w:color w:val="000000"/>
          <w:sz w:val="24"/>
          <w:szCs w:val="24"/>
          <w:shd w:val="clear" w:color="auto" w:fill="FFFFFF"/>
        </w:rPr>
        <w:fldChar w:fldCharType="end"/>
      </w:r>
      <w:r>
        <w:rPr>
          <w:rFonts w:ascii="Times New Roman" w:hAnsi="Times New Roman" w:cs="Times New Roman"/>
          <w:color w:val="000000"/>
          <w:sz w:val="24"/>
          <w:szCs w:val="24"/>
          <w:shd w:val="clear" w:color="auto" w:fill="FFFFFF"/>
        </w:rPr>
        <w:t>.</w:t>
      </w:r>
    </w:p>
    <w:p w14:paraId="40BA646D" w14:textId="77777777" w:rsidR="004A3B3A" w:rsidRDefault="00033FFB">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w:t>
      </w:r>
      <w:r>
        <w:rPr>
          <w:rFonts w:ascii="Times New Roman" w:hAnsi="Times New Roman" w:cs="Times New Roman"/>
          <w:sz w:val="24"/>
          <w:szCs w:val="24"/>
        </w:rPr>
        <w:t xml:space="preserve"> ocorrência de doenças crônicas não-transmissíveis (DCNT) prévias, incluindo doenças cardiovasculares, diabetes, doenças respiratórias crônicas e hipertensão arterial são fatores de risco independentes, associados ao pior prognóstico da doença (WHO, 2020b).  Considerando que as DCNT estão entre as principais causas de morbimortalidade da população brasileira, sendo que uma boa parte dos indivíduos, provavelmente, estão ainda por diagnosticar, situações como a revelada pela pandemia enfatiza a necessidade de medidas preventivas e tratamento adequado, inclusive nutricional, que proporcionam o controle no agravamento destas comorbidades </w:t>
      </w:r>
      <w:r>
        <w:rPr>
          <w:rFonts w:ascii="Times New Roman" w:hAnsi="Times New Roman" w:cs="Times New Roman"/>
          <w:sz w:val="24"/>
          <w:szCs w:val="24"/>
          <w:shd w:val="clear" w:color="auto" w:fill="FFFFFF"/>
        </w:rPr>
        <w:t>(PETRILLI et al., 2020; STEFAN et al., 2020).</w:t>
      </w:r>
    </w:p>
    <w:p w14:paraId="49AB74FA" w14:textId="77777777" w:rsidR="004A3B3A" w:rsidRDefault="00033FFB">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lastRenderedPageBreak/>
        <w:t xml:space="preserve">Experiência em países da Ásia e Europa demonstram a importância de medidas preventivas de infecção pelo novo </w:t>
      </w:r>
      <w:proofErr w:type="spellStart"/>
      <w:r>
        <w:rPr>
          <w:rFonts w:ascii="Times New Roman" w:hAnsi="Times New Roman" w:cs="Times New Roman"/>
          <w:sz w:val="24"/>
          <w:szCs w:val="24"/>
        </w:rPr>
        <w:t>coronavírus</w:t>
      </w:r>
      <w:proofErr w:type="spellEnd"/>
      <w:r>
        <w:rPr>
          <w:rFonts w:ascii="Times New Roman" w:hAnsi="Times New Roman" w:cs="Times New Roman"/>
          <w:sz w:val="24"/>
          <w:szCs w:val="24"/>
        </w:rPr>
        <w:t xml:space="preserve">, dentre as quais, o distanciamento físico e o uso de máscaras estão entre os cuidados cuja informação é mais disseminada entre os brasileiros, além de higiene adequada das mãos </w:t>
      </w:r>
      <w:r>
        <w:fldChar w:fldCharType="begin"/>
      </w:r>
      <w:r>
        <w:rPr>
          <w:rFonts w:ascii="Times New Roman" w:hAnsi="Times New Roman" w:cs="Times New Roman"/>
          <w:sz w:val="24"/>
          <w:szCs w:val="24"/>
        </w:rPr>
        <w:instrText>ADDIN CSL_CITATION {"citationItems":[{"id":"ITEM-1","itemData":{"DOI":"10.26355/eurrev_202005_21374","ISSN":"22840729","PMID":"32495918","abstract":"OBJECTIVE: Subsequent to a global outbreak of the Middle East Respiratory Syndrome (MERS) in 2012, a novel human coronavirus, known as Corona Virus Disease 2019 (COVID-19) has caused a major disease outbreak. The aim of this study was to perform a systematic review to compare epidemiological, clinical, and laboratory features of COVID-19 and MERS-COV populations. MATERIALS AND METHODS: We searched PubMed, EMBASE, and Cochrane Central Register of Controlled Trials database to identify potential studies that have reported COVID-19 or MERS-COV disease. Epidemiology, clinical, and laboratory outcomes, intensive care unit (ICU) admission rates, discharge rates, and fatality rates were evaluated using Graph-Pad Prism software. RESULTS: A total of forty-two studies were included in our research, involving in 4,720 patients (COVID-19 = 2,012, MERS-COV = 2,708). The present study revealed that main clinical manifestations of both COVID-19 and MERS-COV populations are fever, cough and generalized weakness or myalgia, and Acute Respiratory Distress Syndrome (ARDS) is the main complication. The COVID-19 population has a lower rate of ICU admissions, discharges, fatalities, and shorter incubation periods than those of MERS-COV population. CONCLUSIONS: The main clinical features of both COVID-19 and MERS-COV populations are fever, cough and generalized weakness or myalgia. ARDS is the main complication of both populations. COVID-19 cases have a shorter incubation period and lower rate of ICU admissions, discharges and fatalities compared to MRES-COV population.","author":[{"dropping-particle":"","family":"Xu","given":"P.","non-dropping-particle":"","parse-names":false,"suffix":""},{"dropping-particle":"","family":"Sun","given":"G. D.","non-dropping-particle":"","parse-names":false,"suffix":""},{"dropping-particle":"","family":"Li","given":"Z. Z.","non-dropping-particle":"","parse-names":false,"suffix":""}],"container-title":"European Review for Medical and Pharmacological Sciences","id":"ITEM-1","issue":"10","issued":{"date-parts":[["2020"]]},"page":"5797-5809","title":"Clinical characteristics of two human-to-human transmitted coronaviruses: Corona Virus Disease 2019 vs. Middle East Respiratory Syndrome Coronavirus","type":"article-journal","volume":"24"},"uris":["http://www.mendeley.com/documents/?uuid=b6425af6-6cc4-4e29-b97b-06ac97a42d57"]}],"mendeley":{"formattedCitation":"(XU; SUN; LI, 2020)","plainTextFormattedCitation":"(XU; SUN; LI, 2020)","previouslyFormattedCitation":"(XU; SUN; LI,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(XU; SUN; LI, 2020)</w:t>
      </w:r>
      <w:r>
        <w:rPr>
          <w:rFonts w:ascii="Times New Roman" w:hAnsi="Times New Roman" w:cs="Times New Roman"/>
          <w:sz w:val="24"/>
          <w:szCs w:val="24"/>
        </w:rPr>
        <w:fldChar w:fldCharType="end"/>
      </w:r>
      <w:r>
        <w:rPr>
          <w:rFonts w:ascii="Times New Roman" w:hAnsi="Times New Roman" w:cs="Times New Roman"/>
          <w:sz w:val="24"/>
          <w:szCs w:val="24"/>
        </w:rPr>
        <w:t xml:space="preserve">. No entanto, essas recomendações se depararam com questões sociais e culturais que, muitas vezes, dificultam a sua implementação. </w:t>
      </w:r>
    </w:p>
    <w:p w14:paraId="51B36A52" w14:textId="77777777" w:rsidR="004A3B3A" w:rsidRDefault="004A3B3A">
      <w:pPr>
        <w:spacing w:after="0" w:line="240" w:lineRule="auto"/>
        <w:ind w:firstLine="709"/>
        <w:jc w:val="both"/>
        <w:rPr>
          <w:rFonts w:ascii="Times New Roman" w:hAnsi="Times New Roman" w:cs="Times New Roman"/>
          <w:sz w:val="24"/>
          <w:szCs w:val="24"/>
        </w:rPr>
      </w:pPr>
    </w:p>
    <w:p w14:paraId="6B029AE9" w14:textId="77777777" w:rsidR="004A3B3A" w:rsidRDefault="00033FFB">
      <w:pPr>
        <w:spacing w:after="60" w:line="240" w:lineRule="auto"/>
        <w:jc w:val="both"/>
        <w:rPr>
          <w:rFonts w:ascii="Times New Roman" w:hAnsi="Times New Roman" w:cs="Times New Roman"/>
        </w:rPr>
      </w:pPr>
      <w:r>
        <w:rPr>
          <w:rFonts w:ascii="Times New Roman" w:hAnsi="Times New Roman" w:cs="Times New Roman"/>
          <w:b/>
        </w:rPr>
        <w:t>Tabela 1.</w:t>
      </w:r>
      <w:r>
        <w:rPr>
          <w:rFonts w:ascii="Times New Roman" w:hAnsi="Times New Roman" w:cs="Times New Roman"/>
        </w:rPr>
        <w:t xml:space="preserve"> Características demográficas e socioeconômicas de adultos e idosos diagnosticados com COVID-19, de acordo com a gravidade da doença.</w:t>
      </w:r>
    </w:p>
    <w:tbl>
      <w:tblPr>
        <w:tblStyle w:val="Tabelacomgrade"/>
        <w:tblW w:w="9068" w:type="dxa"/>
        <w:tblInd w:w="-142" w:type="dxa"/>
        <w:tblLayout w:type="fixed"/>
        <w:tblLook w:val="04A0" w:firstRow="1" w:lastRow="0" w:firstColumn="1" w:lastColumn="0" w:noHBand="0" w:noVBand="1"/>
      </w:tblPr>
      <w:tblGrid>
        <w:gridCol w:w="3828"/>
        <w:gridCol w:w="1984"/>
        <w:gridCol w:w="1985"/>
        <w:gridCol w:w="1271"/>
      </w:tblGrid>
      <w:tr w:rsidR="004A3B3A" w14:paraId="652F6A69" w14:textId="77777777">
        <w:tc>
          <w:tcPr>
            <w:tcW w:w="3827" w:type="dxa"/>
            <w:tcBorders>
              <w:left w:val="nil"/>
              <w:bottom w:val="nil"/>
              <w:right w:val="nil"/>
            </w:tcBorders>
          </w:tcPr>
          <w:p w14:paraId="5DFDD5A7" w14:textId="77777777" w:rsidR="004A3B3A" w:rsidRDefault="004A3B3A">
            <w:pPr>
              <w:spacing w:after="60" w:line="240" w:lineRule="auto"/>
              <w:rPr>
                <w:rFonts w:ascii="Times New Roman" w:hAnsi="Times New Roman" w:cs="Times New Roman"/>
                <w:b/>
              </w:rPr>
            </w:pPr>
          </w:p>
        </w:tc>
        <w:tc>
          <w:tcPr>
            <w:tcW w:w="3969" w:type="dxa"/>
            <w:gridSpan w:val="2"/>
            <w:tcBorders>
              <w:left w:val="nil"/>
              <w:right w:val="nil"/>
            </w:tcBorders>
          </w:tcPr>
          <w:p w14:paraId="6DFA4EFE" w14:textId="77777777" w:rsidR="004A3B3A" w:rsidRDefault="00033FFB">
            <w:pPr>
              <w:spacing w:after="60" w:line="240" w:lineRule="auto"/>
              <w:jc w:val="center"/>
              <w:rPr>
                <w:rFonts w:ascii="Times New Roman" w:hAnsi="Times New Roman" w:cs="Times New Roman"/>
                <w:b/>
              </w:rPr>
            </w:pPr>
            <w:r>
              <w:rPr>
                <w:rFonts w:ascii="Times New Roman" w:hAnsi="Times New Roman" w:cs="Times New Roman"/>
                <w:b/>
              </w:rPr>
              <w:t>COVID-19 Grave</w:t>
            </w:r>
          </w:p>
        </w:tc>
        <w:tc>
          <w:tcPr>
            <w:tcW w:w="1271" w:type="dxa"/>
            <w:tcBorders>
              <w:left w:val="nil"/>
              <w:bottom w:val="nil"/>
              <w:right w:val="nil"/>
            </w:tcBorders>
          </w:tcPr>
          <w:p w14:paraId="36B5529F" w14:textId="77777777" w:rsidR="004A3B3A" w:rsidRDefault="004A3B3A">
            <w:pPr>
              <w:spacing w:after="60" w:line="240" w:lineRule="auto"/>
              <w:jc w:val="both"/>
              <w:rPr>
                <w:rFonts w:ascii="Times New Roman" w:hAnsi="Times New Roman" w:cs="Times New Roman"/>
              </w:rPr>
            </w:pPr>
          </w:p>
        </w:tc>
      </w:tr>
      <w:tr w:rsidR="004A3B3A" w14:paraId="0480C71F" w14:textId="77777777">
        <w:tc>
          <w:tcPr>
            <w:tcW w:w="3827" w:type="dxa"/>
            <w:tcBorders>
              <w:top w:val="nil"/>
              <w:left w:val="nil"/>
              <w:right w:val="nil"/>
            </w:tcBorders>
          </w:tcPr>
          <w:p w14:paraId="67123760" w14:textId="77777777" w:rsidR="004A3B3A" w:rsidRDefault="004A3B3A">
            <w:pPr>
              <w:spacing w:after="60" w:line="240" w:lineRule="auto"/>
              <w:rPr>
                <w:rFonts w:ascii="Times New Roman" w:hAnsi="Times New Roman" w:cs="Times New Roman"/>
                <w:b/>
              </w:rPr>
            </w:pPr>
          </w:p>
        </w:tc>
        <w:tc>
          <w:tcPr>
            <w:tcW w:w="1984" w:type="dxa"/>
            <w:tcBorders>
              <w:top w:val="nil"/>
              <w:left w:val="nil"/>
              <w:right w:val="nil"/>
            </w:tcBorders>
          </w:tcPr>
          <w:p w14:paraId="40E35A08" w14:textId="77777777" w:rsidR="004A3B3A" w:rsidRDefault="00033FFB">
            <w:pPr>
              <w:spacing w:after="60" w:line="240" w:lineRule="auto"/>
              <w:jc w:val="center"/>
              <w:rPr>
                <w:rFonts w:ascii="Times New Roman" w:hAnsi="Times New Roman" w:cs="Times New Roman"/>
                <w:b/>
              </w:rPr>
            </w:pPr>
            <w:r>
              <w:rPr>
                <w:rFonts w:ascii="Times New Roman" w:hAnsi="Times New Roman" w:cs="Times New Roman"/>
                <w:b/>
              </w:rPr>
              <w:t>Sim (n=14)</w:t>
            </w:r>
          </w:p>
        </w:tc>
        <w:tc>
          <w:tcPr>
            <w:tcW w:w="1985" w:type="dxa"/>
            <w:tcBorders>
              <w:left w:val="nil"/>
              <w:right w:val="nil"/>
            </w:tcBorders>
          </w:tcPr>
          <w:p w14:paraId="6D01BDEB" w14:textId="77777777" w:rsidR="004A3B3A" w:rsidRDefault="00033FFB">
            <w:pPr>
              <w:spacing w:after="60" w:line="240" w:lineRule="auto"/>
              <w:jc w:val="center"/>
              <w:rPr>
                <w:rFonts w:ascii="Times New Roman" w:hAnsi="Times New Roman" w:cs="Times New Roman"/>
                <w:b/>
              </w:rPr>
            </w:pPr>
            <w:r>
              <w:rPr>
                <w:rFonts w:ascii="Times New Roman" w:hAnsi="Times New Roman" w:cs="Times New Roman"/>
                <w:b/>
              </w:rPr>
              <w:t>Não (n=41)</w:t>
            </w:r>
          </w:p>
        </w:tc>
        <w:tc>
          <w:tcPr>
            <w:tcW w:w="1271" w:type="dxa"/>
            <w:tcBorders>
              <w:top w:val="nil"/>
              <w:left w:val="nil"/>
              <w:right w:val="nil"/>
            </w:tcBorders>
          </w:tcPr>
          <w:p w14:paraId="76DFD87A" w14:textId="77777777" w:rsidR="004A3B3A" w:rsidRDefault="00033FFB">
            <w:pPr>
              <w:spacing w:after="60" w:line="240" w:lineRule="auto"/>
              <w:jc w:val="center"/>
              <w:rPr>
                <w:rFonts w:ascii="Times New Roman" w:hAnsi="Times New Roman" w:cs="Times New Roman"/>
                <w:b/>
              </w:rPr>
            </w:pPr>
            <w:r>
              <w:rPr>
                <w:rFonts w:ascii="Times New Roman" w:hAnsi="Times New Roman" w:cs="Times New Roman"/>
                <w:b/>
              </w:rPr>
              <w:t>p</w:t>
            </w:r>
          </w:p>
        </w:tc>
      </w:tr>
      <w:tr w:rsidR="004A3B3A" w14:paraId="60CC7032" w14:textId="77777777">
        <w:tc>
          <w:tcPr>
            <w:tcW w:w="3827" w:type="dxa"/>
            <w:tcBorders>
              <w:left w:val="nil"/>
              <w:bottom w:val="nil"/>
              <w:right w:val="nil"/>
            </w:tcBorders>
          </w:tcPr>
          <w:p w14:paraId="5B639B0B" w14:textId="77777777" w:rsidR="004A3B3A" w:rsidRDefault="00033FFB">
            <w:pPr>
              <w:spacing w:after="60" w:line="240" w:lineRule="auto"/>
              <w:rPr>
                <w:rFonts w:ascii="Times New Roman" w:hAnsi="Times New Roman" w:cs="Times New Roman"/>
                <w:b/>
              </w:rPr>
            </w:pPr>
            <w:r>
              <w:rPr>
                <w:rFonts w:ascii="Times New Roman" w:hAnsi="Times New Roman" w:cs="Times New Roman"/>
                <w:b/>
              </w:rPr>
              <w:t>Idade (média ± DP)</w:t>
            </w:r>
          </w:p>
        </w:tc>
        <w:tc>
          <w:tcPr>
            <w:tcW w:w="1984" w:type="dxa"/>
            <w:tcBorders>
              <w:left w:val="nil"/>
              <w:bottom w:val="nil"/>
              <w:right w:val="nil"/>
            </w:tcBorders>
          </w:tcPr>
          <w:p w14:paraId="173FEA56" w14:textId="71A4D4DE" w:rsidR="004A3B3A" w:rsidRDefault="00033FFB">
            <w:pPr>
              <w:spacing w:after="60" w:line="240" w:lineRule="auto"/>
              <w:jc w:val="center"/>
              <w:rPr>
                <w:rFonts w:ascii="Times New Roman" w:hAnsi="Times New Roman" w:cs="Times New Roman"/>
              </w:rPr>
            </w:pPr>
            <w:r>
              <w:rPr>
                <w:rFonts w:ascii="Times New Roman" w:hAnsi="Times New Roman" w:cs="Times New Roman"/>
              </w:rPr>
              <w:t>62,0 ± 15,1</w:t>
            </w:r>
          </w:p>
        </w:tc>
        <w:tc>
          <w:tcPr>
            <w:tcW w:w="1985" w:type="dxa"/>
            <w:tcBorders>
              <w:left w:val="nil"/>
              <w:bottom w:val="nil"/>
              <w:right w:val="nil"/>
            </w:tcBorders>
          </w:tcPr>
          <w:p w14:paraId="0A0DA9F4"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50,0 ± 19,1</w:t>
            </w:r>
          </w:p>
        </w:tc>
        <w:tc>
          <w:tcPr>
            <w:tcW w:w="1271" w:type="dxa"/>
            <w:tcBorders>
              <w:left w:val="nil"/>
              <w:bottom w:val="nil"/>
              <w:right w:val="nil"/>
            </w:tcBorders>
          </w:tcPr>
          <w:p w14:paraId="493DBEC5" w14:textId="77777777" w:rsidR="004A3B3A" w:rsidRDefault="00033FFB">
            <w:pPr>
              <w:spacing w:after="60" w:line="240" w:lineRule="auto"/>
              <w:jc w:val="center"/>
              <w:rPr>
                <w:rFonts w:ascii="Times New Roman" w:hAnsi="Times New Roman" w:cs="Times New Roman"/>
                <w:b/>
              </w:rPr>
            </w:pPr>
            <w:r>
              <w:rPr>
                <w:rFonts w:ascii="Times New Roman" w:hAnsi="Times New Roman" w:cs="Times New Roman"/>
                <w:b/>
              </w:rPr>
              <w:t>0,038</w:t>
            </w:r>
            <w:r>
              <w:rPr>
                <w:rFonts w:ascii="Times New Roman" w:hAnsi="Times New Roman" w:cs="Times New Roman"/>
                <w:vertAlign w:val="superscript"/>
              </w:rPr>
              <w:t>1</w:t>
            </w:r>
          </w:p>
        </w:tc>
      </w:tr>
      <w:tr w:rsidR="004A3B3A" w14:paraId="2343D8D1" w14:textId="77777777">
        <w:tc>
          <w:tcPr>
            <w:tcW w:w="3827" w:type="dxa"/>
            <w:tcBorders>
              <w:top w:val="nil"/>
              <w:left w:val="nil"/>
              <w:bottom w:val="nil"/>
              <w:right w:val="nil"/>
            </w:tcBorders>
          </w:tcPr>
          <w:p w14:paraId="1DF905D5" w14:textId="77777777" w:rsidR="004A3B3A" w:rsidRDefault="00033FFB">
            <w:pPr>
              <w:spacing w:after="60" w:line="240" w:lineRule="auto"/>
              <w:rPr>
                <w:rFonts w:ascii="Times New Roman" w:hAnsi="Times New Roman" w:cs="Times New Roman"/>
                <w:b/>
              </w:rPr>
            </w:pPr>
            <w:r>
              <w:rPr>
                <w:rFonts w:ascii="Times New Roman" w:hAnsi="Times New Roman" w:cs="Times New Roman"/>
                <w:b/>
              </w:rPr>
              <w:t>Sexo masculino [</w:t>
            </w:r>
            <w:proofErr w:type="gramStart"/>
            <w:r>
              <w:rPr>
                <w:rFonts w:ascii="Times New Roman" w:hAnsi="Times New Roman" w:cs="Times New Roman"/>
                <w:b/>
              </w:rPr>
              <w:t>n(</w:t>
            </w:r>
            <w:proofErr w:type="gramEnd"/>
            <w:r>
              <w:rPr>
                <w:rFonts w:ascii="Times New Roman" w:hAnsi="Times New Roman" w:cs="Times New Roman"/>
                <w:b/>
              </w:rPr>
              <w:t>%)]</w:t>
            </w:r>
          </w:p>
        </w:tc>
        <w:tc>
          <w:tcPr>
            <w:tcW w:w="1984" w:type="dxa"/>
            <w:tcBorders>
              <w:top w:val="nil"/>
              <w:left w:val="nil"/>
              <w:bottom w:val="nil"/>
              <w:right w:val="nil"/>
            </w:tcBorders>
          </w:tcPr>
          <w:p w14:paraId="756183C8"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6/14 (42,8%)</w:t>
            </w:r>
          </w:p>
        </w:tc>
        <w:tc>
          <w:tcPr>
            <w:tcW w:w="1985" w:type="dxa"/>
            <w:tcBorders>
              <w:top w:val="nil"/>
              <w:left w:val="nil"/>
              <w:bottom w:val="nil"/>
              <w:right w:val="nil"/>
            </w:tcBorders>
          </w:tcPr>
          <w:p w14:paraId="390993D5"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21/41 (51,2%)</w:t>
            </w:r>
          </w:p>
        </w:tc>
        <w:tc>
          <w:tcPr>
            <w:tcW w:w="1271" w:type="dxa"/>
            <w:tcBorders>
              <w:top w:val="nil"/>
              <w:left w:val="nil"/>
              <w:bottom w:val="nil"/>
              <w:right w:val="nil"/>
            </w:tcBorders>
          </w:tcPr>
          <w:p w14:paraId="3F7915BD"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0,589</w:t>
            </w:r>
            <w:r>
              <w:rPr>
                <w:rFonts w:ascii="Times New Roman" w:hAnsi="Times New Roman" w:cs="Times New Roman"/>
                <w:vertAlign w:val="superscript"/>
              </w:rPr>
              <w:t>2</w:t>
            </w:r>
          </w:p>
        </w:tc>
      </w:tr>
      <w:tr w:rsidR="004A3B3A" w14:paraId="2F5F8B40" w14:textId="77777777">
        <w:tc>
          <w:tcPr>
            <w:tcW w:w="3827" w:type="dxa"/>
            <w:tcBorders>
              <w:top w:val="nil"/>
              <w:left w:val="nil"/>
              <w:bottom w:val="nil"/>
              <w:right w:val="nil"/>
            </w:tcBorders>
            <w:shd w:val="clear" w:color="auto" w:fill="auto"/>
          </w:tcPr>
          <w:p w14:paraId="7CE185A4" w14:textId="77777777" w:rsidR="004A3B3A" w:rsidRDefault="00033FFB">
            <w:pPr>
              <w:spacing w:after="60" w:line="240" w:lineRule="auto"/>
              <w:rPr>
                <w:rFonts w:ascii="Times New Roman" w:hAnsi="Times New Roman" w:cs="Times New Roman"/>
                <w:b/>
              </w:rPr>
            </w:pPr>
            <w:r>
              <w:rPr>
                <w:rFonts w:ascii="Times New Roman" w:hAnsi="Times New Roman" w:cs="Times New Roman"/>
                <w:b/>
              </w:rPr>
              <w:t>Cor/raça não branca [</w:t>
            </w:r>
            <w:proofErr w:type="gramStart"/>
            <w:r>
              <w:rPr>
                <w:rFonts w:ascii="Times New Roman" w:hAnsi="Times New Roman" w:cs="Times New Roman"/>
                <w:b/>
              </w:rPr>
              <w:t>n(</w:t>
            </w:r>
            <w:proofErr w:type="gramEnd"/>
            <w:r>
              <w:rPr>
                <w:rFonts w:ascii="Times New Roman" w:hAnsi="Times New Roman" w:cs="Times New Roman"/>
                <w:b/>
              </w:rPr>
              <w:t>%)]</w:t>
            </w:r>
          </w:p>
        </w:tc>
        <w:tc>
          <w:tcPr>
            <w:tcW w:w="1984" w:type="dxa"/>
            <w:tcBorders>
              <w:top w:val="nil"/>
              <w:left w:val="nil"/>
              <w:bottom w:val="nil"/>
              <w:right w:val="nil"/>
            </w:tcBorders>
            <w:shd w:val="clear" w:color="auto" w:fill="auto"/>
          </w:tcPr>
          <w:p w14:paraId="72D0DBDC"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11/14 (78,6%)</w:t>
            </w:r>
          </w:p>
        </w:tc>
        <w:tc>
          <w:tcPr>
            <w:tcW w:w="1985" w:type="dxa"/>
            <w:tcBorders>
              <w:top w:val="nil"/>
              <w:left w:val="nil"/>
              <w:bottom w:val="nil"/>
              <w:right w:val="nil"/>
            </w:tcBorders>
            <w:shd w:val="clear" w:color="auto" w:fill="auto"/>
          </w:tcPr>
          <w:p w14:paraId="518F8DB8"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34/39 (87,2%)</w:t>
            </w:r>
          </w:p>
        </w:tc>
        <w:tc>
          <w:tcPr>
            <w:tcW w:w="1271" w:type="dxa"/>
            <w:tcBorders>
              <w:top w:val="nil"/>
              <w:left w:val="nil"/>
              <w:bottom w:val="nil"/>
              <w:right w:val="nil"/>
            </w:tcBorders>
            <w:shd w:val="clear" w:color="auto" w:fill="auto"/>
          </w:tcPr>
          <w:p w14:paraId="0B3C9CFF"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0,422</w:t>
            </w:r>
            <w:r>
              <w:rPr>
                <w:rFonts w:ascii="Times New Roman" w:hAnsi="Times New Roman" w:cs="Times New Roman"/>
                <w:vertAlign w:val="superscript"/>
              </w:rPr>
              <w:t>2</w:t>
            </w:r>
          </w:p>
        </w:tc>
      </w:tr>
      <w:tr w:rsidR="004A3B3A" w14:paraId="4DE1546B" w14:textId="77777777">
        <w:tc>
          <w:tcPr>
            <w:tcW w:w="3827" w:type="dxa"/>
            <w:tcBorders>
              <w:top w:val="nil"/>
              <w:left w:val="nil"/>
              <w:bottom w:val="nil"/>
              <w:right w:val="nil"/>
            </w:tcBorders>
          </w:tcPr>
          <w:p w14:paraId="7F6DDAF5" w14:textId="77777777" w:rsidR="004A3B3A" w:rsidRDefault="00033FFB">
            <w:pPr>
              <w:spacing w:after="60" w:line="240" w:lineRule="auto"/>
              <w:rPr>
                <w:rFonts w:ascii="Times New Roman" w:hAnsi="Times New Roman" w:cs="Times New Roman"/>
                <w:b/>
              </w:rPr>
            </w:pPr>
            <w:r>
              <w:rPr>
                <w:rFonts w:ascii="Times New Roman" w:hAnsi="Times New Roman" w:cs="Times New Roman"/>
                <w:b/>
              </w:rPr>
              <w:t>Desempregado/ trabalho informal* [</w:t>
            </w:r>
            <w:proofErr w:type="gramStart"/>
            <w:r>
              <w:rPr>
                <w:rFonts w:ascii="Times New Roman" w:hAnsi="Times New Roman" w:cs="Times New Roman"/>
                <w:b/>
              </w:rPr>
              <w:t>n(</w:t>
            </w:r>
            <w:proofErr w:type="gramEnd"/>
            <w:r>
              <w:rPr>
                <w:rFonts w:ascii="Times New Roman" w:hAnsi="Times New Roman" w:cs="Times New Roman"/>
                <w:b/>
              </w:rPr>
              <w:t>%)]</w:t>
            </w:r>
          </w:p>
        </w:tc>
        <w:tc>
          <w:tcPr>
            <w:tcW w:w="1984" w:type="dxa"/>
            <w:tcBorders>
              <w:top w:val="nil"/>
              <w:left w:val="nil"/>
              <w:bottom w:val="nil"/>
              <w:right w:val="nil"/>
            </w:tcBorders>
          </w:tcPr>
          <w:p w14:paraId="3475D880"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12/14 (85,7%)</w:t>
            </w:r>
          </w:p>
        </w:tc>
        <w:tc>
          <w:tcPr>
            <w:tcW w:w="1985" w:type="dxa"/>
            <w:tcBorders>
              <w:top w:val="nil"/>
              <w:left w:val="nil"/>
              <w:bottom w:val="nil"/>
              <w:right w:val="nil"/>
            </w:tcBorders>
          </w:tcPr>
          <w:p w14:paraId="27FF64C4"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15/41 (36,6%)</w:t>
            </w:r>
          </w:p>
        </w:tc>
        <w:tc>
          <w:tcPr>
            <w:tcW w:w="1271" w:type="dxa"/>
            <w:tcBorders>
              <w:top w:val="nil"/>
              <w:left w:val="nil"/>
              <w:bottom w:val="nil"/>
              <w:right w:val="nil"/>
            </w:tcBorders>
          </w:tcPr>
          <w:p w14:paraId="0BC98ADF" w14:textId="77777777" w:rsidR="004A3B3A" w:rsidRDefault="00033FFB">
            <w:pPr>
              <w:spacing w:after="60" w:line="240" w:lineRule="auto"/>
              <w:jc w:val="center"/>
              <w:rPr>
                <w:rFonts w:ascii="Times New Roman" w:hAnsi="Times New Roman" w:cs="Times New Roman"/>
                <w:b/>
              </w:rPr>
            </w:pPr>
            <w:r>
              <w:rPr>
                <w:rFonts w:ascii="Times New Roman" w:hAnsi="Times New Roman" w:cs="Times New Roman"/>
                <w:b/>
              </w:rPr>
              <w:t>0,002</w:t>
            </w:r>
            <w:r>
              <w:rPr>
                <w:rFonts w:ascii="Times New Roman" w:hAnsi="Times New Roman" w:cs="Times New Roman"/>
                <w:vertAlign w:val="superscript"/>
              </w:rPr>
              <w:t>2</w:t>
            </w:r>
          </w:p>
        </w:tc>
      </w:tr>
      <w:tr w:rsidR="004A3B3A" w14:paraId="2E7DB995" w14:textId="77777777">
        <w:tc>
          <w:tcPr>
            <w:tcW w:w="3827" w:type="dxa"/>
            <w:tcBorders>
              <w:top w:val="nil"/>
              <w:left w:val="nil"/>
              <w:bottom w:val="nil"/>
              <w:right w:val="nil"/>
            </w:tcBorders>
          </w:tcPr>
          <w:p w14:paraId="58706AAE" w14:textId="77777777" w:rsidR="004A3B3A" w:rsidRDefault="00033FFB">
            <w:pPr>
              <w:spacing w:after="60" w:line="240" w:lineRule="auto"/>
              <w:rPr>
                <w:rFonts w:ascii="Times New Roman" w:hAnsi="Times New Roman" w:cs="Times New Roman"/>
                <w:b/>
              </w:rPr>
            </w:pPr>
            <w:r>
              <w:rPr>
                <w:rFonts w:ascii="Times New Roman" w:hAnsi="Times New Roman" w:cs="Times New Roman"/>
                <w:b/>
              </w:rPr>
              <w:t>Renda inferior a 1 SM (R$ 1045,00) [</w:t>
            </w:r>
            <w:proofErr w:type="gramStart"/>
            <w:r>
              <w:rPr>
                <w:rFonts w:ascii="Times New Roman" w:hAnsi="Times New Roman" w:cs="Times New Roman"/>
                <w:b/>
              </w:rPr>
              <w:t>n(</w:t>
            </w:r>
            <w:proofErr w:type="gramEnd"/>
            <w:r>
              <w:rPr>
                <w:rFonts w:ascii="Times New Roman" w:hAnsi="Times New Roman" w:cs="Times New Roman"/>
                <w:b/>
              </w:rPr>
              <w:t>%)]</w:t>
            </w:r>
          </w:p>
        </w:tc>
        <w:tc>
          <w:tcPr>
            <w:tcW w:w="1984" w:type="dxa"/>
            <w:tcBorders>
              <w:top w:val="nil"/>
              <w:left w:val="nil"/>
              <w:bottom w:val="nil"/>
              <w:right w:val="nil"/>
            </w:tcBorders>
          </w:tcPr>
          <w:p w14:paraId="6BB97EEF"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1/13 (7,7%)</w:t>
            </w:r>
          </w:p>
        </w:tc>
        <w:tc>
          <w:tcPr>
            <w:tcW w:w="1985" w:type="dxa"/>
            <w:tcBorders>
              <w:top w:val="nil"/>
              <w:left w:val="nil"/>
              <w:bottom w:val="nil"/>
              <w:right w:val="nil"/>
            </w:tcBorders>
          </w:tcPr>
          <w:p w14:paraId="46477BFA"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6/35 (17,1%)</w:t>
            </w:r>
          </w:p>
        </w:tc>
        <w:tc>
          <w:tcPr>
            <w:tcW w:w="1271" w:type="dxa"/>
            <w:tcBorders>
              <w:top w:val="nil"/>
              <w:left w:val="nil"/>
              <w:bottom w:val="nil"/>
              <w:right w:val="nil"/>
            </w:tcBorders>
          </w:tcPr>
          <w:p w14:paraId="3F6C080D"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0,656</w:t>
            </w:r>
            <w:r>
              <w:rPr>
                <w:rFonts w:ascii="Times New Roman" w:hAnsi="Times New Roman" w:cs="Times New Roman"/>
                <w:vertAlign w:val="superscript"/>
              </w:rPr>
              <w:t>3</w:t>
            </w:r>
          </w:p>
        </w:tc>
      </w:tr>
      <w:tr w:rsidR="004A3B3A" w14:paraId="74F9610C" w14:textId="77777777">
        <w:tc>
          <w:tcPr>
            <w:tcW w:w="3827" w:type="dxa"/>
            <w:tcBorders>
              <w:top w:val="nil"/>
              <w:left w:val="nil"/>
              <w:right w:val="nil"/>
            </w:tcBorders>
          </w:tcPr>
          <w:p w14:paraId="28456152" w14:textId="77777777" w:rsidR="004A3B3A" w:rsidRDefault="00033FFB">
            <w:pPr>
              <w:spacing w:after="60" w:line="240" w:lineRule="auto"/>
              <w:rPr>
                <w:rFonts w:ascii="Times New Roman" w:hAnsi="Times New Roman" w:cs="Times New Roman"/>
                <w:b/>
              </w:rPr>
            </w:pPr>
            <w:r>
              <w:rPr>
                <w:rFonts w:ascii="Times New Roman" w:hAnsi="Times New Roman" w:cs="Times New Roman"/>
                <w:b/>
              </w:rPr>
              <w:t xml:space="preserve">Escolaridade </w:t>
            </w:r>
            <w:r>
              <w:rPr>
                <w:rFonts w:ascii="Symbol" w:eastAsia="Symbol" w:hAnsi="Symbol" w:cs="Symbol"/>
                <w:b/>
              </w:rPr>
              <w:t></w:t>
            </w:r>
            <w:r>
              <w:rPr>
                <w:rFonts w:ascii="Times New Roman" w:hAnsi="Times New Roman" w:cs="Times New Roman"/>
                <w:b/>
              </w:rPr>
              <w:t>8 anos [</w:t>
            </w:r>
            <w:proofErr w:type="gramStart"/>
            <w:r>
              <w:rPr>
                <w:rFonts w:ascii="Times New Roman" w:hAnsi="Times New Roman" w:cs="Times New Roman"/>
                <w:b/>
              </w:rPr>
              <w:t>n(</w:t>
            </w:r>
            <w:proofErr w:type="gramEnd"/>
            <w:r>
              <w:rPr>
                <w:rFonts w:ascii="Times New Roman" w:hAnsi="Times New Roman" w:cs="Times New Roman"/>
                <w:b/>
              </w:rPr>
              <w:t>%)]</w:t>
            </w:r>
          </w:p>
        </w:tc>
        <w:tc>
          <w:tcPr>
            <w:tcW w:w="1984" w:type="dxa"/>
            <w:tcBorders>
              <w:top w:val="nil"/>
              <w:left w:val="nil"/>
              <w:right w:val="nil"/>
            </w:tcBorders>
          </w:tcPr>
          <w:p w14:paraId="08B3589D"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4/14 (28,6%)</w:t>
            </w:r>
          </w:p>
        </w:tc>
        <w:tc>
          <w:tcPr>
            <w:tcW w:w="1985" w:type="dxa"/>
            <w:tcBorders>
              <w:top w:val="nil"/>
              <w:left w:val="nil"/>
              <w:right w:val="nil"/>
            </w:tcBorders>
          </w:tcPr>
          <w:p w14:paraId="635B3FFF"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19/41 (46,3%)</w:t>
            </w:r>
          </w:p>
        </w:tc>
        <w:tc>
          <w:tcPr>
            <w:tcW w:w="1271" w:type="dxa"/>
            <w:tcBorders>
              <w:top w:val="nil"/>
              <w:left w:val="nil"/>
              <w:right w:val="nil"/>
            </w:tcBorders>
          </w:tcPr>
          <w:p w14:paraId="3EB305FC"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0,350</w:t>
            </w:r>
            <w:r>
              <w:rPr>
                <w:rFonts w:ascii="Times New Roman" w:hAnsi="Times New Roman" w:cs="Times New Roman"/>
                <w:vertAlign w:val="superscript"/>
              </w:rPr>
              <w:t>3</w:t>
            </w:r>
          </w:p>
        </w:tc>
      </w:tr>
    </w:tbl>
    <w:p w14:paraId="1E0CF4A9" w14:textId="77777777" w:rsidR="004A3B3A" w:rsidRDefault="00033FFB">
      <w:pPr>
        <w:spacing w:after="6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Teste t de </w:t>
      </w:r>
      <w:proofErr w:type="spellStart"/>
      <w:r>
        <w:rPr>
          <w:rFonts w:ascii="Times New Roman" w:hAnsi="Times New Roman" w:cs="Times New Roman"/>
          <w:sz w:val="20"/>
          <w:szCs w:val="20"/>
        </w:rPr>
        <w:t>Student</w:t>
      </w:r>
      <w:proofErr w:type="spellEnd"/>
      <w:r>
        <w:rPr>
          <w:rFonts w:ascii="Times New Roman" w:hAnsi="Times New Roman" w:cs="Times New Roman"/>
          <w:sz w:val="20"/>
          <w:szCs w:val="20"/>
        </w:rPr>
        <w:t xml:space="preserve">; </w:t>
      </w:r>
      <w:r>
        <w:rPr>
          <w:rFonts w:ascii="Times New Roman" w:hAnsi="Times New Roman" w:cs="Times New Roman"/>
          <w:sz w:val="20"/>
          <w:szCs w:val="20"/>
          <w:vertAlign w:val="superscript"/>
        </w:rPr>
        <w:t>2</w:t>
      </w:r>
      <w:r>
        <w:rPr>
          <w:rFonts w:ascii="Times New Roman" w:hAnsi="Times New Roman" w:cs="Times New Roman"/>
          <w:sz w:val="20"/>
          <w:szCs w:val="20"/>
        </w:rPr>
        <w:t xml:space="preserve">Qui-quadrado de Pearson; </w:t>
      </w:r>
      <w:r>
        <w:rPr>
          <w:rFonts w:ascii="Times New Roman" w:hAnsi="Times New Roman" w:cs="Times New Roman"/>
          <w:sz w:val="20"/>
          <w:szCs w:val="20"/>
          <w:vertAlign w:val="superscript"/>
        </w:rPr>
        <w:t>3</w:t>
      </w:r>
      <w:r>
        <w:rPr>
          <w:rFonts w:ascii="Times New Roman" w:hAnsi="Times New Roman" w:cs="Times New Roman"/>
          <w:sz w:val="20"/>
          <w:szCs w:val="20"/>
        </w:rPr>
        <w:t>Teste exato de Fisher. p</w:t>
      </w:r>
      <w:r>
        <w:rPr>
          <w:rFonts w:ascii="Symbol" w:eastAsia="Symbol" w:hAnsi="Symbol" w:cs="Symbol"/>
          <w:sz w:val="20"/>
          <w:szCs w:val="20"/>
        </w:rPr>
        <w:t></w:t>
      </w:r>
      <w:r>
        <w:rPr>
          <w:rFonts w:ascii="Times New Roman" w:hAnsi="Times New Roman" w:cs="Times New Roman"/>
          <w:sz w:val="20"/>
          <w:szCs w:val="20"/>
        </w:rPr>
        <w:t>0,05 como estatisticamente significante. DP: desvio-padrão; SM: salário mínimo.</w:t>
      </w:r>
    </w:p>
    <w:p w14:paraId="7212AF10" w14:textId="77777777" w:rsidR="004A3B3A" w:rsidRDefault="004A3B3A">
      <w:pPr>
        <w:spacing w:after="0" w:line="360" w:lineRule="auto"/>
        <w:jc w:val="both"/>
        <w:rPr>
          <w:rFonts w:ascii="Times New Roman" w:hAnsi="Times New Roman" w:cs="Times New Roman"/>
          <w:sz w:val="24"/>
          <w:szCs w:val="24"/>
        </w:rPr>
      </w:pPr>
    </w:p>
    <w:p w14:paraId="51D2F771" w14:textId="77777777" w:rsidR="004A3B3A" w:rsidRDefault="00033FFB">
      <w:pPr>
        <w:spacing w:after="60" w:line="240" w:lineRule="auto"/>
        <w:jc w:val="both"/>
        <w:rPr>
          <w:rFonts w:ascii="Times New Roman" w:hAnsi="Times New Roman" w:cs="Times New Roman"/>
        </w:rPr>
      </w:pPr>
      <w:r>
        <w:rPr>
          <w:rFonts w:ascii="Times New Roman" w:hAnsi="Times New Roman" w:cs="Times New Roman"/>
          <w:b/>
        </w:rPr>
        <w:t>Tabela 2.</w:t>
      </w:r>
      <w:r>
        <w:rPr>
          <w:rFonts w:ascii="Times New Roman" w:hAnsi="Times New Roman" w:cs="Times New Roman"/>
        </w:rPr>
        <w:t xml:space="preserve"> Caracterização de medidas preventivas para infecção por COVID-19 e comorbidades prévias em adultos e idosos diagnosticados, de acordo com a gravidade da doença.</w:t>
      </w:r>
    </w:p>
    <w:tbl>
      <w:tblPr>
        <w:tblStyle w:val="Tabelacomgrade"/>
        <w:tblW w:w="9068" w:type="dxa"/>
        <w:tblInd w:w="-142" w:type="dxa"/>
        <w:tblLayout w:type="fixed"/>
        <w:tblLook w:val="04A0" w:firstRow="1" w:lastRow="0" w:firstColumn="1" w:lastColumn="0" w:noHBand="0" w:noVBand="1"/>
      </w:tblPr>
      <w:tblGrid>
        <w:gridCol w:w="3828"/>
        <w:gridCol w:w="1984"/>
        <w:gridCol w:w="2268"/>
        <w:gridCol w:w="988"/>
      </w:tblGrid>
      <w:tr w:rsidR="004A3B3A" w14:paraId="4DA92C9F" w14:textId="77777777">
        <w:trPr>
          <w:trHeight w:val="284"/>
        </w:trPr>
        <w:tc>
          <w:tcPr>
            <w:tcW w:w="3827" w:type="dxa"/>
            <w:tcBorders>
              <w:left w:val="nil"/>
              <w:bottom w:val="nil"/>
              <w:right w:val="nil"/>
            </w:tcBorders>
          </w:tcPr>
          <w:p w14:paraId="256B82FE" w14:textId="77777777" w:rsidR="004A3B3A" w:rsidRDefault="004A3B3A">
            <w:pPr>
              <w:spacing w:after="60" w:line="240" w:lineRule="auto"/>
              <w:rPr>
                <w:rFonts w:ascii="Times New Roman" w:hAnsi="Times New Roman" w:cs="Times New Roman"/>
                <w:b/>
              </w:rPr>
            </w:pPr>
          </w:p>
        </w:tc>
        <w:tc>
          <w:tcPr>
            <w:tcW w:w="4252" w:type="dxa"/>
            <w:gridSpan w:val="2"/>
            <w:tcBorders>
              <w:left w:val="nil"/>
              <w:right w:val="nil"/>
            </w:tcBorders>
          </w:tcPr>
          <w:p w14:paraId="288D150E" w14:textId="77777777" w:rsidR="004A3B3A" w:rsidRDefault="00033FFB">
            <w:pPr>
              <w:spacing w:after="60" w:line="240" w:lineRule="auto"/>
              <w:jc w:val="center"/>
              <w:rPr>
                <w:rFonts w:ascii="Times New Roman" w:hAnsi="Times New Roman" w:cs="Times New Roman"/>
                <w:b/>
              </w:rPr>
            </w:pPr>
            <w:r>
              <w:rPr>
                <w:rFonts w:ascii="Times New Roman" w:hAnsi="Times New Roman" w:cs="Times New Roman"/>
                <w:b/>
              </w:rPr>
              <w:t>COVID-19 Grave</w:t>
            </w:r>
          </w:p>
        </w:tc>
        <w:tc>
          <w:tcPr>
            <w:tcW w:w="988" w:type="dxa"/>
            <w:tcBorders>
              <w:left w:val="nil"/>
              <w:bottom w:val="nil"/>
              <w:right w:val="nil"/>
            </w:tcBorders>
          </w:tcPr>
          <w:p w14:paraId="476D7834" w14:textId="77777777" w:rsidR="004A3B3A" w:rsidRDefault="004A3B3A">
            <w:pPr>
              <w:spacing w:after="60" w:line="240" w:lineRule="auto"/>
              <w:jc w:val="both"/>
              <w:rPr>
                <w:rFonts w:ascii="Times New Roman" w:hAnsi="Times New Roman" w:cs="Times New Roman"/>
              </w:rPr>
            </w:pPr>
          </w:p>
        </w:tc>
      </w:tr>
      <w:tr w:rsidR="004A3B3A" w14:paraId="5C672505" w14:textId="77777777">
        <w:trPr>
          <w:trHeight w:val="284"/>
        </w:trPr>
        <w:tc>
          <w:tcPr>
            <w:tcW w:w="3827" w:type="dxa"/>
            <w:tcBorders>
              <w:top w:val="nil"/>
              <w:left w:val="nil"/>
              <w:right w:val="nil"/>
            </w:tcBorders>
          </w:tcPr>
          <w:p w14:paraId="6E219F68" w14:textId="77777777" w:rsidR="004A3B3A" w:rsidRDefault="004A3B3A">
            <w:pPr>
              <w:spacing w:after="60" w:line="240" w:lineRule="auto"/>
              <w:rPr>
                <w:rFonts w:ascii="Times New Roman" w:hAnsi="Times New Roman" w:cs="Times New Roman"/>
                <w:b/>
              </w:rPr>
            </w:pPr>
          </w:p>
        </w:tc>
        <w:tc>
          <w:tcPr>
            <w:tcW w:w="1984" w:type="dxa"/>
            <w:tcBorders>
              <w:top w:val="nil"/>
              <w:left w:val="nil"/>
              <w:right w:val="nil"/>
            </w:tcBorders>
          </w:tcPr>
          <w:p w14:paraId="1AED5C35" w14:textId="77777777" w:rsidR="004A3B3A" w:rsidRDefault="00033FFB">
            <w:pPr>
              <w:spacing w:after="60" w:line="240" w:lineRule="auto"/>
              <w:jc w:val="center"/>
              <w:rPr>
                <w:rFonts w:ascii="Times New Roman" w:hAnsi="Times New Roman" w:cs="Times New Roman"/>
                <w:b/>
              </w:rPr>
            </w:pPr>
            <w:r>
              <w:rPr>
                <w:rFonts w:ascii="Times New Roman" w:hAnsi="Times New Roman" w:cs="Times New Roman"/>
                <w:b/>
              </w:rPr>
              <w:t>Sim (n=14)</w:t>
            </w:r>
          </w:p>
        </w:tc>
        <w:tc>
          <w:tcPr>
            <w:tcW w:w="2268" w:type="dxa"/>
            <w:tcBorders>
              <w:left w:val="nil"/>
              <w:right w:val="nil"/>
            </w:tcBorders>
          </w:tcPr>
          <w:p w14:paraId="1EF727CF" w14:textId="77777777" w:rsidR="004A3B3A" w:rsidRDefault="00033FFB">
            <w:pPr>
              <w:spacing w:after="60" w:line="240" w:lineRule="auto"/>
              <w:jc w:val="center"/>
              <w:rPr>
                <w:rFonts w:ascii="Times New Roman" w:hAnsi="Times New Roman" w:cs="Times New Roman"/>
                <w:b/>
              </w:rPr>
            </w:pPr>
            <w:r>
              <w:rPr>
                <w:rFonts w:ascii="Times New Roman" w:hAnsi="Times New Roman" w:cs="Times New Roman"/>
                <w:b/>
              </w:rPr>
              <w:t>Não (n=41)</w:t>
            </w:r>
          </w:p>
        </w:tc>
        <w:tc>
          <w:tcPr>
            <w:tcW w:w="988" w:type="dxa"/>
            <w:tcBorders>
              <w:top w:val="nil"/>
              <w:left w:val="nil"/>
              <w:right w:val="nil"/>
            </w:tcBorders>
          </w:tcPr>
          <w:p w14:paraId="0ABEFFC7" w14:textId="77777777" w:rsidR="004A3B3A" w:rsidRDefault="00033FFB">
            <w:pPr>
              <w:spacing w:after="60" w:line="240" w:lineRule="auto"/>
              <w:jc w:val="center"/>
              <w:rPr>
                <w:rFonts w:ascii="Times New Roman" w:hAnsi="Times New Roman" w:cs="Times New Roman"/>
                <w:b/>
              </w:rPr>
            </w:pPr>
            <w:r>
              <w:rPr>
                <w:rFonts w:ascii="Times New Roman" w:hAnsi="Times New Roman" w:cs="Times New Roman"/>
                <w:b/>
              </w:rPr>
              <w:t>p</w:t>
            </w:r>
          </w:p>
        </w:tc>
      </w:tr>
      <w:tr w:rsidR="004A3B3A" w14:paraId="3000B81A" w14:textId="77777777">
        <w:trPr>
          <w:trHeight w:val="284"/>
        </w:trPr>
        <w:tc>
          <w:tcPr>
            <w:tcW w:w="3827" w:type="dxa"/>
            <w:tcBorders>
              <w:top w:val="nil"/>
              <w:left w:val="nil"/>
              <w:bottom w:val="nil"/>
              <w:right w:val="nil"/>
            </w:tcBorders>
          </w:tcPr>
          <w:p w14:paraId="7C0425B4" w14:textId="77777777" w:rsidR="004A3B3A" w:rsidRDefault="00033FFB">
            <w:pPr>
              <w:spacing w:after="60" w:line="240" w:lineRule="auto"/>
              <w:rPr>
                <w:rFonts w:ascii="Times New Roman" w:hAnsi="Times New Roman" w:cs="Times New Roman"/>
                <w:b/>
              </w:rPr>
            </w:pPr>
            <w:r>
              <w:rPr>
                <w:rFonts w:ascii="Times New Roman" w:hAnsi="Times New Roman" w:cs="Times New Roman"/>
                <w:b/>
              </w:rPr>
              <w:t>Demora a buscar serviço de saúde (≥1 semana) [</w:t>
            </w:r>
            <w:proofErr w:type="gramStart"/>
            <w:r>
              <w:rPr>
                <w:rFonts w:ascii="Times New Roman" w:hAnsi="Times New Roman" w:cs="Times New Roman"/>
                <w:b/>
              </w:rPr>
              <w:t>n(</w:t>
            </w:r>
            <w:proofErr w:type="gramEnd"/>
            <w:r>
              <w:rPr>
                <w:rFonts w:ascii="Times New Roman" w:hAnsi="Times New Roman" w:cs="Times New Roman"/>
                <w:b/>
              </w:rPr>
              <w:t>%)]</w:t>
            </w:r>
          </w:p>
        </w:tc>
        <w:tc>
          <w:tcPr>
            <w:tcW w:w="1984" w:type="dxa"/>
            <w:tcBorders>
              <w:top w:val="nil"/>
              <w:left w:val="nil"/>
              <w:bottom w:val="nil"/>
              <w:right w:val="nil"/>
            </w:tcBorders>
          </w:tcPr>
          <w:p w14:paraId="46275204"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5/14 (35,7%)</w:t>
            </w:r>
          </w:p>
        </w:tc>
        <w:tc>
          <w:tcPr>
            <w:tcW w:w="2268" w:type="dxa"/>
            <w:tcBorders>
              <w:top w:val="nil"/>
              <w:left w:val="nil"/>
              <w:bottom w:val="nil"/>
              <w:right w:val="nil"/>
            </w:tcBorders>
          </w:tcPr>
          <w:p w14:paraId="6D824562"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6/41 (14,6%)</w:t>
            </w:r>
          </w:p>
        </w:tc>
        <w:tc>
          <w:tcPr>
            <w:tcW w:w="988" w:type="dxa"/>
            <w:tcBorders>
              <w:top w:val="nil"/>
              <w:left w:val="nil"/>
              <w:bottom w:val="nil"/>
              <w:right w:val="nil"/>
            </w:tcBorders>
          </w:tcPr>
          <w:p w14:paraId="39ACA9F4"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0,091</w:t>
            </w:r>
            <w:r>
              <w:rPr>
                <w:rFonts w:ascii="Times New Roman" w:hAnsi="Times New Roman" w:cs="Times New Roman"/>
                <w:vertAlign w:val="superscript"/>
              </w:rPr>
              <w:t>1</w:t>
            </w:r>
          </w:p>
        </w:tc>
      </w:tr>
      <w:tr w:rsidR="004A3B3A" w14:paraId="52180B11" w14:textId="77777777">
        <w:trPr>
          <w:trHeight w:val="284"/>
        </w:trPr>
        <w:tc>
          <w:tcPr>
            <w:tcW w:w="3827" w:type="dxa"/>
            <w:tcBorders>
              <w:top w:val="nil"/>
              <w:left w:val="nil"/>
              <w:bottom w:val="nil"/>
              <w:right w:val="nil"/>
            </w:tcBorders>
          </w:tcPr>
          <w:p w14:paraId="26A39BB5" w14:textId="77777777" w:rsidR="004A3B3A" w:rsidRDefault="00033FFB">
            <w:pPr>
              <w:spacing w:after="60" w:line="240" w:lineRule="auto"/>
              <w:rPr>
                <w:rFonts w:ascii="Times New Roman" w:hAnsi="Times New Roman" w:cs="Times New Roman"/>
                <w:b/>
              </w:rPr>
            </w:pPr>
            <w:r>
              <w:rPr>
                <w:rFonts w:ascii="Times New Roman" w:hAnsi="Times New Roman" w:cs="Times New Roman"/>
                <w:b/>
              </w:rPr>
              <w:t>Distanciamento físico inadequado [</w:t>
            </w:r>
            <w:proofErr w:type="gramStart"/>
            <w:r>
              <w:rPr>
                <w:rFonts w:ascii="Times New Roman" w:hAnsi="Times New Roman" w:cs="Times New Roman"/>
                <w:b/>
              </w:rPr>
              <w:t>n(</w:t>
            </w:r>
            <w:proofErr w:type="gramEnd"/>
            <w:r>
              <w:rPr>
                <w:rFonts w:ascii="Times New Roman" w:hAnsi="Times New Roman" w:cs="Times New Roman"/>
                <w:b/>
              </w:rPr>
              <w:t>%)]</w:t>
            </w:r>
          </w:p>
        </w:tc>
        <w:tc>
          <w:tcPr>
            <w:tcW w:w="1984" w:type="dxa"/>
            <w:tcBorders>
              <w:top w:val="nil"/>
              <w:left w:val="nil"/>
              <w:bottom w:val="nil"/>
              <w:right w:val="nil"/>
            </w:tcBorders>
          </w:tcPr>
          <w:p w14:paraId="6D99358F"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5/14 (35,7%)</w:t>
            </w:r>
          </w:p>
          <w:p w14:paraId="29A8A1BE" w14:textId="77777777" w:rsidR="004A3B3A" w:rsidRDefault="004A3B3A">
            <w:pPr>
              <w:spacing w:after="60" w:line="240" w:lineRule="auto"/>
              <w:jc w:val="center"/>
              <w:rPr>
                <w:rFonts w:ascii="Times New Roman" w:hAnsi="Times New Roman" w:cs="Times New Roman"/>
              </w:rPr>
            </w:pPr>
          </w:p>
        </w:tc>
        <w:tc>
          <w:tcPr>
            <w:tcW w:w="2268" w:type="dxa"/>
            <w:tcBorders>
              <w:top w:val="nil"/>
              <w:left w:val="nil"/>
              <w:bottom w:val="nil"/>
              <w:right w:val="nil"/>
            </w:tcBorders>
          </w:tcPr>
          <w:p w14:paraId="4551B3FD"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22/41 (53,6%)</w:t>
            </w:r>
          </w:p>
        </w:tc>
        <w:tc>
          <w:tcPr>
            <w:tcW w:w="988" w:type="dxa"/>
            <w:tcBorders>
              <w:top w:val="nil"/>
              <w:left w:val="nil"/>
              <w:bottom w:val="nil"/>
              <w:right w:val="nil"/>
            </w:tcBorders>
          </w:tcPr>
          <w:p w14:paraId="6A72D310"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0,250</w:t>
            </w:r>
            <w:r>
              <w:rPr>
                <w:rFonts w:ascii="Times New Roman" w:hAnsi="Times New Roman" w:cs="Times New Roman"/>
                <w:vertAlign w:val="superscript"/>
              </w:rPr>
              <w:t>1</w:t>
            </w:r>
          </w:p>
        </w:tc>
      </w:tr>
      <w:tr w:rsidR="004A3B3A" w14:paraId="77CA9007" w14:textId="77777777">
        <w:trPr>
          <w:trHeight w:val="284"/>
        </w:trPr>
        <w:tc>
          <w:tcPr>
            <w:tcW w:w="3827" w:type="dxa"/>
            <w:tcBorders>
              <w:top w:val="nil"/>
              <w:left w:val="nil"/>
              <w:bottom w:val="nil"/>
              <w:right w:val="nil"/>
            </w:tcBorders>
          </w:tcPr>
          <w:p w14:paraId="7F6D677C" w14:textId="77777777" w:rsidR="004A3B3A" w:rsidRDefault="00033FFB">
            <w:pPr>
              <w:spacing w:after="60" w:line="240" w:lineRule="auto"/>
              <w:rPr>
                <w:rFonts w:ascii="Times New Roman" w:hAnsi="Times New Roman" w:cs="Times New Roman"/>
                <w:b/>
              </w:rPr>
            </w:pPr>
            <w:r>
              <w:rPr>
                <w:rFonts w:ascii="Times New Roman" w:hAnsi="Times New Roman" w:cs="Times New Roman"/>
                <w:b/>
              </w:rPr>
              <w:t>Uso incorreto de máscara facial [</w:t>
            </w:r>
            <w:proofErr w:type="gramStart"/>
            <w:r>
              <w:rPr>
                <w:rFonts w:ascii="Times New Roman" w:hAnsi="Times New Roman" w:cs="Times New Roman"/>
                <w:b/>
              </w:rPr>
              <w:t>n(</w:t>
            </w:r>
            <w:proofErr w:type="gramEnd"/>
            <w:r>
              <w:rPr>
                <w:rFonts w:ascii="Times New Roman" w:hAnsi="Times New Roman" w:cs="Times New Roman"/>
                <w:b/>
              </w:rPr>
              <w:t>%)]</w:t>
            </w:r>
          </w:p>
        </w:tc>
        <w:tc>
          <w:tcPr>
            <w:tcW w:w="1984" w:type="dxa"/>
            <w:tcBorders>
              <w:top w:val="nil"/>
              <w:left w:val="nil"/>
              <w:bottom w:val="nil"/>
              <w:right w:val="nil"/>
            </w:tcBorders>
          </w:tcPr>
          <w:p w14:paraId="2327F7DC"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2/14 (14,3%)</w:t>
            </w:r>
          </w:p>
        </w:tc>
        <w:tc>
          <w:tcPr>
            <w:tcW w:w="2268" w:type="dxa"/>
            <w:tcBorders>
              <w:top w:val="nil"/>
              <w:left w:val="nil"/>
              <w:bottom w:val="nil"/>
              <w:right w:val="nil"/>
            </w:tcBorders>
          </w:tcPr>
          <w:p w14:paraId="4F5C777B"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8/41 (19,5)</w:t>
            </w:r>
          </w:p>
        </w:tc>
        <w:tc>
          <w:tcPr>
            <w:tcW w:w="988" w:type="dxa"/>
            <w:tcBorders>
              <w:top w:val="nil"/>
              <w:left w:val="nil"/>
              <w:bottom w:val="nil"/>
              <w:right w:val="nil"/>
            </w:tcBorders>
          </w:tcPr>
          <w:p w14:paraId="29608B3E"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1,000</w:t>
            </w:r>
            <w:r>
              <w:rPr>
                <w:rFonts w:ascii="Times New Roman" w:hAnsi="Times New Roman" w:cs="Times New Roman"/>
                <w:vertAlign w:val="superscript"/>
              </w:rPr>
              <w:t>2</w:t>
            </w:r>
          </w:p>
        </w:tc>
      </w:tr>
      <w:tr w:rsidR="004A3B3A" w14:paraId="4314103E" w14:textId="77777777">
        <w:trPr>
          <w:trHeight w:val="284"/>
        </w:trPr>
        <w:tc>
          <w:tcPr>
            <w:tcW w:w="3827" w:type="dxa"/>
            <w:tcBorders>
              <w:top w:val="nil"/>
              <w:left w:val="nil"/>
              <w:bottom w:val="nil"/>
              <w:right w:val="nil"/>
            </w:tcBorders>
          </w:tcPr>
          <w:p w14:paraId="310459D3" w14:textId="77777777" w:rsidR="004A3B3A" w:rsidRDefault="00033FFB">
            <w:pPr>
              <w:spacing w:after="60" w:line="240" w:lineRule="auto"/>
              <w:rPr>
                <w:rFonts w:ascii="Times New Roman" w:hAnsi="Times New Roman" w:cs="Times New Roman"/>
                <w:b/>
              </w:rPr>
            </w:pPr>
            <w:r>
              <w:rPr>
                <w:rFonts w:ascii="Times New Roman" w:hAnsi="Times New Roman" w:cs="Times New Roman"/>
                <w:b/>
              </w:rPr>
              <w:t>N</w:t>
            </w:r>
            <w:r>
              <w:rPr>
                <w:rFonts w:ascii="Times New Roman" w:hAnsi="Times New Roman" w:cs="Times New Roman"/>
                <w:b/>
                <w:vertAlign w:val="superscript"/>
              </w:rPr>
              <w:t>o</w:t>
            </w:r>
            <w:r>
              <w:rPr>
                <w:rFonts w:ascii="Times New Roman" w:hAnsi="Times New Roman" w:cs="Times New Roman"/>
                <w:b/>
              </w:rPr>
              <w:t xml:space="preserve"> de sintomas relacionados a COVID (média ± DP)</w:t>
            </w:r>
          </w:p>
        </w:tc>
        <w:tc>
          <w:tcPr>
            <w:tcW w:w="1984" w:type="dxa"/>
            <w:tcBorders>
              <w:top w:val="nil"/>
              <w:left w:val="nil"/>
              <w:bottom w:val="nil"/>
              <w:right w:val="nil"/>
            </w:tcBorders>
          </w:tcPr>
          <w:p w14:paraId="0EF6C21B"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6,0 ± 3,5</w:t>
            </w:r>
          </w:p>
        </w:tc>
        <w:tc>
          <w:tcPr>
            <w:tcW w:w="2268" w:type="dxa"/>
            <w:tcBorders>
              <w:top w:val="nil"/>
              <w:left w:val="nil"/>
              <w:bottom w:val="nil"/>
              <w:right w:val="nil"/>
            </w:tcBorders>
          </w:tcPr>
          <w:p w14:paraId="2B81401B"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5,5 ± 3,5</w:t>
            </w:r>
          </w:p>
        </w:tc>
        <w:tc>
          <w:tcPr>
            <w:tcW w:w="988" w:type="dxa"/>
            <w:tcBorders>
              <w:top w:val="nil"/>
              <w:left w:val="nil"/>
              <w:bottom w:val="nil"/>
              <w:right w:val="nil"/>
            </w:tcBorders>
          </w:tcPr>
          <w:p w14:paraId="18850B6D"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0,655</w:t>
            </w:r>
            <w:r>
              <w:rPr>
                <w:rFonts w:ascii="Times New Roman" w:hAnsi="Times New Roman" w:cs="Times New Roman"/>
                <w:vertAlign w:val="superscript"/>
              </w:rPr>
              <w:t>3</w:t>
            </w:r>
          </w:p>
        </w:tc>
      </w:tr>
      <w:tr w:rsidR="004A3B3A" w14:paraId="2CD6B32E" w14:textId="77777777">
        <w:trPr>
          <w:trHeight w:val="284"/>
        </w:trPr>
        <w:tc>
          <w:tcPr>
            <w:tcW w:w="3827" w:type="dxa"/>
            <w:tcBorders>
              <w:top w:val="nil"/>
              <w:left w:val="nil"/>
              <w:bottom w:val="nil"/>
              <w:right w:val="nil"/>
            </w:tcBorders>
          </w:tcPr>
          <w:p w14:paraId="73BFE47A" w14:textId="77777777" w:rsidR="004A3B3A" w:rsidRDefault="00033FFB">
            <w:pPr>
              <w:spacing w:after="60" w:line="240" w:lineRule="auto"/>
              <w:rPr>
                <w:rFonts w:ascii="Times New Roman" w:hAnsi="Times New Roman" w:cs="Times New Roman"/>
                <w:b/>
              </w:rPr>
            </w:pPr>
            <w:r>
              <w:rPr>
                <w:rFonts w:ascii="Times New Roman" w:hAnsi="Times New Roman" w:cs="Times New Roman"/>
                <w:b/>
              </w:rPr>
              <w:t>Assintomáticos</w:t>
            </w:r>
          </w:p>
        </w:tc>
        <w:tc>
          <w:tcPr>
            <w:tcW w:w="1984" w:type="dxa"/>
            <w:tcBorders>
              <w:top w:val="nil"/>
              <w:left w:val="nil"/>
              <w:bottom w:val="nil"/>
              <w:right w:val="nil"/>
            </w:tcBorders>
          </w:tcPr>
          <w:p w14:paraId="23AD00E0"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1/14 (7,14)</w:t>
            </w:r>
          </w:p>
        </w:tc>
        <w:tc>
          <w:tcPr>
            <w:tcW w:w="2268" w:type="dxa"/>
            <w:tcBorders>
              <w:top w:val="nil"/>
              <w:left w:val="nil"/>
              <w:bottom w:val="nil"/>
              <w:right w:val="nil"/>
            </w:tcBorders>
          </w:tcPr>
          <w:p w14:paraId="3F076239"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8/41 (19,5)</w:t>
            </w:r>
          </w:p>
        </w:tc>
        <w:tc>
          <w:tcPr>
            <w:tcW w:w="988" w:type="dxa"/>
            <w:tcBorders>
              <w:top w:val="nil"/>
              <w:left w:val="nil"/>
              <w:bottom w:val="nil"/>
              <w:right w:val="nil"/>
            </w:tcBorders>
          </w:tcPr>
          <w:p w14:paraId="194FFE2D"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0,420</w:t>
            </w:r>
            <w:r>
              <w:rPr>
                <w:rFonts w:ascii="Times New Roman" w:hAnsi="Times New Roman" w:cs="Times New Roman"/>
                <w:vertAlign w:val="superscript"/>
              </w:rPr>
              <w:t>2</w:t>
            </w:r>
          </w:p>
        </w:tc>
      </w:tr>
      <w:tr w:rsidR="004A3B3A" w14:paraId="0AC8E326" w14:textId="77777777">
        <w:trPr>
          <w:trHeight w:val="284"/>
        </w:trPr>
        <w:tc>
          <w:tcPr>
            <w:tcW w:w="3827" w:type="dxa"/>
            <w:tcBorders>
              <w:top w:val="nil"/>
              <w:left w:val="nil"/>
              <w:bottom w:val="nil"/>
              <w:right w:val="nil"/>
            </w:tcBorders>
          </w:tcPr>
          <w:p w14:paraId="43A4B358" w14:textId="77777777" w:rsidR="004A3B3A" w:rsidRDefault="00033FFB">
            <w:pPr>
              <w:spacing w:after="60" w:line="240" w:lineRule="auto"/>
              <w:rPr>
                <w:rFonts w:ascii="Times New Roman" w:hAnsi="Times New Roman" w:cs="Times New Roman"/>
                <w:b/>
              </w:rPr>
            </w:pPr>
            <w:r>
              <w:rPr>
                <w:rFonts w:ascii="Times New Roman" w:hAnsi="Times New Roman" w:cs="Times New Roman"/>
                <w:b/>
              </w:rPr>
              <w:t xml:space="preserve">Comorbidades prévias </w:t>
            </w:r>
          </w:p>
        </w:tc>
        <w:tc>
          <w:tcPr>
            <w:tcW w:w="1984" w:type="dxa"/>
            <w:tcBorders>
              <w:top w:val="nil"/>
              <w:left w:val="nil"/>
              <w:bottom w:val="nil"/>
              <w:right w:val="nil"/>
            </w:tcBorders>
          </w:tcPr>
          <w:p w14:paraId="20810353"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5/14 (35,7%)</w:t>
            </w:r>
          </w:p>
        </w:tc>
        <w:tc>
          <w:tcPr>
            <w:tcW w:w="2268" w:type="dxa"/>
            <w:tcBorders>
              <w:top w:val="nil"/>
              <w:left w:val="nil"/>
              <w:bottom w:val="nil"/>
              <w:right w:val="nil"/>
            </w:tcBorders>
          </w:tcPr>
          <w:p w14:paraId="10693E27"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11/39 (28,2%)</w:t>
            </w:r>
          </w:p>
        </w:tc>
        <w:tc>
          <w:tcPr>
            <w:tcW w:w="988" w:type="dxa"/>
            <w:tcBorders>
              <w:top w:val="nil"/>
              <w:left w:val="nil"/>
              <w:bottom w:val="nil"/>
              <w:right w:val="nil"/>
            </w:tcBorders>
          </w:tcPr>
          <w:p w14:paraId="30821E15"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0,603</w:t>
            </w:r>
            <w:r>
              <w:rPr>
                <w:rFonts w:ascii="Times New Roman" w:hAnsi="Times New Roman" w:cs="Times New Roman"/>
                <w:vertAlign w:val="superscript"/>
              </w:rPr>
              <w:t>1</w:t>
            </w:r>
          </w:p>
        </w:tc>
      </w:tr>
      <w:tr w:rsidR="004A3B3A" w14:paraId="0D0A6B01" w14:textId="77777777">
        <w:trPr>
          <w:trHeight w:val="284"/>
        </w:trPr>
        <w:tc>
          <w:tcPr>
            <w:tcW w:w="3827" w:type="dxa"/>
            <w:tcBorders>
              <w:top w:val="nil"/>
              <w:left w:val="nil"/>
              <w:bottom w:val="nil"/>
              <w:right w:val="nil"/>
            </w:tcBorders>
          </w:tcPr>
          <w:p w14:paraId="57BEE246" w14:textId="77777777" w:rsidR="004A3B3A" w:rsidRDefault="00033FFB">
            <w:pPr>
              <w:spacing w:after="60" w:line="240" w:lineRule="auto"/>
              <w:rPr>
                <w:rFonts w:ascii="Times New Roman" w:hAnsi="Times New Roman" w:cs="Times New Roman"/>
                <w:b/>
              </w:rPr>
            </w:pPr>
            <w:r>
              <w:rPr>
                <w:rFonts w:ascii="Times New Roman" w:hAnsi="Times New Roman" w:cs="Times New Roman"/>
                <w:b/>
              </w:rPr>
              <w:t>Diabetes mellitus [</w:t>
            </w:r>
            <w:proofErr w:type="gramStart"/>
            <w:r>
              <w:rPr>
                <w:rFonts w:ascii="Times New Roman" w:hAnsi="Times New Roman" w:cs="Times New Roman"/>
                <w:b/>
              </w:rPr>
              <w:t>n(</w:t>
            </w:r>
            <w:proofErr w:type="gramEnd"/>
            <w:r>
              <w:rPr>
                <w:rFonts w:ascii="Times New Roman" w:hAnsi="Times New Roman" w:cs="Times New Roman"/>
                <w:b/>
              </w:rPr>
              <w:t>%)]</w:t>
            </w:r>
          </w:p>
        </w:tc>
        <w:tc>
          <w:tcPr>
            <w:tcW w:w="1984" w:type="dxa"/>
            <w:tcBorders>
              <w:top w:val="nil"/>
              <w:left w:val="nil"/>
              <w:bottom w:val="nil"/>
              <w:right w:val="nil"/>
            </w:tcBorders>
          </w:tcPr>
          <w:p w14:paraId="50FB7D7B"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7/13 (53,8%)</w:t>
            </w:r>
          </w:p>
        </w:tc>
        <w:tc>
          <w:tcPr>
            <w:tcW w:w="2268" w:type="dxa"/>
            <w:tcBorders>
              <w:top w:val="nil"/>
              <w:left w:val="nil"/>
              <w:bottom w:val="nil"/>
              <w:right w:val="nil"/>
            </w:tcBorders>
          </w:tcPr>
          <w:p w14:paraId="5B09C0A8"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12/40 (30,0%)</w:t>
            </w:r>
          </w:p>
        </w:tc>
        <w:tc>
          <w:tcPr>
            <w:tcW w:w="988" w:type="dxa"/>
            <w:tcBorders>
              <w:top w:val="nil"/>
              <w:left w:val="nil"/>
              <w:bottom w:val="nil"/>
              <w:right w:val="nil"/>
            </w:tcBorders>
          </w:tcPr>
          <w:p w14:paraId="2030D93B"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0,220</w:t>
            </w:r>
            <w:r>
              <w:rPr>
                <w:rFonts w:ascii="Times New Roman" w:hAnsi="Times New Roman" w:cs="Times New Roman"/>
                <w:vertAlign w:val="superscript"/>
              </w:rPr>
              <w:t>1</w:t>
            </w:r>
          </w:p>
        </w:tc>
      </w:tr>
      <w:tr w:rsidR="004A3B3A" w14:paraId="42E289DD" w14:textId="77777777">
        <w:trPr>
          <w:trHeight w:val="284"/>
        </w:trPr>
        <w:tc>
          <w:tcPr>
            <w:tcW w:w="3827" w:type="dxa"/>
            <w:tcBorders>
              <w:top w:val="nil"/>
              <w:left w:val="nil"/>
              <w:bottom w:val="nil"/>
              <w:right w:val="nil"/>
            </w:tcBorders>
          </w:tcPr>
          <w:p w14:paraId="63B7AC2D" w14:textId="77777777" w:rsidR="004A3B3A" w:rsidRDefault="00033FFB">
            <w:pPr>
              <w:spacing w:after="60" w:line="240" w:lineRule="auto"/>
              <w:rPr>
                <w:rFonts w:ascii="Times New Roman" w:hAnsi="Times New Roman" w:cs="Times New Roman"/>
                <w:b/>
              </w:rPr>
            </w:pPr>
            <w:r>
              <w:rPr>
                <w:rFonts w:ascii="Times New Roman" w:hAnsi="Times New Roman" w:cs="Times New Roman"/>
                <w:b/>
              </w:rPr>
              <w:t>HAS [</w:t>
            </w:r>
            <w:proofErr w:type="gramStart"/>
            <w:r>
              <w:rPr>
                <w:rFonts w:ascii="Times New Roman" w:hAnsi="Times New Roman" w:cs="Times New Roman"/>
                <w:b/>
              </w:rPr>
              <w:t>n(</w:t>
            </w:r>
            <w:proofErr w:type="gramEnd"/>
            <w:r>
              <w:rPr>
                <w:rFonts w:ascii="Times New Roman" w:hAnsi="Times New Roman" w:cs="Times New Roman"/>
                <w:b/>
              </w:rPr>
              <w:t>%)]</w:t>
            </w:r>
          </w:p>
        </w:tc>
        <w:tc>
          <w:tcPr>
            <w:tcW w:w="1984" w:type="dxa"/>
            <w:tcBorders>
              <w:top w:val="nil"/>
              <w:left w:val="nil"/>
              <w:bottom w:val="nil"/>
              <w:right w:val="nil"/>
            </w:tcBorders>
          </w:tcPr>
          <w:p w14:paraId="185517A3"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9/14 (64,2%)</w:t>
            </w:r>
          </w:p>
        </w:tc>
        <w:tc>
          <w:tcPr>
            <w:tcW w:w="2268" w:type="dxa"/>
            <w:tcBorders>
              <w:top w:val="nil"/>
              <w:left w:val="nil"/>
              <w:bottom w:val="nil"/>
              <w:right w:val="nil"/>
            </w:tcBorders>
          </w:tcPr>
          <w:p w14:paraId="1378812A"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21/40 (52,5%)</w:t>
            </w:r>
          </w:p>
        </w:tc>
        <w:tc>
          <w:tcPr>
            <w:tcW w:w="988" w:type="dxa"/>
            <w:tcBorders>
              <w:top w:val="nil"/>
              <w:left w:val="nil"/>
              <w:bottom w:val="nil"/>
              <w:right w:val="nil"/>
            </w:tcBorders>
          </w:tcPr>
          <w:p w14:paraId="10FFDD89"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0,449</w:t>
            </w:r>
            <w:r>
              <w:rPr>
                <w:rFonts w:ascii="Times New Roman" w:hAnsi="Times New Roman" w:cs="Times New Roman"/>
                <w:vertAlign w:val="superscript"/>
              </w:rPr>
              <w:t>1</w:t>
            </w:r>
          </w:p>
        </w:tc>
      </w:tr>
      <w:tr w:rsidR="004A3B3A" w14:paraId="39F64150" w14:textId="77777777">
        <w:trPr>
          <w:trHeight w:val="284"/>
        </w:trPr>
        <w:tc>
          <w:tcPr>
            <w:tcW w:w="3827" w:type="dxa"/>
            <w:tcBorders>
              <w:top w:val="nil"/>
              <w:left w:val="nil"/>
              <w:bottom w:val="nil"/>
              <w:right w:val="nil"/>
            </w:tcBorders>
          </w:tcPr>
          <w:p w14:paraId="07CFCCDD" w14:textId="77777777" w:rsidR="004A3B3A" w:rsidRDefault="00033FFB">
            <w:pPr>
              <w:spacing w:after="60" w:line="240" w:lineRule="auto"/>
              <w:rPr>
                <w:rFonts w:ascii="Times New Roman" w:hAnsi="Times New Roman" w:cs="Times New Roman"/>
                <w:b/>
              </w:rPr>
            </w:pPr>
            <w:r>
              <w:rPr>
                <w:rFonts w:ascii="Times New Roman" w:hAnsi="Times New Roman" w:cs="Times New Roman"/>
                <w:b/>
              </w:rPr>
              <w:t>DPOC [</w:t>
            </w:r>
            <w:proofErr w:type="gramStart"/>
            <w:r>
              <w:rPr>
                <w:rFonts w:ascii="Times New Roman" w:hAnsi="Times New Roman" w:cs="Times New Roman"/>
                <w:b/>
              </w:rPr>
              <w:t>n(</w:t>
            </w:r>
            <w:proofErr w:type="gramEnd"/>
            <w:r>
              <w:rPr>
                <w:rFonts w:ascii="Times New Roman" w:hAnsi="Times New Roman" w:cs="Times New Roman"/>
                <w:b/>
              </w:rPr>
              <w:t>%)]</w:t>
            </w:r>
          </w:p>
        </w:tc>
        <w:tc>
          <w:tcPr>
            <w:tcW w:w="1984" w:type="dxa"/>
            <w:tcBorders>
              <w:top w:val="nil"/>
              <w:left w:val="nil"/>
              <w:bottom w:val="nil"/>
              <w:right w:val="nil"/>
            </w:tcBorders>
          </w:tcPr>
          <w:p w14:paraId="49F2EB23"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2/13 (15,4%)</w:t>
            </w:r>
          </w:p>
        </w:tc>
        <w:tc>
          <w:tcPr>
            <w:tcW w:w="2268" w:type="dxa"/>
            <w:tcBorders>
              <w:top w:val="nil"/>
              <w:left w:val="nil"/>
              <w:bottom w:val="nil"/>
              <w:right w:val="nil"/>
            </w:tcBorders>
          </w:tcPr>
          <w:p w14:paraId="0733880B"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0/36 (0,0%)</w:t>
            </w:r>
          </w:p>
        </w:tc>
        <w:tc>
          <w:tcPr>
            <w:tcW w:w="988" w:type="dxa"/>
            <w:tcBorders>
              <w:top w:val="nil"/>
              <w:left w:val="nil"/>
              <w:bottom w:val="nil"/>
              <w:right w:val="nil"/>
            </w:tcBorders>
          </w:tcPr>
          <w:p w14:paraId="5EF6B7CE"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0,066</w:t>
            </w:r>
            <w:r>
              <w:rPr>
                <w:rFonts w:ascii="Times New Roman" w:hAnsi="Times New Roman" w:cs="Times New Roman"/>
                <w:vertAlign w:val="superscript"/>
              </w:rPr>
              <w:t>2</w:t>
            </w:r>
          </w:p>
        </w:tc>
      </w:tr>
      <w:tr w:rsidR="004A3B3A" w14:paraId="598C28E1" w14:textId="77777777">
        <w:trPr>
          <w:trHeight w:val="284"/>
        </w:trPr>
        <w:tc>
          <w:tcPr>
            <w:tcW w:w="3827" w:type="dxa"/>
            <w:tcBorders>
              <w:top w:val="nil"/>
              <w:left w:val="nil"/>
              <w:right w:val="nil"/>
            </w:tcBorders>
          </w:tcPr>
          <w:p w14:paraId="37346DFC" w14:textId="77777777" w:rsidR="004A3B3A" w:rsidRDefault="00033FFB">
            <w:pPr>
              <w:spacing w:after="60" w:line="240" w:lineRule="auto"/>
              <w:rPr>
                <w:rFonts w:ascii="Times New Roman" w:hAnsi="Times New Roman" w:cs="Times New Roman"/>
                <w:b/>
              </w:rPr>
            </w:pPr>
            <w:r>
              <w:rPr>
                <w:rFonts w:ascii="Times New Roman" w:hAnsi="Times New Roman" w:cs="Times New Roman"/>
                <w:b/>
              </w:rPr>
              <w:t>Doenças respiratórias [</w:t>
            </w:r>
            <w:proofErr w:type="gramStart"/>
            <w:r>
              <w:rPr>
                <w:rFonts w:ascii="Times New Roman" w:hAnsi="Times New Roman" w:cs="Times New Roman"/>
                <w:b/>
              </w:rPr>
              <w:t>n(</w:t>
            </w:r>
            <w:proofErr w:type="gramEnd"/>
            <w:r>
              <w:rPr>
                <w:rFonts w:ascii="Times New Roman" w:hAnsi="Times New Roman" w:cs="Times New Roman"/>
                <w:b/>
              </w:rPr>
              <w:t>%)]</w:t>
            </w:r>
          </w:p>
        </w:tc>
        <w:tc>
          <w:tcPr>
            <w:tcW w:w="1984" w:type="dxa"/>
            <w:tcBorders>
              <w:top w:val="nil"/>
              <w:left w:val="nil"/>
              <w:right w:val="nil"/>
            </w:tcBorders>
          </w:tcPr>
          <w:p w14:paraId="716C20CE"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5/13 (38,5%)</w:t>
            </w:r>
          </w:p>
        </w:tc>
        <w:tc>
          <w:tcPr>
            <w:tcW w:w="2268" w:type="dxa"/>
            <w:tcBorders>
              <w:top w:val="nil"/>
              <w:left w:val="nil"/>
              <w:right w:val="nil"/>
            </w:tcBorders>
          </w:tcPr>
          <w:p w14:paraId="5C336AE2"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7/41 (17,1%)</w:t>
            </w:r>
          </w:p>
        </w:tc>
        <w:tc>
          <w:tcPr>
            <w:tcW w:w="988" w:type="dxa"/>
            <w:tcBorders>
              <w:top w:val="nil"/>
              <w:left w:val="nil"/>
              <w:right w:val="nil"/>
            </w:tcBorders>
          </w:tcPr>
          <w:p w14:paraId="3B98373E" w14:textId="77777777" w:rsidR="004A3B3A" w:rsidRDefault="00033FFB">
            <w:pPr>
              <w:spacing w:after="60" w:line="240" w:lineRule="auto"/>
              <w:jc w:val="center"/>
              <w:rPr>
                <w:rFonts w:ascii="Times New Roman" w:hAnsi="Times New Roman" w:cs="Times New Roman"/>
              </w:rPr>
            </w:pPr>
            <w:r>
              <w:rPr>
                <w:rFonts w:ascii="Times New Roman" w:hAnsi="Times New Roman" w:cs="Times New Roman"/>
              </w:rPr>
              <w:t>0,109</w:t>
            </w:r>
            <w:r>
              <w:rPr>
                <w:rFonts w:ascii="Times New Roman" w:hAnsi="Times New Roman" w:cs="Times New Roman"/>
                <w:vertAlign w:val="superscript"/>
              </w:rPr>
              <w:t>1</w:t>
            </w:r>
          </w:p>
        </w:tc>
      </w:tr>
    </w:tbl>
    <w:p w14:paraId="71091408" w14:textId="77777777" w:rsidR="004A3B3A" w:rsidRDefault="00033FFB">
      <w:pPr>
        <w:spacing w:after="6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Qui-quadrado de Pearson; </w:t>
      </w:r>
      <w:r>
        <w:rPr>
          <w:rFonts w:ascii="Times New Roman" w:hAnsi="Times New Roman" w:cs="Times New Roman"/>
          <w:sz w:val="20"/>
          <w:szCs w:val="20"/>
          <w:vertAlign w:val="superscript"/>
        </w:rPr>
        <w:t>2</w:t>
      </w:r>
      <w:r>
        <w:rPr>
          <w:rFonts w:ascii="Times New Roman" w:hAnsi="Times New Roman" w:cs="Times New Roman"/>
          <w:sz w:val="20"/>
          <w:szCs w:val="20"/>
        </w:rPr>
        <w:t xml:space="preserve">Teste exato de Fisher; </w:t>
      </w:r>
      <w:r>
        <w:rPr>
          <w:rFonts w:ascii="Times New Roman" w:hAnsi="Times New Roman" w:cs="Times New Roman"/>
          <w:sz w:val="20"/>
          <w:szCs w:val="20"/>
          <w:vertAlign w:val="superscript"/>
        </w:rPr>
        <w:t>3</w:t>
      </w:r>
      <w:r>
        <w:rPr>
          <w:rFonts w:ascii="Times New Roman" w:hAnsi="Times New Roman" w:cs="Times New Roman"/>
          <w:sz w:val="20"/>
          <w:szCs w:val="20"/>
        </w:rPr>
        <w:t xml:space="preserve">Teste t de </w:t>
      </w:r>
      <w:proofErr w:type="spellStart"/>
      <w:r>
        <w:rPr>
          <w:rFonts w:ascii="Times New Roman" w:hAnsi="Times New Roman" w:cs="Times New Roman"/>
          <w:sz w:val="20"/>
          <w:szCs w:val="20"/>
        </w:rPr>
        <w:t>Student</w:t>
      </w:r>
      <w:proofErr w:type="spellEnd"/>
      <w:r>
        <w:rPr>
          <w:rFonts w:ascii="Times New Roman" w:hAnsi="Times New Roman" w:cs="Times New Roman"/>
          <w:sz w:val="20"/>
          <w:szCs w:val="20"/>
        </w:rPr>
        <w:t>. p</w:t>
      </w:r>
      <w:r>
        <w:rPr>
          <w:rFonts w:ascii="Symbol" w:eastAsia="Symbol" w:hAnsi="Symbol" w:cs="Symbol"/>
          <w:sz w:val="20"/>
          <w:szCs w:val="20"/>
        </w:rPr>
        <w:t></w:t>
      </w:r>
      <w:r>
        <w:rPr>
          <w:rFonts w:ascii="Times New Roman" w:hAnsi="Times New Roman" w:cs="Times New Roman"/>
          <w:sz w:val="20"/>
          <w:szCs w:val="20"/>
        </w:rPr>
        <w:t>0,05 como estatisticamente significante. DP: desvio-padrão; HAS: hipertensão arterial sistêmica; DPOC: doença pulmonar obstrutiva crônica.</w:t>
      </w:r>
    </w:p>
    <w:p w14:paraId="04525E03" w14:textId="77777777" w:rsidR="004A3B3A" w:rsidRDefault="00033FFB">
      <w:pPr>
        <w:pStyle w:val="PargrafodaLista"/>
        <w:numPr>
          <w:ilvl w:val="0"/>
          <w:numId w:val="1"/>
        </w:numPr>
        <w:spacing w:after="0"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CONCLUSÃO</w:t>
      </w:r>
    </w:p>
    <w:p w14:paraId="66ED4A2A" w14:textId="77777777" w:rsidR="004A3B3A" w:rsidRDefault="00033FFB">
      <w:pPr>
        <w:spacing w:after="0" w:line="360" w:lineRule="auto"/>
        <w:ind w:firstLine="708"/>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No estudo, percebe-se que os indivíduos com COVID-19 grave têm média de idade superior a 60 anos e maior frequência de desemprego/trabalho informal do que aqueles com as formas leves ou moderadas da doença. Medidas preventivas não se relacionaram à gravidade da infecção pelo SARS-CoV-2, no entanto, estas são decisivas para uma redução da média de novos casos e novos óbitos pela doença. Considerando a elevada frequência de doenças crônicas não transmissíveis entre os indivíduos acometidos pela COVID-19, independentemente, da gravidade da doença, reforça-se a importância do profissional nutricionista, que atua tanto na prevenção e tratamento de pessoas com DCNT, como auxilia no tratamento daqueles hospitalizados em decorrência do novo </w:t>
      </w:r>
      <w:proofErr w:type="spellStart"/>
      <w:r>
        <w:rPr>
          <w:rFonts w:ascii="Times New Roman" w:hAnsi="Times New Roman" w:cs="Times New Roman"/>
          <w:bCs/>
          <w:sz w:val="24"/>
          <w:szCs w:val="24"/>
          <w:shd w:val="clear" w:color="auto" w:fill="FFFFFF"/>
        </w:rPr>
        <w:t>coronavírus</w:t>
      </w:r>
      <w:proofErr w:type="spellEnd"/>
      <w:r>
        <w:rPr>
          <w:rFonts w:ascii="Times New Roman" w:hAnsi="Times New Roman" w:cs="Times New Roman"/>
          <w:bCs/>
          <w:sz w:val="24"/>
          <w:szCs w:val="24"/>
          <w:shd w:val="clear" w:color="auto" w:fill="FFFFFF"/>
        </w:rPr>
        <w:t xml:space="preserve">. </w:t>
      </w:r>
    </w:p>
    <w:p w14:paraId="38432C7D" w14:textId="77777777" w:rsidR="004A3B3A" w:rsidRDefault="004A3B3A">
      <w:pPr>
        <w:spacing w:after="0" w:line="240" w:lineRule="auto"/>
        <w:jc w:val="both"/>
        <w:rPr>
          <w:rFonts w:ascii="Times New Roman" w:hAnsi="Times New Roman" w:cs="Times New Roman"/>
          <w:b/>
          <w:bCs/>
          <w:sz w:val="24"/>
          <w:szCs w:val="24"/>
          <w:shd w:val="clear" w:color="auto" w:fill="FFFFFF"/>
        </w:rPr>
      </w:pPr>
    </w:p>
    <w:p w14:paraId="040E7B39" w14:textId="77777777" w:rsidR="004A3B3A" w:rsidRDefault="00033FFB">
      <w:pPr>
        <w:pStyle w:val="NormalWeb"/>
        <w:numPr>
          <w:ilvl w:val="0"/>
          <w:numId w:val="1"/>
        </w:numPr>
        <w:shd w:val="clear" w:color="auto" w:fill="FFFFFF"/>
        <w:spacing w:beforeAutospacing="0" w:after="0" w:afterAutospacing="0" w:line="360" w:lineRule="auto"/>
        <w:jc w:val="both"/>
        <w:rPr>
          <w:b/>
          <w:bCs/>
          <w:shd w:val="clear" w:color="auto" w:fill="FFFFFF"/>
        </w:rPr>
      </w:pPr>
      <w:r>
        <w:rPr>
          <w:b/>
          <w:bCs/>
          <w:shd w:val="clear" w:color="auto" w:fill="FFFFFF"/>
        </w:rPr>
        <w:t>REFERÊNCIAS</w:t>
      </w:r>
    </w:p>
    <w:p w14:paraId="3A99FBF2" w14:textId="77777777" w:rsidR="004A3B3A" w:rsidRDefault="00033FFB">
      <w:pPr>
        <w:widowControl w:val="0"/>
        <w:spacing w:after="0" w:line="360" w:lineRule="auto"/>
        <w:jc w:val="both"/>
        <w:rPr>
          <w:rFonts w:ascii="Times New Roman" w:hAnsi="Times New Roman" w:cs="Times New Roman"/>
          <w:szCs w:val="24"/>
        </w:rPr>
      </w:pPr>
      <w:r>
        <w:fldChar w:fldCharType="begin"/>
      </w:r>
      <w:r>
        <w:rPr>
          <w:rFonts w:ascii="Times New Roman" w:hAnsi="Times New Roman"/>
        </w:rPr>
        <w:instrText>ADDIN Mendeley Bibliography CSL_BIBLIOGRAPHY</w:instrText>
      </w:r>
      <w:r>
        <w:rPr>
          <w:rFonts w:ascii="Times New Roman" w:hAnsi="Times New Roman"/>
        </w:rPr>
        <w:fldChar w:fldCharType="separate"/>
      </w:r>
      <w:r>
        <w:rPr>
          <w:rFonts w:ascii="Times New Roman" w:hAnsi="Times New Roman" w:cs="Times New Roman"/>
          <w:szCs w:val="24"/>
        </w:rPr>
        <w:t xml:space="preserve">BRASIL. </w:t>
      </w:r>
      <w:r>
        <w:rPr>
          <w:rFonts w:ascii="Times New Roman" w:hAnsi="Times New Roman" w:cs="Times New Roman"/>
          <w:b/>
          <w:bCs/>
          <w:szCs w:val="24"/>
        </w:rPr>
        <w:t>Coronavírus Brasil: Painel geral, casos confirmados, mortes, letalidade</w:t>
      </w:r>
      <w:r>
        <w:rPr>
          <w:rFonts w:ascii="Times New Roman" w:hAnsi="Times New Roman" w:cs="Times New Roman"/>
          <w:szCs w:val="24"/>
        </w:rPr>
        <w:t xml:space="preserve">. Disponível em: &lt;https://covid.saude.gov.br/&gt;. </w:t>
      </w:r>
    </w:p>
    <w:p w14:paraId="40633C45" w14:textId="77777777" w:rsidR="004A3B3A" w:rsidRDefault="00033FFB">
      <w:pPr>
        <w:widowControl w:val="0"/>
        <w:spacing w:after="0" w:line="360" w:lineRule="auto"/>
        <w:jc w:val="both"/>
        <w:rPr>
          <w:rFonts w:ascii="Times New Roman" w:hAnsi="Times New Roman" w:cs="Times New Roman"/>
          <w:szCs w:val="24"/>
        </w:rPr>
      </w:pPr>
      <w:r>
        <w:rPr>
          <w:rFonts w:ascii="Times New Roman" w:hAnsi="Times New Roman" w:cs="Times New Roman"/>
          <w:szCs w:val="24"/>
        </w:rPr>
        <w:t>BRASIL. 36</w:t>
      </w:r>
      <w:r>
        <w:rPr>
          <w:rFonts w:ascii="Times New Roman" w:hAnsi="Times New Roman" w:cs="Times New Roman"/>
          <w:szCs w:val="24"/>
          <w:vertAlign w:val="superscript"/>
        </w:rPr>
        <w:t>o</w:t>
      </w:r>
      <w:r>
        <w:rPr>
          <w:rFonts w:ascii="Times New Roman" w:hAnsi="Times New Roman" w:cs="Times New Roman"/>
          <w:szCs w:val="24"/>
        </w:rPr>
        <w:t xml:space="preserve"> Boletim epidemiológico especial: Doença pelo Coronavírus COVID-19. Semana Epidemiológica 42 (11/10 a 17/10/2020). </w:t>
      </w:r>
      <w:r>
        <w:rPr>
          <w:rFonts w:ascii="Times New Roman" w:hAnsi="Times New Roman" w:cs="Times New Roman"/>
          <w:b/>
          <w:bCs/>
          <w:szCs w:val="24"/>
        </w:rPr>
        <w:t>Ministério da Saúde.</w:t>
      </w:r>
      <w:r>
        <w:rPr>
          <w:rFonts w:ascii="Times New Roman" w:hAnsi="Times New Roman" w:cs="Times New Roman"/>
          <w:szCs w:val="24"/>
        </w:rPr>
        <w:t xml:space="preserve"> 2020b. </w:t>
      </w:r>
    </w:p>
    <w:p w14:paraId="3A0BF63D" w14:textId="77777777" w:rsidR="004A3B3A" w:rsidRDefault="00033FFB">
      <w:pPr>
        <w:widowControl w:val="0"/>
        <w:spacing w:after="0" w:line="360" w:lineRule="auto"/>
        <w:jc w:val="both"/>
        <w:rPr>
          <w:rFonts w:ascii="Times New Roman" w:hAnsi="Times New Roman" w:cs="Times New Roman"/>
          <w:szCs w:val="24"/>
        </w:rPr>
      </w:pPr>
      <w:r>
        <w:rPr>
          <w:rFonts w:ascii="Times New Roman" w:hAnsi="Times New Roman" w:cs="Times New Roman"/>
          <w:szCs w:val="24"/>
        </w:rPr>
        <w:t xml:space="preserve">ESTRELA, F. M. et al. Pandemia da Covid 19: refletindo as vulnerabilidades a luz do gênero, raça e classe. </w:t>
      </w:r>
      <w:r>
        <w:rPr>
          <w:rFonts w:ascii="Times New Roman" w:hAnsi="Times New Roman" w:cs="Times New Roman"/>
          <w:b/>
          <w:bCs/>
          <w:szCs w:val="24"/>
        </w:rPr>
        <w:t>Ciencia &amp; saude coletiva</w:t>
      </w:r>
      <w:r>
        <w:rPr>
          <w:rFonts w:ascii="Times New Roman" w:hAnsi="Times New Roman" w:cs="Times New Roman"/>
          <w:szCs w:val="24"/>
        </w:rPr>
        <w:t xml:space="preserve">, v. 25, n. 9, p. 3431–3436, 2020. </w:t>
      </w:r>
    </w:p>
    <w:p w14:paraId="77F24D76" w14:textId="77777777" w:rsidR="004A3B3A" w:rsidRDefault="00033FFB">
      <w:pPr>
        <w:widowControl w:val="0"/>
        <w:spacing w:after="0" w:line="360" w:lineRule="auto"/>
        <w:jc w:val="both"/>
        <w:rPr>
          <w:rFonts w:ascii="Times New Roman" w:hAnsi="Times New Roman" w:cs="Times New Roman"/>
          <w:szCs w:val="24"/>
        </w:rPr>
      </w:pPr>
      <w:r>
        <w:rPr>
          <w:rFonts w:ascii="Times New Roman" w:hAnsi="Times New Roman" w:cs="Times New Roman"/>
          <w:szCs w:val="24"/>
        </w:rPr>
        <w:t xml:space="preserve">LAMEIRAS, M. A. P. et al. Conjuntura - 4˚ trimestre de 2019. </w:t>
      </w:r>
      <w:r>
        <w:rPr>
          <w:rFonts w:ascii="Times New Roman" w:hAnsi="Times New Roman" w:cs="Times New Roman"/>
          <w:b/>
          <w:bCs/>
          <w:szCs w:val="24"/>
        </w:rPr>
        <w:t>Instituto de Pesquisa Econômica Aplicada</w:t>
      </w:r>
      <w:r>
        <w:rPr>
          <w:rFonts w:ascii="Times New Roman" w:hAnsi="Times New Roman" w:cs="Times New Roman"/>
          <w:szCs w:val="24"/>
        </w:rPr>
        <w:t xml:space="preserve">, v. 45, p. 1–27, 2019. </w:t>
      </w:r>
    </w:p>
    <w:p w14:paraId="259296C3" w14:textId="77777777" w:rsidR="004A3B3A" w:rsidRDefault="00033FFB">
      <w:pPr>
        <w:widowControl w:val="0"/>
        <w:spacing w:after="0" w:line="360" w:lineRule="auto"/>
        <w:jc w:val="both"/>
        <w:rPr>
          <w:rFonts w:ascii="Times New Roman" w:hAnsi="Times New Roman" w:cs="Times New Roman"/>
          <w:szCs w:val="24"/>
        </w:rPr>
      </w:pPr>
      <w:r>
        <w:rPr>
          <w:rFonts w:ascii="Times New Roman" w:hAnsi="Times New Roman" w:cs="Times New Roman"/>
          <w:szCs w:val="24"/>
        </w:rPr>
        <w:t xml:space="preserve">OPAS. </w:t>
      </w:r>
      <w:r>
        <w:rPr>
          <w:rFonts w:ascii="Times New Roman" w:hAnsi="Times New Roman" w:cs="Times New Roman"/>
          <w:b/>
          <w:bCs/>
          <w:szCs w:val="24"/>
        </w:rPr>
        <w:t>OPAS_OMS Brasil - Folha informativa – COVID-19 (doença causada pelo novo coronavírus)</w:t>
      </w:r>
      <w:r>
        <w:rPr>
          <w:rFonts w:ascii="Times New Roman" w:hAnsi="Times New Roman" w:cs="Times New Roman"/>
          <w:szCs w:val="24"/>
        </w:rPr>
        <w:t xml:space="preserve">. </w:t>
      </w:r>
    </w:p>
    <w:p w14:paraId="03AE8A17" w14:textId="77777777" w:rsidR="004A3B3A" w:rsidRDefault="00033FF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PETRILLI, C. M. et al. Factors associated with hospitalization and critical illness among 4,103 patients with Covid-19 disease in New York City. </w:t>
      </w:r>
      <w:r>
        <w:rPr>
          <w:rFonts w:ascii="Times New Roman" w:hAnsi="Times New Roman" w:cs="Times New Roman"/>
          <w:b/>
          <w:bCs/>
          <w:sz w:val="24"/>
          <w:szCs w:val="24"/>
        </w:rPr>
        <w:t>British Medical Journal</w:t>
      </w:r>
      <w:r>
        <w:rPr>
          <w:rFonts w:ascii="Times New Roman" w:hAnsi="Times New Roman" w:cs="Times New Roman"/>
          <w:sz w:val="24"/>
          <w:szCs w:val="24"/>
        </w:rPr>
        <w:t xml:space="preserve">, n. 646, 2020. </w:t>
      </w:r>
    </w:p>
    <w:p w14:paraId="59F44043" w14:textId="77777777" w:rsidR="004A3B3A" w:rsidRDefault="00033FF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STEFAN, N. et al. Obesity and impaired metabolic health in patients with COVID-19. </w:t>
      </w:r>
      <w:r>
        <w:rPr>
          <w:rFonts w:ascii="Times New Roman" w:hAnsi="Times New Roman" w:cs="Times New Roman"/>
          <w:b/>
          <w:bCs/>
          <w:sz w:val="24"/>
          <w:szCs w:val="24"/>
        </w:rPr>
        <w:t>Nature Reviews Endocrinology</w:t>
      </w:r>
      <w:r>
        <w:rPr>
          <w:rFonts w:ascii="Times New Roman" w:hAnsi="Times New Roman" w:cs="Times New Roman"/>
          <w:sz w:val="24"/>
          <w:szCs w:val="24"/>
        </w:rPr>
        <w:t xml:space="preserve">, v. 16, n. 7, p. 341–342, 2020. </w:t>
      </w:r>
    </w:p>
    <w:p w14:paraId="0A52351E" w14:textId="77777777" w:rsidR="004A3B3A" w:rsidRDefault="00033FFB">
      <w:pPr>
        <w:widowControl w:val="0"/>
        <w:spacing w:after="0" w:line="360" w:lineRule="auto"/>
        <w:jc w:val="both"/>
        <w:rPr>
          <w:rFonts w:ascii="Times New Roman" w:hAnsi="Times New Roman" w:cs="Times New Roman"/>
          <w:szCs w:val="24"/>
        </w:rPr>
      </w:pPr>
      <w:r>
        <w:rPr>
          <w:rFonts w:ascii="Times New Roman" w:hAnsi="Times New Roman" w:cs="Times New Roman"/>
          <w:szCs w:val="24"/>
        </w:rPr>
        <w:t xml:space="preserve">WHO. </w:t>
      </w:r>
      <w:r>
        <w:rPr>
          <w:rFonts w:ascii="Times New Roman" w:hAnsi="Times New Roman" w:cs="Times New Roman"/>
          <w:b/>
          <w:bCs/>
          <w:szCs w:val="24"/>
        </w:rPr>
        <w:t>Brazil: WHO Coronavirus Disease (COVID-19) Dashboard | WHO Coronavirus Disease (COVID-19) Dashboard</w:t>
      </w:r>
      <w:r>
        <w:rPr>
          <w:rFonts w:ascii="Times New Roman" w:hAnsi="Times New Roman" w:cs="Times New Roman"/>
          <w:szCs w:val="24"/>
        </w:rPr>
        <w:t xml:space="preserve">. Disponível em: &lt;https://covid19.who.int/region/amro/country/br&gt;. </w:t>
      </w:r>
    </w:p>
    <w:p w14:paraId="0ECC6D29" w14:textId="77777777" w:rsidR="004A3B3A" w:rsidRDefault="00033FFB">
      <w:pPr>
        <w:widowControl w:val="0"/>
        <w:spacing w:after="0" w:line="360" w:lineRule="auto"/>
        <w:jc w:val="both"/>
        <w:rPr>
          <w:rFonts w:ascii="Times New Roman" w:hAnsi="Times New Roman" w:cs="Times New Roman"/>
        </w:rPr>
      </w:pPr>
      <w:r>
        <w:rPr>
          <w:rFonts w:ascii="Times New Roman" w:hAnsi="Times New Roman" w:cs="Times New Roman"/>
        </w:rPr>
        <w:t>WHO</w:t>
      </w:r>
      <w:r>
        <w:rPr>
          <w:rFonts w:ascii="Times New Roman" w:hAnsi="Times New Roman" w:cs="Times New Roman"/>
          <w:sz w:val="24"/>
          <w:szCs w:val="24"/>
          <w:vertAlign w:val="superscript"/>
        </w:rPr>
        <w:t>b</w:t>
      </w:r>
      <w:r>
        <w:rPr>
          <w:rFonts w:ascii="Times New Roman" w:hAnsi="Times New Roman" w:cs="Times New Roman"/>
        </w:rPr>
        <w:t xml:space="preserve">. World Health Organization. </w:t>
      </w:r>
      <w:r>
        <w:rPr>
          <w:rFonts w:ascii="Times New Roman" w:hAnsi="Times New Roman" w:cs="Times New Roman"/>
          <w:b/>
        </w:rPr>
        <w:t>Clinical management of COVID-19: interim guidance</w:t>
      </w:r>
      <w:r>
        <w:rPr>
          <w:rFonts w:ascii="Times New Roman" w:hAnsi="Times New Roman" w:cs="Times New Roman"/>
        </w:rPr>
        <w:t>. 2020. p. 62. Disponível em https://www.who.int/publications/i/item/clinical-management-of-covid-19</w:t>
      </w:r>
    </w:p>
    <w:p w14:paraId="53846648" w14:textId="77777777" w:rsidR="004A3B3A" w:rsidRDefault="00033FFB">
      <w:pPr>
        <w:widowControl w:val="0"/>
        <w:spacing w:after="0" w:line="360" w:lineRule="auto"/>
        <w:jc w:val="both"/>
        <w:rPr>
          <w:rFonts w:ascii="Times New Roman" w:eastAsia="Times New Roman" w:hAnsi="Times New Roman" w:cs="Times New Roman"/>
          <w:lang w:val="en-US"/>
        </w:rPr>
      </w:pPr>
      <w:r>
        <w:rPr>
          <w:rFonts w:ascii="Times New Roman" w:hAnsi="Times New Roman" w:cs="Times New Roman"/>
          <w:szCs w:val="24"/>
        </w:rPr>
        <w:t xml:space="preserve">XU, P.; SUN, G. D.; LI, Z. Z. Clinical characteristics of two human-to-human transmitted coronaviruses: Corona Virus Disease 2019 vs. Middle East Respiratory Syndrome Coronavirus. </w:t>
      </w:r>
      <w:r>
        <w:rPr>
          <w:rFonts w:ascii="Times New Roman" w:hAnsi="Times New Roman" w:cs="Times New Roman"/>
          <w:b/>
          <w:bCs/>
          <w:szCs w:val="24"/>
        </w:rPr>
        <w:t>European Review for Medical and Pharmacological Sciences</w:t>
      </w:r>
      <w:r>
        <w:rPr>
          <w:rFonts w:ascii="Times New Roman" w:hAnsi="Times New Roman" w:cs="Times New Roman"/>
          <w:szCs w:val="24"/>
        </w:rPr>
        <w:t xml:space="preserve">, v. 24, n. 10, p. 5797–5809, 2020. </w:t>
      </w:r>
      <w:r>
        <w:rPr>
          <w:rFonts w:ascii="Times New Roman" w:hAnsi="Times New Roman"/>
        </w:rPr>
        <w:fldChar w:fldCharType="end"/>
      </w:r>
    </w:p>
    <w:sectPr w:rsidR="004A3B3A">
      <w:headerReference w:type="default" r:id="rId9"/>
      <w:footerReference w:type="default" r:id="rId10"/>
      <w:pgSz w:w="11906" w:h="16838"/>
      <w:pgMar w:top="1701" w:right="1134" w:bottom="1134" w:left="1701" w:header="709" w:footer="709"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772A3" w14:textId="77777777" w:rsidR="002B0638" w:rsidRDefault="002B0638">
      <w:pPr>
        <w:spacing w:after="0" w:line="240" w:lineRule="auto"/>
      </w:pPr>
      <w:r>
        <w:separator/>
      </w:r>
    </w:p>
  </w:endnote>
  <w:endnote w:type="continuationSeparator" w:id="0">
    <w:p w14:paraId="3763D444" w14:textId="77777777" w:rsidR="002B0638" w:rsidRDefault="002B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BookCondensed">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Monda">
    <w:altName w:val="MV Boli"/>
    <w:charset w:val="00"/>
    <w:family w:val="auto"/>
    <w:pitch w:val="default"/>
  </w:font>
  <w:font w:name="Arial Rounded">
    <w:altName w:val="MV Bol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89DCF" w14:textId="77777777" w:rsidR="004A3B3A" w:rsidRDefault="00033FFB">
    <w:pP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t>6</w:t>
    </w:r>
    <w:r>
      <w:rPr>
        <w:color w:val="000000"/>
      </w:rPr>
      <w:fldChar w:fldCharType="end"/>
    </w:r>
  </w:p>
  <w:p w14:paraId="483AC50C" w14:textId="77777777" w:rsidR="004A3B3A" w:rsidRDefault="004A3B3A">
    <w:pP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4308E" w14:textId="77777777" w:rsidR="002B0638" w:rsidRDefault="002B0638">
      <w:pPr>
        <w:spacing w:after="0" w:line="240" w:lineRule="auto"/>
      </w:pPr>
      <w:r>
        <w:separator/>
      </w:r>
    </w:p>
  </w:footnote>
  <w:footnote w:type="continuationSeparator" w:id="0">
    <w:p w14:paraId="7062EF39" w14:textId="77777777" w:rsidR="002B0638" w:rsidRDefault="002B0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B912" w14:textId="77777777" w:rsidR="004A3B3A" w:rsidRDefault="00033FFB">
    <w:pPr>
      <w:spacing w:after="0"/>
      <w:rPr>
        <w:rFonts w:ascii="Monda" w:eastAsia="Monda" w:hAnsi="Monda" w:cs="Monda"/>
      </w:rPr>
    </w:pPr>
    <w:r>
      <w:rPr>
        <w:rFonts w:ascii="Monda" w:eastAsia="Monda" w:hAnsi="Monda" w:cs="Monda"/>
        <w:noProof/>
      </w:rPr>
      <mc:AlternateContent>
        <mc:Choice Requires="wps">
          <w:drawing>
            <wp:anchor distT="0" distB="0" distL="0" distR="0" simplePos="0" relativeHeight="7" behindDoc="1" locked="0" layoutInCell="0" allowOverlap="1" wp14:anchorId="7C15BD66" wp14:editId="690FDFF9">
              <wp:simplePos x="0" y="0"/>
              <wp:positionH relativeFrom="column">
                <wp:posOffset>-482600</wp:posOffset>
              </wp:positionH>
              <wp:positionV relativeFrom="paragraph">
                <wp:posOffset>-12700</wp:posOffset>
              </wp:positionV>
              <wp:extent cx="6337935" cy="861060"/>
              <wp:effectExtent l="0" t="0" r="0" b="0"/>
              <wp:wrapNone/>
              <wp:docPr id="1" name="Retângulo: Biselado 9"/>
              <wp:cNvGraphicFramePr/>
              <a:graphic xmlns:a="http://schemas.openxmlformats.org/drawingml/2006/main">
                <a:graphicData uri="http://schemas.microsoft.com/office/word/2010/wordprocessingShape">
                  <wps:wsp>
                    <wps:cNvSpPr/>
                    <wps:spPr>
                      <a:xfrm>
                        <a:off x="0" y="0"/>
                        <a:ext cx="6337440" cy="860400"/>
                      </a:xfrm>
                      <a:prstGeom prst="bevel">
                        <a:avLst>
                          <a:gd name="adj" fmla="val 12500"/>
                        </a:avLst>
                      </a:prstGeom>
                      <a:noFill/>
                      <a:ln w="25400">
                        <a:solidFill>
                          <a:schemeClr val="accent6"/>
                        </a:solidFill>
                        <a:round/>
                      </a:ln>
                    </wps:spPr>
                    <wps:style>
                      <a:lnRef idx="0">
                        <a:scrgbClr r="0" g="0" b="0"/>
                      </a:lnRef>
                      <a:fillRef idx="0">
                        <a:scrgbClr r="0" g="0" b="0"/>
                      </a:fillRef>
                      <a:effectRef idx="0">
                        <a:scrgbClr r="0" g="0" b="0"/>
                      </a:effectRef>
                      <a:fontRef idx="minor"/>
                    </wps:style>
                    <wps:txbx>
                      <w:txbxContent>
                        <w:p w14:paraId="66B07F4E" w14:textId="77777777" w:rsidR="004A3B3A" w:rsidRDefault="004A3B3A">
                          <w:pPr>
                            <w:pStyle w:val="Contedodoquadro"/>
                            <w:spacing w:after="0" w:line="240" w:lineRule="auto"/>
                          </w:pPr>
                        </w:p>
                      </w:txbxContent>
                    </wps:txbx>
                    <wps:bodyPr tIns="91440" bIns="91440" anchor="ctr">
                      <a:noAutofit/>
                    </wps:bodyPr>
                  </wps:wsp>
                </a:graphicData>
              </a:graphic>
            </wp:anchor>
          </w:drawing>
        </mc:Choice>
        <mc:Fallback>
          <w:pict>
            <v:shapetype w14:anchorId="7C15BD6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tângulo: Biselado 9" o:spid="_x0000_s1026" type="#_x0000_t84" style="position:absolute;margin-left:-38pt;margin-top:-1pt;width:499.05pt;height:67.8pt;z-index:-50331647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" o:allowincell="f" filled="f" strokecolor="#f79646 [3209]" strokeweight="2pt">
              <v:stroke joinstyle="round"/>
              <v:textbox inset=",7.2pt,,7.2pt">
                <w:txbxContent>
                  <w:p w14:paraId="66B07F4E" w14:textId="77777777" w:rsidR="004A3B3A" w:rsidRDefault="004A3B3A">
                    <w:pPr>
                      <w:pStyle w:val="Contedodoquadro"/>
                      <w:spacing w:after="0" w:line="240" w:lineRule="auto"/>
                    </w:pPr>
                  </w:p>
                </w:txbxContent>
              </v:textbox>
            </v:shape>
          </w:pict>
        </mc:Fallback>
      </mc:AlternateContent>
    </w:r>
    <w:r>
      <w:rPr>
        <w:rFonts w:ascii="Monda" w:eastAsia="Monda" w:hAnsi="Monda" w:cs="Monda"/>
        <w:noProof/>
      </w:rPr>
      <w:drawing>
        <wp:anchor distT="0" distB="0" distL="114300" distR="114300" simplePos="0" relativeHeight="13" behindDoc="1" locked="0" layoutInCell="0" allowOverlap="1" wp14:anchorId="21103F48" wp14:editId="07586F3F">
          <wp:simplePos x="0" y="0"/>
          <wp:positionH relativeFrom="column">
            <wp:posOffset>3782060</wp:posOffset>
          </wp:positionH>
          <wp:positionV relativeFrom="paragraph">
            <wp:posOffset>125095</wp:posOffset>
          </wp:positionV>
          <wp:extent cx="1806575" cy="525145"/>
          <wp:effectExtent l="0" t="0" r="0" b="0"/>
          <wp:wrapSquare wrapText="bothSides"/>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a:picLocks noChangeAspect="1" noChangeArrowheads="1"/>
                  </pic:cNvPicPr>
                </pic:nvPicPr>
                <pic:blipFill>
                  <a:blip r:embed="rId1"/>
                  <a:srcRect t="23085" b="47791"/>
                  <a:stretch>
                    <a:fillRect/>
                  </a:stretch>
                </pic:blipFill>
                <pic:spPr bwMode="auto">
                  <a:xfrm>
                    <a:off x="0" y="0"/>
                    <a:ext cx="1806575" cy="525145"/>
                  </a:xfrm>
                  <a:prstGeom prst="rect">
                    <a:avLst/>
                  </a:prstGeom>
                </pic:spPr>
              </pic:pic>
            </a:graphicData>
          </a:graphic>
        </wp:anchor>
      </w:drawing>
    </w:r>
  </w:p>
  <w:p w14:paraId="2DB1DCCB" w14:textId="77777777" w:rsidR="004A3B3A" w:rsidRDefault="00033FFB">
    <w:pPr>
      <w:spacing w:after="0"/>
      <w:rPr>
        <w:rFonts w:ascii="Arial Rounded" w:eastAsia="Arial Rounded" w:hAnsi="Arial Rounded" w:cs="Arial Rounded"/>
        <w:b/>
      </w:rPr>
    </w:pPr>
    <w:r>
      <w:rPr>
        <w:rFonts w:ascii="Arial Rounded" w:eastAsia="Arial Rounded" w:hAnsi="Arial Rounded" w:cs="Arial Rounded"/>
        <w:b/>
      </w:rPr>
      <w:t>III Congresso Internacional de Nutrição</w:t>
    </w:r>
  </w:p>
  <w:p w14:paraId="1B702CA4" w14:textId="77777777" w:rsidR="004A3B3A" w:rsidRDefault="00033FFB">
    <w:pPr>
      <w:tabs>
        <w:tab w:val="center" w:pos="4252"/>
        <w:tab w:val="right" w:pos="8504"/>
      </w:tabs>
      <w:spacing w:after="0" w:line="240" w:lineRule="auto"/>
      <w:rPr>
        <w:rFonts w:ascii="Arial Rounded" w:eastAsia="Arial Rounded" w:hAnsi="Arial Rounded" w:cs="Arial Rounded"/>
        <w:b/>
        <w:color w:val="000000"/>
      </w:rPr>
    </w:pPr>
    <w:r>
      <w:rPr>
        <w:rFonts w:ascii="Arial Rounded" w:eastAsia="Arial Rounded" w:hAnsi="Arial Rounded" w:cs="Arial Rounded"/>
        <w:b/>
        <w:color w:val="000000"/>
      </w:rPr>
      <w:t>Online</w:t>
    </w:r>
  </w:p>
  <w:p w14:paraId="396D61B3" w14:textId="77777777" w:rsidR="004A3B3A" w:rsidRDefault="004A3B3A">
    <w:pPr>
      <w:tabs>
        <w:tab w:val="center" w:pos="4252"/>
        <w:tab w:val="right" w:pos="8504"/>
      </w:tabs>
      <w:spacing w:after="0" w:line="240" w:lineRule="auto"/>
      <w:rPr>
        <w:rFonts w:ascii="Monda" w:eastAsia="Monda" w:hAnsi="Monda" w:cs="Monda"/>
        <w:color w:val="000000"/>
      </w:rPr>
    </w:pPr>
  </w:p>
  <w:p w14:paraId="3449ECDD" w14:textId="77777777" w:rsidR="004A3B3A" w:rsidRDefault="004A3B3A">
    <w:pPr>
      <w:tabs>
        <w:tab w:val="center" w:pos="4252"/>
        <w:tab w:val="right" w:pos="8504"/>
      </w:tabs>
      <w:spacing w:after="0" w:line="240" w:lineRule="auto"/>
      <w:rPr>
        <w:rFonts w:ascii="Monda" w:eastAsia="Monda" w:hAnsi="Monda" w:cs="Mond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B215D2"/>
    <w:multiLevelType w:val="multilevel"/>
    <w:tmpl w:val="BB52CE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F235602"/>
    <w:multiLevelType w:val="multilevel"/>
    <w:tmpl w:val="A43056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ED75A7F"/>
    <w:multiLevelType w:val="multilevel"/>
    <w:tmpl w:val="1BE2102A"/>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rPr>
        <w:b/>
        <w:bCs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B3A"/>
    <w:rsid w:val="0003032F"/>
    <w:rsid w:val="00033FFB"/>
    <w:rsid w:val="00263510"/>
    <w:rsid w:val="002B0638"/>
    <w:rsid w:val="004A3B3A"/>
    <w:rsid w:val="00557A02"/>
    <w:rsid w:val="00966B92"/>
    <w:rsid w:val="00A23BF9"/>
    <w:rsid w:val="00E41FC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59BE"/>
  <w15:docId w15:val="{2A0FA2A3-5A5B-4B45-80AB-E781D700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tulo1">
    <w:name w:val="heading 1"/>
    <w:basedOn w:val="Normal"/>
    <w:next w:val="Normal"/>
    <w:link w:val="Ttulo1Char"/>
    <w:uiPriority w:val="9"/>
    <w:qFormat/>
    <w:rsid w:val="007B1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4538A4"/>
    <w:pPr>
      <w:spacing w:beforeAutospacing="1"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link w:val="Ttulo6Char"/>
    <w:uiPriority w:val="9"/>
    <w:semiHidden/>
    <w:unhideWhenUsed/>
    <w:qFormat/>
    <w:rsid w:val="004538A4"/>
    <w:pPr>
      <w:spacing w:beforeAutospacing="1" w:afterAutospacing="1" w:line="240" w:lineRule="auto"/>
      <w:outlineLvl w:val="5"/>
    </w:pPr>
    <w:rPr>
      <w:rFonts w:ascii="Times New Roman" w:eastAsia="Times New Roman" w:hAnsi="Times New Roman" w:cs="Times New Roman"/>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FA6FD1"/>
    <w:rPr>
      <w:rFonts w:ascii="Tahoma" w:hAnsi="Tahoma" w:cs="Tahoma"/>
      <w:sz w:val="16"/>
      <w:szCs w:val="16"/>
    </w:rPr>
  </w:style>
  <w:style w:type="character" w:customStyle="1" w:styleId="CabealhoChar">
    <w:name w:val="Cabeçalho Char"/>
    <w:basedOn w:val="Fontepargpadro"/>
    <w:link w:val="Cabealho"/>
    <w:uiPriority w:val="99"/>
    <w:qFormat/>
    <w:rsid w:val="00FA6FD1"/>
  </w:style>
  <w:style w:type="character" w:customStyle="1" w:styleId="RodapChar">
    <w:name w:val="Rodapé Char"/>
    <w:basedOn w:val="Fontepargpadro"/>
    <w:link w:val="Rodap"/>
    <w:uiPriority w:val="99"/>
    <w:qFormat/>
    <w:rsid w:val="00FA6FD1"/>
  </w:style>
  <w:style w:type="character" w:customStyle="1" w:styleId="CitaoIntensaChar">
    <w:name w:val="Citação Intensa Char"/>
    <w:basedOn w:val="Fontepargpadro"/>
    <w:link w:val="CitaoIntensa"/>
    <w:uiPriority w:val="30"/>
    <w:qFormat/>
    <w:rsid w:val="0074074C"/>
    <w:rPr>
      <w:b/>
      <w:bCs/>
      <w:i/>
      <w:iCs/>
      <w:color w:val="4F81BD" w:themeColor="accent1"/>
    </w:rPr>
  </w:style>
  <w:style w:type="character" w:styleId="TtulodoLivro">
    <w:name w:val="Book Title"/>
    <w:basedOn w:val="Fontepargpadro"/>
    <w:uiPriority w:val="33"/>
    <w:qFormat/>
    <w:rsid w:val="0074074C"/>
    <w:rPr>
      <w:b/>
      <w:bCs/>
      <w:smallCaps/>
      <w:spacing w:val="5"/>
    </w:rPr>
  </w:style>
  <w:style w:type="character" w:customStyle="1" w:styleId="LinkdaInternet">
    <w:name w:val="Link da Internet"/>
    <w:basedOn w:val="Fontepargpadro"/>
    <w:uiPriority w:val="99"/>
    <w:unhideWhenUsed/>
    <w:rsid w:val="00625F2F"/>
    <w:rPr>
      <w:color w:val="0000FF" w:themeColor="hyperlink"/>
      <w:u w:val="single"/>
    </w:rPr>
  </w:style>
  <w:style w:type="character" w:customStyle="1" w:styleId="Ttulo2Char">
    <w:name w:val="Título 2 Char"/>
    <w:basedOn w:val="Fontepargpadro"/>
    <w:link w:val="Ttulo2"/>
    <w:uiPriority w:val="9"/>
    <w:qFormat/>
    <w:rsid w:val="004538A4"/>
    <w:rPr>
      <w:rFonts w:ascii="Times New Roman" w:eastAsia="Times New Roman" w:hAnsi="Times New Roman" w:cs="Times New Roman"/>
      <w:b/>
      <w:bCs/>
      <w:sz w:val="36"/>
      <w:szCs w:val="36"/>
    </w:rPr>
  </w:style>
  <w:style w:type="character" w:customStyle="1" w:styleId="Ttulo6Char">
    <w:name w:val="Título 6 Char"/>
    <w:basedOn w:val="Fontepargpadro"/>
    <w:link w:val="Ttulo6"/>
    <w:uiPriority w:val="9"/>
    <w:qFormat/>
    <w:rsid w:val="004538A4"/>
    <w:rPr>
      <w:rFonts w:ascii="Times New Roman" w:eastAsia="Times New Roman" w:hAnsi="Times New Roman" w:cs="Times New Roman"/>
      <w:b/>
      <w:bCs/>
      <w:sz w:val="15"/>
      <w:szCs w:val="15"/>
    </w:rPr>
  </w:style>
  <w:style w:type="character" w:customStyle="1" w:styleId="color11">
    <w:name w:val="color_11"/>
    <w:basedOn w:val="Fontepargpadro"/>
    <w:qFormat/>
    <w:rsid w:val="004538A4"/>
  </w:style>
  <w:style w:type="character" w:customStyle="1" w:styleId="TextodecomentrioChar">
    <w:name w:val="Texto de comentário Char"/>
    <w:basedOn w:val="Fontepargpadro"/>
    <w:link w:val="Textodecomentrio"/>
    <w:uiPriority w:val="99"/>
    <w:qFormat/>
    <w:rsid w:val="00C65AE8"/>
    <w:rPr>
      <w:rFonts w:eastAsiaTheme="minorHAnsi"/>
      <w:sz w:val="20"/>
      <w:szCs w:val="20"/>
      <w:lang w:eastAsia="en-US"/>
    </w:rPr>
  </w:style>
  <w:style w:type="character" w:styleId="Refdecomentrio">
    <w:name w:val="annotation reference"/>
    <w:basedOn w:val="Fontepargpadro"/>
    <w:uiPriority w:val="99"/>
    <w:semiHidden/>
    <w:unhideWhenUsed/>
    <w:qFormat/>
    <w:rsid w:val="00D76B9A"/>
    <w:rPr>
      <w:sz w:val="16"/>
      <w:szCs w:val="16"/>
    </w:rPr>
  </w:style>
  <w:style w:type="character" w:styleId="nfase">
    <w:name w:val="Emphasis"/>
    <w:basedOn w:val="Fontepargpadro"/>
    <w:uiPriority w:val="20"/>
    <w:qFormat/>
    <w:rsid w:val="00D76B9A"/>
    <w:rPr>
      <w:i/>
      <w:iCs/>
    </w:rPr>
  </w:style>
  <w:style w:type="character" w:customStyle="1" w:styleId="fontstyle01">
    <w:name w:val="fontstyle01"/>
    <w:basedOn w:val="Fontepargpadro"/>
    <w:qFormat/>
    <w:rsid w:val="00920E0C"/>
    <w:rPr>
      <w:rFonts w:ascii="Garamond-BookCondensed" w:hAnsi="Garamond-BookCondensed"/>
      <w:b w:val="0"/>
      <w:bCs w:val="0"/>
      <w:i w:val="0"/>
      <w:iCs w:val="0"/>
      <w:color w:val="000000"/>
      <w:sz w:val="22"/>
      <w:szCs w:val="22"/>
    </w:rPr>
  </w:style>
  <w:style w:type="character" w:customStyle="1" w:styleId="AssuntodocomentrioChar">
    <w:name w:val="Assunto do comentário Char"/>
    <w:basedOn w:val="TextodecomentrioChar"/>
    <w:link w:val="Assuntodocomentrio"/>
    <w:uiPriority w:val="99"/>
    <w:semiHidden/>
    <w:qFormat/>
    <w:rsid w:val="007B1B4E"/>
    <w:rPr>
      <w:rFonts w:eastAsiaTheme="minorHAnsi"/>
      <w:b/>
      <w:bCs/>
      <w:sz w:val="20"/>
      <w:szCs w:val="20"/>
      <w:lang w:eastAsia="en-US"/>
    </w:rPr>
  </w:style>
  <w:style w:type="character" w:customStyle="1" w:styleId="Ttulo1Char">
    <w:name w:val="Título 1 Char"/>
    <w:basedOn w:val="Fontepargpadro"/>
    <w:link w:val="Ttulo1"/>
    <w:uiPriority w:val="9"/>
    <w:qFormat/>
    <w:rsid w:val="007B1B4E"/>
    <w:rPr>
      <w:rFonts w:asciiTheme="majorHAnsi" w:eastAsiaTheme="majorEastAsia" w:hAnsiTheme="majorHAnsi" w:cstheme="majorBidi"/>
      <w:b/>
      <w:bCs/>
      <w:color w:val="365F91" w:themeColor="accent1" w:themeShade="BF"/>
      <w:sz w:val="28"/>
      <w:szCs w:val="28"/>
    </w:rPr>
  </w:style>
  <w:style w:type="character" w:customStyle="1" w:styleId="sc-axmlo">
    <w:name w:val="sc-axmlo"/>
    <w:basedOn w:val="Fontepargpadro"/>
    <w:qFormat/>
    <w:rsid w:val="00C82C31"/>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balo">
    <w:name w:val="Balloon Text"/>
    <w:basedOn w:val="Normal"/>
    <w:link w:val="TextodebaloChar"/>
    <w:uiPriority w:val="99"/>
    <w:semiHidden/>
    <w:unhideWhenUsed/>
    <w:qFormat/>
    <w:rsid w:val="00FA6FD1"/>
    <w:pPr>
      <w:spacing w:after="0" w:line="240" w:lineRule="auto"/>
    </w:pPr>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FA6FD1"/>
    <w:pPr>
      <w:tabs>
        <w:tab w:val="center" w:pos="4252"/>
        <w:tab w:val="right" w:pos="8504"/>
      </w:tabs>
      <w:spacing w:after="0" w:line="240" w:lineRule="auto"/>
    </w:pPr>
  </w:style>
  <w:style w:type="paragraph" w:styleId="Rodap">
    <w:name w:val="footer"/>
    <w:basedOn w:val="Normal"/>
    <w:link w:val="RodapChar"/>
    <w:uiPriority w:val="99"/>
    <w:unhideWhenUsed/>
    <w:rsid w:val="00FA6FD1"/>
    <w:pPr>
      <w:tabs>
        <w:tab w:val="center" w:pos="4252"/>
        <w:tab w:val="right" w:pos="8504"/>
      </w:tabs>
      <w:spacing w:after="0" w:line="240" w:lineRule="auto"/>
    </w:pPr>
  </w:style>
  <w:style w:type="paragraph" w:styleId="CitaoIntensa">
    <w:name w:val="Intense Quote"/>
    <w:basedOn w:val="Normal"/>
    <w:next w:val="Normal"/>
    <w:link w:val="CitaoIntensaChar"/>
    <w:uiPriority w:val="30"/>
    <w:qFormat/>
    <w:rsid w:val="0074074C"/>
    <w:pPr>
      <w:pBdr>
        <w:bottom w:val="single" w:sz="4" w:space="4" w:color="4F81BD"/>
      </w:pBdr>
      <w:spacing w:before="200" w:after="280"/>
      <w:ind w:left="936" w:right="936"/>
    </w:pPr>
    <w:rPr>
      <w:b/>
      <w:bCs/>
      <w:i/>
      <w:iCs/>
      <w:color w:val="4F81BD" w:themeColor="accent1"/>
    </w:rPr>
  </w:style>
  <w:style w:type="paragraph" w:styleId="PargrafodaLista">
    <w:name w:val="List Paragraph"/>
    <w:basedOn w:val="Normal"/>
    <w:uiPriority w:val="1"/>
    <w:qFormat/>
    <w:rsid w:val="00D81533"/>
    <w:pPr>
      <w:ind w:left="720"/>
      <w:contextualSpacing/>
    </w:pPr>
  </w:style>
  <w:style w:type="paragraph" w:styleId="Textodecomentrio">
    <w:name w:val="annotation text"/>
    <w:basedOn w:val="Normal"/>
    <w:link w:val="TextodecomentrioChar"/>
    <w:uiPriority w:val="99"/>
    <w:unhideWhenUsed/>
    <w:qFormat/>
    <w:rsid w:val="00C65AE8"/>
    <w:pPr>
      <w:spacing w:line="240" w:lineRule="auto"/>
    </w:pPr>
    <w:rPr>
      <w:rFonts w:eastAsiaTheme="minorHAnsi"/>
      <w:sz w:val="20"/>
      <w:szCs w:val="20"/>
      <w:lang w:eastAsia="en-US"/>
    </w:rPr>
  </w:style>
  <w:style w:type="paragraph" w:customStyle="1" w:styleId="Els-NoIndent">
    <w:name w:val="Els-NoIndent"/>
    <w:basedOn w:val="Normal"/>
    <w:qFormat/>
    <w:rsid w:val="00AB1E3E"/>
    <w:pPr>
      <w:spacing w:after="0" w:line="230" w:lineRule="exact"/>
      <w:jc w:val="both"/>
    </w:pPr>
    <w:rPr>
      <w:rFonts w:ascii="Times New Roman" w:eastAsia="SimSun" w:hAnsi="Times New Roman" w:cs="Times New Roman"/>
      <w:sz w:val="16"/>
      <w:szCs w:val="20"/>
      <w:lang w:val="en-US" w:eastAsia="en-US"/>
    </w:rPr>
  </w:style>
  <w:style w:type="paragraph" w:customStyle="1" w:styleId="Els-body-text">
    <w:name w:val="Els-body-text"/>
    <w:qFormat/>
    <w:rsid w:val="005F2FF8"/>
    <w:pPr>
      <w:spacing w:line="230" w:lineRule="exact"/>
      <w:ind w:firstLine="238"/>
      <w:jc w:val="both"/>
    </w:pPr>
    <w:rPr>
      <w:rFonts w:ascii="Times New Roman" w:eastAsia="SimSun" w:hAnsi="Times New Roman" w:cs="Times New Roman"/>
      <w:sz w:val="16"/>
      <w:szCs w:val="20"/>
      <w:lang w:val="en-US" w:eastAsia="en-US"/>
    </w:rPr>
  </w:style>
  <w:style w:type="paragraph" w:customStyle="1" w:styleId="Els-table-caption">
    <w:name w:val="Els-table-caption"/>
    <w:qFormat/>
    <w:rsid w:val="005F2DFF"/>
    <w:pPr>
      <w:keepLines/>
      <w:spacing w:before="230" w:after="230" w:line="200" w:lineRule="exact"/>
    </w:pPr>
    <w:rPr>
      <w:rFonts w:ascii="Times New Roman" w:eastAsia="SimSun" w:hAnsi="Times New Roman" w:cs="Times New Roman"/>
      <w:b/>
      <w:sz w:val="16"/>
      <w:szCs w:val="20"/>
      <w:lang w:val="en-US" w:eastAsia="en-US"/>
    </w:rPr>
  </w:style>
  <w:style w:type="paragraph" w:customStyle="1" w:styleId="Els-table-text">
    <w:name w:val="Els-table-text"/>
    <w:qFormat/>
    <w:rsid w:val="005F2DFF"/>
    <w:pPr>
      <w:spacing w:after="80" w:line="200" w:lineRule="exact"/>
    </w:pPr>
    <w:rPr>
      <w:rFonts w:ascii="Times New Roman" w:eastAsia="SimSun" w:hAnsi="Times New Roman" w:cs="Times New Roman"/>
      <w:sz w:val="14"/>
      <w:szCs w:val="20"/>
      <w:lang w:val="en-US" w:eastAsia="en-US"/>
    </w:rPr>
  </w:style>
  <w:style w:type="paragraph" w:customStyle="1" w:styleId="Els-table-col-head">
    <w:name w:val="Els-table-col-head"/>
    <w:basedOn w:val="Els-table-text"/>
    <w:qFormat/>
    <w:rsid w:val="005F2DFF"/>
    <w:rPr>
      <w:b/>
      <w:sz w:val="16"/>
    </w:rPr>
  </w:style>
  <w:style w:type="paragraph" w:styleId="Assuntodocomentrio">
    <w:name w:val="annotation subject"/>
    <w:basedOn w:val="Textodecomentrio"/>
    <w:next w:val="Textodecomentrio"/>
    <w:link w:val="AssuntodocomentrioChar"/>
    <w:uiPriority w:val="99"/>
    <w:semiHidden/>
    <w:unhideWhenUsed/>
    <w:qFormat/>
    <w:rsid w:val="007B1B4E"/>
    <w:rPr>
      <w:rFonts w:eastAsiaTheme="minorEastAsia"/>
      <w:b/>
      <w:bCs/>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o">
    <w:name w:val="Revision"/>
    <w:uiPriority w:val="99"/>
    <w:semiHidden/>
    <w:qFormat/>
    <w:rsid w:val="00A53E17"/>
  </w:style>
  <w:style w:type="paragraph" w:styleId="NormalWeb">
    <w:name w:val="Normal (Web)"/>
    <w:basedOn w:val="Normal"/>
    <w:uiPriority w:val="99"/>
    <w:unhideWhenUsed/>
    <w:qFormat/>
    <w:rsid w:val="00C82C31"/>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C82C31"/>
    <w:pPr>
      <w:jc w:val="center"/>
    </w:pPr>
    <w:rPr>
      <w:rFonts w:ascii="Myriad Pro" w:eastAsiaTheme="minorEastAsia" w:hAnsi="Myriad Pro" w:cs="Myriad Pro"/>
      <w:color w:val="000000"/>
      <w:sz w:val="24"/>
      <w:szCs w:val="24"/>
    </w:rPr>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comgrade">
    <w:name w:val="Table Grid"/>
    <w:basedOn w:val="Tabelanormal"/>
    <w:uiPriority w:val="39"/>
    <w:rsid w:val="00DB0D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iKgeDKpimRlFYld9RedNka4XzpeA==">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</go:docsCustomData>
</go:gDocsCustomXmlDataStorage>
</file>

<file path=customXml/itemProps1.xml><?xml version="1.0" encoding="utf-8"?>
<ds:datastoreItem xmlns:ds="http://schemas.openxmlformats.org/officeDocument/2006/customXml" ds:itemID="{B6B02590-6909-4708-BDD9-6BB610DFCAB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4327</Words>
  <Characters>23366</Characters>
  <Application>Microsoft Office Word</Application>
  <DocSecurity>0</DocSecurity>
  <Lines>194</Lines>
  <Paragraphs>55</Paragraphs>
  <ScaleCrop>false</ScaleCrop>
  <Company/>
  <LinksUpToDate>false</LinksUpToDate>
  <CharactersWithSpaces>27638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dc:creator>
  <dc:description/>
  <cp:lastModifiedBy>Ravel Rocha</cp:lastModifiedBy>
  <cp:revision>25</cp:revision>
  <dcterms:created xsi:type="dcterms:W3CDTF">2020-10-24T19:14:00Z</dcterms:created>
  <dcterms:modified xsi:type="dcterms:W3CDTF">2020-10-25T23:17:00Z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endeley Citation Style_1">
    <vt:lpwstr>http://www.zotero.org/styles/associacao-brasileira-de-normas-tecnicas</vt:lpwstr>
  </property>
  <property fmtid="{D5CDD505-2E9C-101B-9397-08002B2CF9AE}" pid="7" name="Mendeley Document_1">
    <vt:lpwstr>True</vt:lpwstr>
  </property>
  <property fmtid="{D5CDD505-2E9C-101B-9397-08002B2CF9AE}" pid="8" name="Mendeley Recent Style Id 0_1">
    <vt:lpwstr>http://www.zotero.org/styles/apa</vt:lpwstr>
  </property>
  <property fmtid="{D5CDD505-2E9C-101B-9397-08002B2CF9AE}" pid="9" name="Mendeley Recent Style Id 1_1">
    <vt:lpwstr>http://www.zotero.org/styles/american-sociological-association</vt:lpwstr>
  </property>
  <property fmtid="{D5CDD505-2E9C-101B-9397-08002B2CF9AE}" pid="10" name="Mendeley Recent Style Id 2_1">
    <vt:lpwstr>http://www.zotero.org/styles/associacao-brasileira-de-normas-tecnicas</vt:lpwstr>
  </property>
  <property fmtid="{D5CDD505-2E9C-101B-9397-08002B2CF9AE}" pid="11" name="Mendeley Recent Style Id 3_1">
    <vt:lpwstr>http://www.zotero.org/styles/chicago-author-date</vt:lpwstr>
  </property>
  <property fmtid="{D5CDD505-2E9C-101B-9397-08002B2CF9AE}" pid="12" name="Mendeley Recent Style Id 4_1">
    <vt:lpwstr>http://www.zotero.org/styles/harvard-cite-them-right</vt:lpwstr>
  </property>
  <property fmtid="{D5CDD505-2E9C-101B-9397-08002B2CF9AE}" pid="13" name="Mendeley Recent Style Id 5_1">
    <vt:lpwstr>http://www.zotero.org/styles/ieee</vt:lpwstr>
  </property>
  <property fmtid="{D5CDD505-2E9C-101B-9397-08002B2CF9AE}" pid="14" name="Mendeley Recent Style Id 6_1">
    <vt:lpwstr>http://www.zotero.org/styles/modern-humanities-research-association</vt:lpwstr>
  </property>
  <property fmtid="{D5CDD505-2E9C-101B-9397-08002B2CF9AE}" pid="15" name="Mendeley Recent Style Id 7_1">
    <vt:lpwstr>http://www.zotero.org/styles/modern-language-association</vt:lpwstr>
  </property>
  <property fmtid="{D5CDD505-2E9C-101B-9397-08002B2CF9AE}" pid="16" name="Mendeley Recent Style Id 8_1">
    <vt:lpwstr>http://www.zotero.org/styles/nature</vt:lpwstr>
  </property>
  <property fmtid="{D5CDD505-2E9C-101B-9397-08002B2CF9AE}" pid="17" name="Mendeley Recent Style Id 9_1">
    <vt:lpwstr>http://www.zotero.org/styles/vancouver</vt:lpwstr>
  </property>
  <property fmtid="{D5CDD505-2E9C-101B-9397-08002B2CF9AE}" pid="18" name="Mendeley Recent Style Name 0_1">
    <vt:lpwstr>American Psychological Association 7th edition</vt:lpwstr>
  </property>
  <property fmtid="{D5CDD505-2E9C-101B-9397-08002B2CF9AE}" pid="19" name="Mendeley Recent Style Name 1_1">
    <vt:lpwstr>American Sociological Association</vt:lpwstr>
  </property>
  <property fmtid="{D5CDD505-2E9C-101B-9397-08002B2CF9AE}" pid="20" name="Mendeley Recent Style Name 2_1">
    <vt:lpwstr>Associação Brasileira de Normas Técnicas (Portuguese - Brazil)</vt:lpwstr>
  </property>
  <property fmtid="{D5CDD505-2E9C-101B-9397-08002B2CF9AE}" pid="21" name="Mendeley Recent Style Name 3_1">
    <vt:lpwstr>Chicago Manual of Style 17th edition (author-date)</vt:lpwstr>
  </property>
  <property fmtid="{D5CDD505-2E9C-101B-9397-08002B2CF9AE}" pid="22" name="Mendeley Recent Style Name 4_1">
    <vt:lpwstr>Cite Them Right 10th edition - Harvard</vt:lpwstr>
  </property>
  <property fmtid="{D5CDD505-2E9C-101B-9397-08002B2CF9AE}" pid="23" name="Mendeley Recent Style Name 5_1">
    <vt:lpwstr>IEEE</vt:lpwstr>
  </property>
  <property fmtid="{D5CDD505-2E9C-101B-9397-08002B2CF9AE}" pid="24" name="Mendeley Recent Style Name 6_1">
    <vt:lpwstr>Modern Humanities Research Association 3rd edition (note with bibliography)</vt:lpwstr>
  </property>
  <property fmtid="{D5CDD505-2E9C-101B-9397-08002B2CF9AE}" pid="25" name="Mendeley Recent Style Name 7_1">
    <vt:lpwstr>Modern Language Association 8th edition</vt:lpwstr>
  </property>
  <property fmtid="{D5CDD505-2E9C-101B-9397-08002B2CF9AE}" pid="26" name="Mendeley Recent Style Name 8_1">
    <vt:lpwstr>Nature</vt:lpwstr>
  </property>
  <property fmtid="{D5CDD505-2E9C-101B-9397-08002B2CF9AE}" pid="27" name="Mendeley Recent Style Name 9_1">
    <vt:lpwstr>Vancouver</vt:lpwstr>
  </property>
  <property fmtid="{D5CDD505-2E9C-101B-9397-08002B2CF9AE}" pid="28" name="Mendeley Unique User Id_1">
    <vt:lpwstr>9105562b-7a9c-310b-9dc9-7951cbaa123b</vt:lpwstr>
  </property>
  <property fmtid="{D5CDD505-2E9C-101B-9397-08002B2CF9AE}" pid="29" name="ScaleCrop">
    <vt:bool>false</vt:bool>
  </property>
  <property fmtid="{D5CDD505-2E9C-101B-9397-08002B2CF9AE}" pid="30" name="ShareDoc">
    <vt:bool>false</vt:bool>
  </property>
</Properties>
</file>