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7777777" w:rsidR="0053021A" w:rsidRPr="00733AFB" w:rsidRDefault="0053021A" w:rsidP="0053021A">
                                <w:pPr>
                                  <w:rPr>
                                    <w:rFonts w:ascii="Antonio" w:hAnsi="Antonio"/>
                                    <w:color w:val="1A9B3C"/>
                                    <w:sz w:val="36"/>
                                    <w:szCs w:val="36"/>
                                  </w:rPr>
                                </w:pPr>
                                <w:r w:rsidRPr="00733AFB">
                                  <w:rPr>
                                    <w:rFonts w:ascii="Antonio" w:hAnsi="Antonio"/>
                                    <w:color w:val="1A9B3C"/>
                                    <w:sz w:val="36"/>
                                    <w:szCs w:val="36"/>
                                  </w:rPr>
                                  <w:t>INSERIR TÍTULO DO GT AQUI INSERIR TÍTULO DO GT AQUI INSERIR TÍTULO DO GT AQUI INSERIR TÍTULO DO GT AQUI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77777777" w:rsidR="0053021A" w:rsidRPr="00733AFB" w:rsidRDefault="0053021A" w:rsidP="0053021A">
                          <w:pPr>
                            <w:rPr>
                              <w:rFonts w:ascii="Antonio" w:hAnsi="Antonio"/>
                              <w:color w:val="1A9B3C"/>
                              <w:sz w:val="36"/>
                              <w:szCs w:val="36"/>
                            </w:rPr>
                          </w:pPr>
                          <w:r w:rsidRPr="00733AFB">
                            <w:rPr>
                              <w:rFonts w:ascii="Antonio" w:hAnsi="Antonio"/>
                              <w:color w:val="1A9B3C"/>
                              <w:sz w:val="36"/>
                              <w:szCs w:val="36"/>
                            </w:rPr>
                            <w:t>INSERIR TÍTULO DO GT AQUI INSERIR TÍTULO DO GT AQUI INSERIR TÍTULO DO GT AQUI INSERIR TÍTULO DO GT AQUI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558A6753" w:rsidR="00216EFF" w:rsidRPr="00216EFF" w:rsidRDefault="00A333F2" w:rsidP="00216EFF">
      <w:pPr>
        <w:spacing w:after="240" w:line="360" w:lineRule="auto"/>
        <w:jc w:val="center"/>
        <w:rPr>
          <w:rFonts w:eastAsia="Arial"/>
          <w:b/>
          <w:bCs/>
        </w:rPr>
      </w:pPr>
      <w:r w:rsidRPr="00A333F2">
        <w:rPr>
          <w:rFonts w:eastAsia="Arial"/>
          <w:b/>
          <w:bCs/>
        </w:rPr>
        <w:t>DISPUTANDO O ESTADO: O PAPEL MENOSPREZADO DA POLÍTICA E DO PODER NA DEFINIÇÃO DE TRANSIÇÕES SUSTENTÁVEIS NOS SISTEMAS ALIMENTARES</w:t>
      </w:r>
    </w:p>
    <w:p w14:paraId="0D249CF3" w14:textId="77777777" w:rsidR="00216EFF" w:rsidRPr="00216EFF" w:rsidRDefault="00216EFF" w:rsidP="00216EFF">
      <w:pPr>
        <w:spacing w:line="360" w:lineRule="auto"/>
        <w:ind w:hanging="2"/>
        <w:jc w:val="center"/>
        <w:rPr>
          <w:rFonts w:eastAsia="Arial" w:cs="Arial"/>
        </w:rPr>
      </w:pPr>
    </w:p>
    <w:p w14:paraId="50A5D750" w14:textId="43F1C04C" w:rsidR="00216EFF" w:rsidRPr="00216EFF" w:rsidRDefault="00E02178" w:rsidP="00216EFF">
      <w:pPr>
        <w:spacing w:line="360" w:lineRule="auto"/>
        <w:ind w:hanging="2"/>
        <w:jc w:val="center"/>
        <w:rPr>
          <w:rFonts w:eastAsia="Arial" w:cs="Arial"/>
          <w:vertAlign w:val="superscript"/>
        </w:rPr>
      </w:pPr>
      <w:r>
        <w:rPr>
          <w:rFonts w:eastAsia="Arial" w:cs="Arial"/>
        </w:rPr>
        <w:t>Ricardo Serra Borsatto</w:t>
      </w:r>
      <w:r w:rsidR="00216EFF" w:rsidRPr="00216EFF">
        <w:rPr>
          <w:rStyle w:val="FootnoteReference"/>
          <w:rFonts w:eastAsia="Arial" w:cs="Arial"/>
        </w:rPr>
        <w:footnoteReference w:id="1"/>
      </w:r>
    </w:p>
    <w:p w14:paraId="05420B62" w14:textId="41484B4E" w:rsidR="00216EFF" w:rsidRDefault="00E02178" w:rsidP="00216EFF">
      <w:pPr>
        <w:spacing w:line="360" w:lineRule="auto"/>
        <w:ind w:hanging="2"/>
        <w:jc w:val="center"/>
        <w:rPr>
          <w:rFonts w:eastAsia="Arial" w:cs="Arial"/>
        </w:rPr>
      </w:pPr>
      <w:proofErr w:type="spellStart"/>
      <w:r>
        <w:rPr>
          <w:rFonts w:eastAsia="Arial" w:cs="Arial"/>
        </w:rPr>
        <w:t>Adanella</w:t>
      </w:r>
      <w:proofErr w:type="spellEnd"/>
      <w:r>
        <w:rPr>
          <w:rFonts w:eastAsia="Arial" w:cs="Arial"/>
        </w:rPr>
        <w:t xml:space="preserve"> Rossi</w:t>
      </w:r>
      <w:r w:rsidR="00216EFF" w:rsidRPr="00216EFF">
        <w:rPr>
          <w:rStyle w:val="FootnoteReference"/>
          <w:rFonts w:eastAsia="Arial" w:cs="Arial"/>
        </w:rPr>
        <w:footnoteReference w:id="2"/>
      </w:r>
    </w:p>
    <w:p w14:paraId="2EE90605" w14:textId="35F76565" w:rsidR="00E02178" w:rsidRPr="00216EFF" w:rsidRDefault="00E02178" w:rsidP="00216EFF">
      <w:pPr>
        <w:spacing w:line="360" w:lineRule="auto"/>
        <w:ind w:hanging="2"/>
        <w:jc w:val="center"/>
        <w:rPr>
          <w:rFonts w:eastAsia="Arial" w:cs="Arial"/>
        </w:rPr>
      </w:pPr>
      <w:r>
        <w:rPr>
          <w:rFonts w:eastAsia="Arial" w:cs="Arial"/>
        </w:rPr>
        <w:t>Leandro de Lima Santos</w:t>
      </w:r>
      <w:r>
        <w:rPr>
          <w:rStyle w:val="FootnoteReference"/>
          <w:rFonts w:eastAsia="Arial" w:cs="Arial"/>
        </w:rPr>
        <w:footnoteReference w:id="3"/>
      </w:r>
    </w:p>
    <w:p w14:paraId="51BB509E" w14:textId="77777777" w:rsidR="00216EFF" w:rsidRPr="00216EFF" w:rsidRDefault="00216EFF" w:rsidP="00216EFF">
      <w:pPr>
        <w:spacing w:line="360" w:lineRule="auto"/>
        <w:ind w:hanging="2"/>
        <w:rPr>
          <w:rFonts w:eastAsia="Arial" w:cs="Arial"/>
          <w:color w:val="FF0000"/>
        </w:rPr>
      </w:pPr>
    </w:p>
    <w:p w14:paraId="0C32F20E" w14:textId="15029A84" w:rsidR="00216EFF" w:rsidRPr="00216EFF" w:rsidRDefault="00216EFF" w:rsidP="00216EFF">
      <w:pPr>
        <w:spacing w:line="360" w:lineRule="auto"/>
        <w:ind w:hanging="2"/>
        <w:rPr>
          <w:rFonts w:eastAsia="Arial" w:cs="Arial"/>
        </w:rPr>
      </w:pPr>
      <w:r w:rsidRPr="00216EFF">
        <w:rPr>
          <w:rFonts w:eastAsia="Arial" w:cs="Arial"/>
          <w:b/>
        </w:rPr>
        <w:t xml:space="preserve">GT </w:t>
      </w:r>
      <w:r w:rsidR="009C0A24">
        <w:rPr>
          <w:rFonts w:eastAsia="Arial" w:cs="Arial"/>
          <w:b/>
        </w:rPr>
        <w:t>5</w:t>
      </w:r>
      <w:r w:rsidRPr="00216EFF">
        <w:rPr>
          <w:rFonts w:eastAsia="Arial" w:cs="Arial"/>
          <w:b/>
        </w:rPr>
        <w:t>:</w:t>
      </w:r>
      <w:r w:rsidRPr="00216EFF">
        <w:rPr>
          <w:rFonts w:eastAsia="Arial" w:cs="Arial"/>
        </w:rPr>
        <w:t xml:space="preserve"> </w:t>
      </w:r>
      <w:r w:rsidR="009C0A24" w:rsidRPr="009C0A24">
        <w:rPr>
          <w:rFonts w:eastAsia="Arial" w:cs="Arial"/>
        </w:rPr>
        <w:t>DE DENTRO “DA PORTEIRA”, OLHANDO O CAMPO DE “CIMA”: OS ESTUDOS RURAIS ENTRE AS ELITES E CLASSES DOMINANTES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210C9323" w:rsidR="00216EFF" w:rsidRPr="00216EFF" w:rsidRDefault="00DC033E" w:rsidP="00216EFF">
      <w:pPr>
        <w:spacing w:line="360" w:lineRule="auto"/>
        <w:ind w:hanging="2"/>
        <w:jc w:val="both"/>
        <w:rPr>
          <w:rFonts w:eastAsia="Arial" w:cs="Arial"/>
        </w:rPr>
      </w:pPr>
      <w:r w:rsidRPr="00DC033E">
        <w:rPr>
          <w:rFonts w:eastAsia="Arial" w:cs="Arial"/>
          <w:color w:val="000000"/>
        </w:rPr>
        <w:t xml:space="preserve">Este artigo propõe uma abordagem crítica das transições sustentáveis nos sistemas alimentares, articulando a Perspectiva Multinível (MLP) com conceitos da teoria </w:t>
      </w:r>
      <w:proofErr w:type="spellStart"/>
      <w:r w:rsidRPr="00DC033E">
        <w:rPr>
          <w:rFonts w:eastAsia="Arial" w:cs="Arial"/>
          <w:color w:val="000000"/>
        </w:rPr>
        <w:t>neo-gramsciana</w:t>
      </w:r>
      <w:proofErr w:type="spellEnd"/>
      <w:r w:rsidRPr="00DC033E">
        <w:rPr>
          <w:rFonts w:eastAsia="Arial" w:cs="Arial"/>
          <w:color w:val="000000"/>
        </w:rPr>
        <w:t>. A partir da constatação de que o regime alimentar hegemônico resiste a mudanças estruturais, os autores argumentam que é necessário compreender como as elites do agronegócio mobilizam poderes material, institucional e discursivo para manter sua hegemonia. Conceitos como hegemonia, bloco histórico, Estado integral, guerra de posição, revolução passiva e transformismo são utilizados para revelar as estratégias dos atores incumbentes de bloquear, cooptar ou neutralizar inovações oriundas de nichos. Ao integrar dimensões políticas e ideológicas às análises sociotécnicas, o artigo oferece uma contribuição original para os estudos de transição, ampliando a compreensão sobre os limites e possibilidades das transformações rumo a sistemas alimentares mais justos, saudáveis e sustentáveis.</w:t>
      </w:r>
    </w:p>
    <w:p w14:paraId="59D7E4EA" w14:textId="7E3ECA7B" w:rsidR="00DC033E" w:rsidRPr="00DC033E" w:rsidRDefault="00216EFF" w:rsidP="00DC033E">
      <w:pPr>
        <w:spacing w:line="360" w:lineRule="auto"/>
        <w:ind w:hanging="2"/>
        <w:jc w:val="both"/>
        <w:rPr>
          <w:rFonts w:eastAsia="Arial" w:cs="Arial"/>
        </w:rPr>
      </w:pPr>
      <w:r w:rsidRPr="00216EFF">
        <w:rPr>
          <w:rFonts w:eastAsia="Arial" w:cs="Arial"/>
        </w:rPr>
        <w:t xml:space="preserve">Palavras-chave: </w:t>
      </w:r>
      <w:r w:rsidR="00DC033E" w:rsidRPr="00DC033E">
        <w:rPr>
          <w:rFonts w:eastAsia="Arial" w:cs="Arial"/>
        </w:rPr>
        <w:t>Hegemonia</w:t>
      </w:r>
      <w:r w:rsidR="00DC033E">
        <w:rPr>
          <w:rFonts w:eastAsia="Arial" w:cs="Arial"/>
        </w:rPr>
        <w:t xml:space="preserve">; </w:t>
      </w:r>
      <w:r w:rsidR="00DC033E" w:rsidRPr="00DC033E">
        <w:rPr>
          <w:rFonts w:eastAsia="Arial" w:cs="Arial"/>
        </w:rPr>
        <w:t>Transições sustentáveis</w:t>
      </w:r>
      <w:r w:rsidR="00DC033E">
        <w:rPr>
          <w:rFonts w:eastAsia="Arial" w:cs="Arial"/>
        </w:rPr>
        <w:t xml:space="preserve">; </w:t>
      </w:r>
      <w:proofErr w:type="spellStart"/>
      <w:r w:rsidR="00DC033E" w:rsidRPr="00DC033E">
        <w:rPr>
          <w:rFonts w:eastAsia="Arial" w:cs="Arial"/>
        </w:rPr>
        <w:t>Neo-gramscianismo</w:t>
      </w:r>
      <w:proofErr w:type="spellEnd"/>
      <w:r w:rsidR="00DC033E">
        <w:rPr>
          <w:rFonts w:eastAsia="Arial" w:cs="Arial"/>
        </w:rPr>
        <w:t xml:space="preserve">; </w:t>
      </w:r>
      <w:r w:rsidR="00DC033E" w:rsidRPr="00DC033E">
        <w:rPr>
          <w:rFonts w:eastAsia="Arial" w:cs="Arial"/>
        </w:rPr>
        <w:t>Regimes sociotécnicos</w:t>
      </w:r>
    </w:p>
    <w:p w14:paraId="480B2C1C" w14:textId="4A75BF4C" w:rsidR="00216EFF" w:rsidRPr="00216EFF" w:rsidRDefault="00216EFF" w:rsidP="00216EFF">
      <w:pPr>
        <w:spacing w:line="360" w:lineRule="auto"/>
        <w:ind w:hanging="2"/>
        <w:jc w:val="both"/>
        <w:rPr>
          <w:rFonts w:eastAsia="Arial" w:cs="Arial"/>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7350A264" w14:textId="485FC1B9" w:rsidR="00A333F2" w:rsidRPr="00A333F2" w:rsidRDefault="00A333F2" w:rsidP="00A333F2">
      <w:pPr>
        <w:spacing w:line="360" w:lineRule="auto"/>
        <w:jc w:val="both"/>
        <w:rPr>
          <w:rFonts w:eastAsia="Arial" w:cs="Arial"/>
        </w:rPr>
      </w:pPr>
      <w:r w:rsidRPr="00A333F2">
        <w:rPr>
          <w:rFonts w:eastAsia="Arial" w:cs="Arial"/>
        </w:rPr>
        <w:t xml:space="preserve">Por que é tão difícil </w:t>
      </w:r>
      <w:r>
        <w:rPr>
          <w:rFonts w:eastAsia="Arial" w:cs="Arial"/>
        </w:rPr>
        <w:t>disseminar</w:t>
      </w:r>
      <w:r w:rsidRPr="00A333F2">
        <w:rPr>
          <w:rFonts w:eastAsia="Arial" w:cs="Arial"/>
        </w:rPr>
        <w:t xml:space="preserve"> transições sustentáveis </w:t>
      </w:r>
      <w:r>
        <w:rPr>
          <w:rFonts w:eastAsia="Arial" w:cs="Arial"/>
        </w:rPr>
        <w:t>em</w:t>
      </w:r>
      <w:r w:rsidRPr="00A333F2">
        <w:rPr>
          <w:rFonts w:eastAsia="Arial" w:cs="Arial"/>
        </w:rPr>
        <w:t xml:space="preserve"> sistemas alimentares? Após pelo menos duas décadas de mobilização consistente em diferentes frentes (como academia, movimentos sociais e sociedade civil), pressionando por mudanças estruturais significativas em nosso sistema alimentar, os resultados ainda são limitados frente à urgência do problema.</w:t>
      </w:r>
    </w:p>
    <w:p w14:paraId="099B00B7" w14:textId="54B5B3D9" w:rsidR="00A333F2" w:rsidRDefault="00A333F2" w:rsidP="00A333F2">
      <w:pPr>
        <w:spacing w:line="360" w:lineRule="auto"/>
        <w:jc w:val="both"/>
        <w:rPr>
          <w:rFonts w:eastAsia="Arial" w:cs="Arial"/>
        </w:rPr>
      </w:pPr>
      <w:r w:rsidRPr="00A333F2">
        <w:rPr>
          <w:rFonts w:eastAsia="Arial" w:cs="Arial"/>
        </w:rPr>
        <w:lastRenderedPageBreak/>
        <w:t>Um dos referenciais teórico-analíticos mais utilizados nas pesquisas sobre transições sustentáveis em sistemas alimentares é a Perspectiva Multinível (</w:t>
      </w:r>
      <w:proofErr w:type="spellStart"/>
      <w:r w:rsidRPr="00A333F2">
        <w:rPr>
          <w:rFonts w:eastAsia="Arial" w:cs="Arial"/>
        </w:rPr>
        <w:t>Multi-Level</w:t>
      </w:r>
      <w:proofErr w:type="spellEnd"/>
      <w:r w:rsidRPr="00A333F2">
        <w:rPr>
          <w:rFonts w:eastAsia="Arial" w:cs="Arial"/>
        </w:rPr>
        <w:t xml:space="preserve"> Perspective – </w:t>
      </w:r>
      <w:proofErr w:type="gramStart"/>
      <w:r w:rsidRPr="00A333F2">
        <w:rPr>
          <w:rFonts w:eastAsia="Arial" w:cs="Arial"/>
        </w:rPr>
        <w:t>MLP)</w:t>
      </w:r>
      <w:r w:rsidRPr="00A333F2">
        <w:rPr>
          <w:rFonts w:ascii="MS Gothic" w:eastAsia="MS Gothic" w:hAnsi="MS Gothic" w:cs="MS Gothic" w:hint="eastAsia"/>
        </w:rPr>
        <w:t>【</w:t>
      </w:r>
      <w:proofErr w:type="gramEnd"/>
      <w:r w:rsidRPr="00A333F2">
        <w:rPr>
          <w:rFonts w:eastAsia="Arial" w:cs="Arial"/>
        </w:rPr>
        <w:t>14,15</w:t>
      </w:r>
      <w:r w:rsidRPr="00A333F2">
        <w:rPr>
          <w:rFonts w:ascii="MS Gothic" w:eastAsia="MS Gothic" w:hAnsi="MS Gothic" w:cs="MS Gothic" w:hint="eastAsia"/>
        </w:rPr>
        <w:t>】</w:t>
      </w:r>
      <w:r w:rsidRPr="00A333F2">
        <w:rPr>
          <w:rFonts w:eastAsia="Arial" w:cs="Arial"/>
        </w:rPr>
        <w:t xml:space="preserve">. Esse arcabouço conceitual entende as transições como mudanças nos regimes sociotécnicos resultantes da interação entre três níveis heurísticos distintos de estruturação: nichos (onde surgem práticas e abordagens inovadoras), regimes (relacionados às instituições e práticas dominantes no sistema) e a paisagem (tendências exógenas de longo </w:t>
      </w:r>
      <w:proofErr w:type="gramStart"/>
      <w:r w:rsidRPr="00A333F2">
        <w:rPr>
          <w:rFonts w:eastAsia="Arial" w:cs="Arial"/>
        </w:rPr>
        <w:t>prazo)</w:t>
      </w:r>
      <w:r w:rsidRPr="00A333F2">
        <w:rPr>
          <w:rFonts w:ascii="MS Gothic" w:eastAsia="MS Gothic" w:hAnsi="MS Gothic" w:cs="MS Gothic" w:hint="eastAsia"/>
        </w:rPr>
        <w:t>【</w:t>
      </w:r>
      <w:proofErr w:type="gramEnd"/>
      <w:r w:rsidRPr="00A333F2">
        <w:rPr>
          <w:rFonts w:eastAsia="Arial" w:cs="Arial"/>
        </w:rPr>
        <w:t>16,17</w:t>
      </w:r>
      <w:r w:rsidRPr="00A333F2">
        <w:rPr>
          <w:rFonts w:ascii="MS Gothic" w:eastAsia="MS Gothic" w:hAnsi="MS Gothic" w:cs="MS Gothic" w:hint="eastAsia"/>
        </w:rPr>
        <w:t>】</w:t>
      </w:r>
      <w:r w:rsidR="00BB0A35">
        <w:rPr>
          <w:rFonts w:ascii="MS Gothic" w:eastAsia="MS Gothic" w:hAnsi="MS Gothic" w:cs="MS Gothic"/>
        </w:rPr>
        <w:t>.</w:t>
      </w:r>
      <w:r>
        <w:rPr>
          <w:rFonts w:eastAsia="Arial" w:cs="Arial"/>
        </w:rPr>
        <w:t xml:space="preserve"> </w:t>
      </w:r>
    </w:p>
    <w:p w14:paraId="292FD771" w14:textId="77777777" w:rsidR="00A333F2" w:rsidRPr="00A333F2" w:rsidRDefault="00A333F2" w:rsidP="00A333F2">
      <w:pPr>
        <w:spacing w:line="360" w:lineRule="auto"/>
        <w:jc w:val="both"/>
        <w:rPr>
          <w:rFonts w:eastAsia="Arial" w:cs="Arial"/>
        </w:rPr>
      </w:pPr>
      <w:r w:rsidRPr="00A333F2">
        <w:rPr>
          <w:rFonts w:eastAsia="Arial" w:cs="Arial"/>
        </w:rPr>
        <w:t xml:space="preserve">Apesar de um número crescente de pesquisadores utilizar a abordagem MLP para entender como experiências em nichos podem promover transições sustentáveis em regimes alimentares, são raros os estudos que empregam esse mesmo referencial para investigar como os regimes bloqueiam essas inovações e impedem sua ampliação. Provavelmente, essa tendência a uma interpretação unidirecional (de baixo para cima) do processo de transição nos sistemas alimentares decorre de lacunas já apontadas — e progressivamente enfrentadas por uma literatura mais recente — na formulação da MLP: a ênfase excessiva no papel dos nichos como principal </w:t>
      </w:r>
      <w:proofErr w:type="spellStart"/>
      <w:r w:rsidRPr="00A333F2">
        <w:rPr>
          <w:rFonts w:eastAsia="Arial" w:cs="Arial"/>
        </w:rPr>
        <w:t>locus</w:t>
      </w:r>
      <w:proofErr w:type="spellEnd"/>
      <w:r w:rsidRPr="00A333F2">
        <w:rPr>
          <w:rFonts w:eastAsia="Arial" w:cs="Arial"/>
        </w:rPr>
        <w:t xml:space="preserve"> da mudança, a negligência das relações de poder e política nos primeiros estudos sobre transições, e a ausência de uma perspectiva estruturalista que incorpore as dinâmicas do capitalismo</w:t>
      </w:r>
      <w:r w:rsidRPr="00A333F2">
        <w:rPr>
          <w:rFonts w:ascii="MS Gothic" w:eastAsia="MS Gothic" w:hAnsi="MS Gothic" w:cs="MS Gothic" w:hint="eastAsia"/>
        </w:rPr>
        <w:t>【</w:t>
      </w:r>
      <w:r w:rsidRPr="00A333F2">
        <w:rPr>
          <w:rFonts w:eastAsia="Arial" w:cs="Arial"/>
        </w:rPr>
        <w:t>21–24</w:t>
      </w:r>
      <w:r w:rsidRPr="00A333F2">
        <w:rPr>
          <w:rFonts w:ascii="MS Gothic" w:eastAsia="MS Gothic" w:hAnsi="MS Gothic" w:cs="MS Gothic" w:hint="eastAsia"/>
        </w:rPr>
        <w:t>】</w:t>
      </w:r>
      <w:r w:rsidRPr="00A333F2">
        <w:rPr>
          <w:rFonts w:eastAsia="Arial" w:cs="Arial"/>
        </w:rPr>
        <w:t>.</w:t>
      </w:r>
    </w:p>
    <w:p w14:paraId="56193ABC" w14:textId="77777777" w:rsidR="001A1335" w:rsidRDefault="00A333F2" w:rsidP="00A333F2">
      <w:pPr>
        <w:spacing w:line="360" w:lineRule="auto"/>
        <w:jc w:val="both"/>
        <w:rPr>
          <w:rFonts w:eastAsia="Arial" w:cs="Arial"/>
        </w:rPr>
      </w:pPr>
      <w:r w:rsidRPr="00A333F2">
        <w:rPr>
          <w:rFonts w:eastAsia="Arial" w:cs="Arial"/>
        </w:rPr>
        <w:t xml:space="preserve">De certo modo, é surpreendente constatar a ausência de uma perspectiva mais crítica nos estudos sobre transições sustentáveis nos sistemas alimentares. A história da constituição do regime alimentar hegemônico e a concentração de poder em seu interior estão amplamente documentadas. É inconcebível imaginar que esse regime aceitará passivamente mudanças significativas que ameacem suas relações de poder estabelecidas. Assim, este artigo busca enfrentar essa lacuna teórica propondo a incorporação de uma perspectiva </w:t>
      </w:r>
      <w:proofErr w:type="spellStart"/>
      <w:r w:rsidRPr="00A333F2">
        <w:rPr>
          <w:rFonts w:eastAsia="Arial" w:cs="Arial"/>
        </w:rPr>
        <w:t>neo-</w:t>
      </w:r>
      <w:r w:rsidRPr="00A333F2">
        <w:rPr>
          <w:rFonts w:eastAsia="Arial" w:cs="Arial"/>
        </w:rPr>
        <w:lastRenderedPageBreak/>
        <w:t>gramsciana</w:t>
      </w:r>
      <w:proofErr w:type="spellEnd"/>
      <w:r w:rsidRPr="00A333F2">
        <w:rPr>
          <w:rFonts w:ascii="MS Gothic" w:eastAsia="MS Gothic" w:hAnsi="MS Gothic" w:cs="MS Gothic" w:hint="eastAsia"/>
        </w:rPr>
        <w:t>【</w:t>
      </w:r>
      <w:r w:rsidRPr="00A333F2">
        <w:rPr>
          <w:rFonts w:eastAsia="Arial" w:cs="Arial"/>
        </w:rPr>
        <w:t>25</w:t>
      </w:r>
      <w:r w:rsidRPr="00A333F2">
        <w:rPr>
          <w:rFonts w:ascii="MS Gothic" w:eastAsia="MS Gothic" w:hAnsi="MS Gothic" w:cs="MS Gothic" w:hint="eastAsia"/>
        </w:rPr>
        <w:t>】</w:t>
      </w:r>
      <w:r w:rsidRPr="00A333F2">
        <w:rPr>
          <w:rFonts w:eastAsia="Arial" w:cs="Arial"/>
        </w:rPr>
        <w:t xml:space="preserve"> na análise das transições sustentáveis nos sistemas alimentares (STFS)</w:t>
      </w:r>
      <w:r w:rsidR="001A1335">
        <w:rPr>
          <w:rFonts w:eastAsia="Arial" w:cs="Arial"/>
        </w:rPr>
        <w:t>, apresentando um primeiro esforço nesse sentido</w:t>
      </w:r>
      <w:r w:rsidRPr="00A333F2">
        <w:rPr>
          <w:rFonts w:eastAsia="Arial" w:cs="Arial"/>
        </w:rPr>
        <w:t>.</w:t>
      </w:r>
    </w:p>
    <w:p w14:paraId="5577D25D" w14:textId="77777777" w:rsidR="00A333F2" w:rsidRPr="00A333F2" w:rsidRDefault="00A333F2" w:rsidP="00A333F2">
      <w:pPr>
        <w:spacing w:line="360" w:lineRule="auto"/>
        <w:jc w:val="both"/>
        <w:rPr>
          <w:rFonts w:eastAsia="Arial" w:cs="Arial"/>
        </w:rPr>
      </w:pPr>
    </w:p>
    <w:p w14:paraId="4FB782B1" w14:textId="77777777" w:rsidR="00216EFF" w:rsidRPr="001A1335" w:rsidRDefault="00216EFF" w:rsidP="00216EFF">
      <w:pPr>
        <w:spacing w:line="360" w:lineRule="auto"/>
        <w:jc w:val="both"/>
        <w:rPr>
          <w:rFonts w:eastAsia="Arial" w:cs="Arial"/>
          <w:b/>
        </w:rPr>
      </w:pPr>
      <w:r w:rsidRPr="001A1335">
        <w:rPr>
          <w:rFonts w:eastAsia="Arial" w:cs="Arial"/>
          <w:b/>
        </w:rPr>
        <w:t>DESENVOLVIMENTO</w:t>
      </w:r>
    </w:p>
    <w:p w14:paraId="12F3208F" w14:textId="77777777" w:rsidR="001A1335" w:rsidRPr="001A1335" w:rsidRDefault="001A1335" w:rsidP="007F6FCF">
      <w:pPr>
        <w:spacing w:line="360" w:lineRule="auto"/>
        <w:jc w:val="both"/>
        <w:rPr>
          <w:rFonts w:eastAsia="Arial" w:cs="Arial"/>
          <w:b/>
        </w:rPr>
      </w:pPr>
    </w:p>
    <w:p w14:paraId="33ACA93B" w14:textId="465D8ABC" w:rsidR="007F6FCF" w:rsidRPr="007F6FCF" w:rsidRDefault="001A1335" w:rsidP="007F6FCF">
      <w:pPr>
        <w:spacing w:line="360" w:lineRule="auto"/>
        <w:jc w:val="both"/>
        <w:rPr>
          <w:rFonts w:eastAsia="Arial" w:cs="Arial"/>
          <w:b/>
        </w:rPr>
      </w:pPr>
      <w:r>
        <w:rPr>
          <w:rFonts w:eastAsia="Arial" w:cs="Arial"/>
          <w:b/>
        </w:rPr>
        <w:t xml:space="preserve">- </w:t>
      </w:r>
      <w:r w:rsidR="007F6FCF" w:rsidRPr="007F6FCF">
        <w:rPr>
          <w:rFonts w:eastAsia="Arial" w:cs="Arial"/>
          <w:b/>
        </w:rPr>
        <w:t>Pesquisas sobre transições sustentáveis nos sistemas alimentares</w:t>
      </w:r>
    </w:p>
    <w:p w14:paraId="01E502B8" w14:textId="11BF1B21" w:rsidR="007F6FCF" w:rsidRPr="007F6FCF" w:rsidRDefault="007F6FCF" w:rsidP="007F6FCF">
      <w:pPr>
        <w:spacing w:line="360" w:lineRule="auto"/>
        <w:jc w:val="both"/>
        <w:rPr>
          <w:rFonts w:eastAsia="Arial" w:cs="Arial"/>
        </w:rPr>
      </w:pPr>
      <w:r w:rsidRPr="007F6FCF">
        <w:rPr>
          <w:rFonts w:eastAsia="Arial" w:cs="Arial"/>
        </w:rPr>
        <w:t xml:space="preserve">O campo de estudos sobre Transições Sustentáveis (Sustainability </w:t>
      </w:r>
      <w:proofErr w:type="spellStart"/>
      <w:r w:rsidRPr="007F6FCF">
        <w:rPr>
          <w:rFonts w:eastAsia="Arial" w:cs="Arial"/>
        </w:rPr>
        <w:t>Transitions</w:t>
      </w:r>
      <w:proofErr w:type="spellEnd"/>
      <w:r w:rsidRPr="007F6FCF">
        <w:rPr>
          <w:rFonts w:eastAsia="Arial" w:cs="Arial"/>
        </w:rPr>
        <w:t xml:space="preserve"> </w:t>
      </w:r>
      <w:proofErr w:type="spellStart"/>
      <w:r w:rsidRPr="007F6FCF">
        <w:rPr>
          <w:rFonts w:eastAsia="Arial" w:cs="Arial"/>
        </w:rPr>
        <w:t>Research</w:t>
      </w:r>
      <w:proofErr w:type="spellEnd"/>
      <w:r w:rsidRPr="007F6FCF">
        <w:rPr>
          <w:rFonts w:eastAsia="Arial" w:cs="Arial"/>
        </w:rPr>
        <w:t xml:space="preserve"> – STR) ganhou força na última década</w:t>
      </w:r>
      <w:r w:rsidRPr="007F6FCF">
        <w:rPr>
          <w:rFonts w:ascii="MS Gothic" w:eastAsia="MS Gothic" w:hAnsi="MS Gothic" w:cs="MS Gothic" w:hint="eastAsia"/>
        </w:rPr>
        <w:t>【</w:t>
      </w:r>
      <w:r w:rsidRPr="007F6FCF">
        <w:rPr>
          <w:rFonts w:eastAsia="Arial" w:cs="Arial"/>
        </w:rPr>
        <w:t>22</w:t>
      </w:r>
      <w:r w:rsidRPr="007F6FCF">
        <w:rPr>
          <w:rFonts w:ascii="MS Gothic" w:eastAsia="MS Gothic" w:hAnsi="MS Gothic" w:cs="MS Gothic" w:hint="eastAsia"/>
        </w:rPr>
        <w:t>】</w:t>
      </w:r>
      <w:r w:rsidRPr="007F6FCF">
        <w:rPr>
          <w:rFonts w:eastAsia="Arial" w:cs="Arial"/>
        </w:rPr>
        <w:t>. Pesquisadores dessa área reconhecem que os padrões insustentáveis de consumo e produção da sociedade estão na raiz de problemas ambientais que não podem ser solucionados por melhorias incrementais, exigindo mudanças radicais em sistemas sociotécnicos estabelecidos</w:t>
      </w:r>
      <w:r w:rsidRPr="007F6FCF">
        <w:rPr>
          <w:rFonts w:ascii="MS Gothic" w:eastAsia="MS Gothic" w:hAnsi="MS Gothic" w:cs="MS Gothic" w:hint="eastAsia"/>
        </w:rPr>
        <w:t>【</w:t>
      </w:r>
      <w:r w:rsidRPr="007F6FCF">
        <w:rPr>
          <w:rFonts w:eastAsia="Arial" w:cs="Arial"/>
        </w:rPr>
        <w:t>15–17,22,26</w:t>
      </w:r>
      <w:r w:rsidRPr="007F6FCF">
        <w:rPr>
          <w:rFonts w:ascii="MS Gothic" w:eastAsia="MS Gothic" w:hAnsi="MS Gothic" w:cs="MS Gothic" w:hint="eastAsia"/>
        </w:rPr>
        <w:t>】</w:t>
      </w:r>
      <w:r w:rsidRPr="007F6FCF">
        <w:rPr>
          <w:rFonts w:eastAsia="Arial" w:cs="Arial"/>
        </w:rPr>
        <w:t>. Assim, os estudos de transição buscam conceituar e explicar como mudanças sociais profundas, em resposta a desafios coletivos, podem ocorrer em sistemas sociotécnicos já consolidados.</w:t>
      </w:r>
    </w:p>
    <w:p w14:paraId="49A60EDB" w14:textId="77777777" w:rsidR="007F6FCF" w:rsidRPr="007F6FCF" w:rsidRDefault="007F6FCF" w:rsidP="007F6FCF">
      <w:pPr>
        <w:spacing w:line="360" w:lineRule="auto"/>
        <w:jc w:val="both"/>
        <w:rPr>
          <w:rFonts w:eastAsia="Arial" w:cs="Arial"/>
        </w:rPr>
      </w:pPr>
      <w:r w:rsidRPr="007F6FCF">
        <w:rPr>
          <w:rFonts w:eastAsia="Arial" w:cs="Arial"/>
        </w:rPr>
        <w:t>Uma das abordagens mais proeminentes nesse campo é a Perspectiva Multinível (</w:t>
      </w:r>
      <w:proofErr w:type="spellStart"/>
      <w:r w:rsidRPr="007F6FCF">
        <w:rPr>
          <w:rFonts w:eastAsia="Arial" w:cs="Arial"/>
        </w:rPr>
        <w:t>Multi-Level</w:t>
      </w:r>
      <w:proofErr w:type="spellEnd"/>
      <w:r w:rsidRPr="007F6FCF">
        <w:rPr>
          <w:rFonts w:eastAsia="Arial" w:cs="Arial"/>
        </w:rPr>
        <w:t xml:space="preserve"> Perspective – MLP), um referencial teórico-analítico interdisciplinar que combina diferentes tradições teóricas. A MLP sustenta que as transições emergem da interação dinâmica e complexa entre três níveis heurísticos: nichos (nível micro), regimes (nível </w:t>
      </w:r>
      <w:proofErr w:type="spellStart"/>
      <w:r w:rsidRPr="007F6FCF">
        <w:rPr>
          <w:rFonts w:eastAsia="Arial" w:cs="Arial"/>
        </w:rPr>
        <w:t>meso</w:t>
      </w:r>
      <w:proofErr w:type="spellEnd"/>
      <w:r w:rsidRPr="007F6FCF">
        <w:rPr>
          <w:rFonts w:eastAsia="Arial" w:cs="Arial"/>
        </w:rPr>
        <w:t xml:space="preserve">) e a paisagem sociotécnica (nível </w:t>
      </w:r>
      <w:proofErr w:type="gramStart"/>
      <w:r w:rsidRPr="007F6FCF">
        <w:rPr>
          <w:rFonts w:eastAsia="Arial" w:cs="Arial"/>
        </w:rPr>
        <w:t>macro)</w:t>
      </w:r>
      <w:r w:rsidRPr="007F6FCF">
        <w:rPr>
          <w:rFonts w:ascii="MS Gothic" w:eastAsia="MS Gothic" w:hAnsi="MS Gothic" w:cs="MS Gothic" w:hint="eastAsia"/>
        </w:rPr>
        <w:t>【</w:t>
      </w:r>
      <w:proofErr w:type="gramEnd"/>
      <w:r w:rsidRPr="007F6FCF">
        <w:rPr>
          <w:rFonts w:eastAsia="Arial" w:cs="Arial"/>
        </w:rPr>
        <w:t>16–18,27</w:t>
      </w:r>
      <w:r w:rsidRPr="007F6FCF">
        <w:rPr>
          <w:rFonts w:ascii="MS Gothic" w:eastAsia="MS Gothic" w:hAnsi="MS Gothic" w:cs="MS Gothic" w:hint="eastAsia"/>
        </w:rPr>
        <w:t>】</w:t>
      </w:r>
      <w:r w:rsidRPr="007F6FCF">
        <w:rPr>
          <w:rFonts w:eastAsia="Arial" w:cs="Arial"/>
        </w:rPr>
        <w:t>. Nesse referencial, as transições são definidas como mudanças nos regimes, que não ocorrem de forma fácil ou espontânea</w:t>
      </w:r>
      <w:r w:rsidRPr="007F6FCF">
        <w:rPr>
          <w:rFonts w:ascii="MS Gothic" w:eastAsia="MS Gothic" w:hAnsi="MS Gothic" w:cs="MS Gothic" w:hint="eastAsia"/>
        </w:rPr>
        <w:t>【</w:t>
      </w:r>
      <w:r w:rsidRPr="007F6FCF">
        <w:rPr>
          <w:rFonts w:eastAsia="Arial" w:cs="Arial"/>
        </w:rPr>
        <w:t>16,28</w:t>
      </w:r>
      <w:r w:rsidRPr="007F6FCF">
        <w:rPr>
          <w:rFonts w:ascii="MS Gothic" w:eastAsia="MS Gothic" w:hAnsi="MS Gothic" w:cs="MS Gothic" w:hint="eastAsia"/>
        </w:rPr>
        <w:t>】</w:t>
      </w:r>
      <w:r w:rsidRPr="007F6FCF">
        <w:rPr>
          <w:rFonts w:eastAsia="Arial" w:cs="Arial"/>
        </w:rPr>
        <w:t>. Pressões exógenas oriundas da paisagem (como mudanças climáticas, transformações nos valores sociais, marcos legais e regulatórios, crises econômicas ou guerras) geram fissuras, tensões e janelas de oportunidade no nível do regime, permitindo que inovações radicais amadurecidas nos nichos possam se ancorar e alterar a configuração do sistema</w:t>
      </w:r>
      <w:r w:rsidRPr="007F6FCF">
        <w:rPr>
          <w:rFonts w:ascii="MS Gothic" w:eastAsia="MS Gothic" w:hAnsi="MS Gothic" w:cs="MS Gothic" w:hint="eastAsia"/>
        </w:rPr>
        <w:t>【</w:t>
      </w:r>
      <w:r w:rsidRPr="007F6FCF">
        <w:rPr>
          <w:rFonts w:eastAsia="Arial" w:cs="Arial"/>
        </w:rPr>
        <w:t>16,26,28,29</w:t>
      </w:r>
      <w:r w:rsidRPr="007F6FCF">
        <w:rPr>
          <w:rFonts w:ascii="MS Gothic" w:eastAsia="MS Gothic" w:hAnsi="MS Gothic" w:cs="MS Gothic" w:hint="eastAsia"/>
        </w:rPr>
        <w:t>】</w:t>
      </w:r>
      <w:r w:rsidRPr="007F6FCF">
        <w:rPr>
          <w:rFonts w:eastAsia="Arial" w:cs="Arial"/>
        </w:rPr>
        <w:t>.</w:t>
      </w:r>
    </w:p>
    <w:p w14:paraId="0294C261" w14:textId="77777777" w:rsidR="007F6FCF" w:rsidRPr="007F6FCF" w:rsidRDefault="007F6FCF" w:rsidP="007F6FCF">
      <w:pPr>
        <w:spacing w:line="360" w:lineRule="auto"/>
        <w:jc w:val="both"/>
        <w:rPr>
          <w:rFonts w:eastAsia="Arial" w:cs="Arial"/>
        </w:rPr>
      </w:pPr>
      <w:r w:rsidRPr="007F6FCF">
        <w:rPr>
          <w:rFonts w:eastAsia="Arial" w:cs="Arial"/>
        </w:rPr>
        <w:lastRenderedPageBreak/>
        <w:t>Embora a MLP tenha contribuído para sistematizar e analisar as transições sustentáveis, estudos pioneiros baseados nesse referencial foram criticados por desconsiderar relações políticas e a distribuição de poder dentro dos sistemas. Ao enfatizarem demais o papel das inovações em nichos, esses estudos acabam superestimando sua capacidade de promover transformações significativas no regime vigente</w:t>
      </w:r>
      <w:r w:rsidRPr="007F6FCF">
        <w:rPr>
          <w:rFonts w:ascii="MS Gothic" w:eastAsia="MS Gothic" w:hAnsi="MS Gothic" w:cs="MS Gothic" w:hint="eastAsia"/>
        </w:rPr>
        <w:t>【</w:t>
      </w:r>
      <w:r w:rsidRPr="007F6FCF">
        <w:rPr>
          <w:rFonts w:eastAsia="Arial" w:cs="Arial"/>
        </w:rPr>
        <w:t>21–23,30,31</w:t>
      </w:r>
      <w:r w:rsidRPr="007F6FCF">
        <w:rPr>
          <w:rFonts w:ascii="MS Gothic" w:eastAsia="MS Gothic" w:hAnsi="MS Gothic" w:cs="MS Gothic" w:hint="eastAsia"/>
        </w:rPr>
        <w:t>】</w:t>
      </w:r>
      <w:r w:rsidRPr="007F6FCF">
        <w:rPr>
          <w:rFonts w:eastAsia="Arial" w:cs="Arial"/>
        </w:rPr>
        <w:t>. Em outras palavras, as pesquisas baseadas na MLP tendem a focar nas influências que o regime sofre, desconsiderando o modo como ele também exerce pressão sobre os níveis de nicho e paisagem, buscando preservar sua estabilidade</w:t>
      </w:r>
      <w:r w:rsidRPr="007F6FCF">
        <w:rPr>
          <w:rFonts w:ascii="MS Gothic" w:eastAsia="MS Gothic" w:hAnsi="MS Gothic" w:cs="MS Gothic" w:hint="eastAsia"/>
        </w:rPr>
        <w:t>【</w:t>
      </w:r>
      <w:r w:rsidRPr="007F6FCF">
        <w:rPr>
          <w:rFonts w:eastAsia="Arial" w:cs="Arial"/>
        </w:rPr>
        <w:t>24,25,32</w:t>
      </w:r>
      <w:r w:rsidRPr="007F6FCF">
        <w:rPr>
          <w:rFonts w:ascii="MS Gothic" w:eastAsia="MS Gothic" w:hAnsi="MS Gothic" w:cs="MS Gothic" w:hint="eastAsia"/>
        </w:rPr>
        <w:t>】</w:t>
      </w:r>
      <w:r w:rsidRPr="007F6FCF">
        <w:rPr>
          <w:rFonts w:eastAsia="Arial" w:cs="Arial"/>
        </w:rPr>
        <w:t>.</w:t>
      </w:r>
    </w:p>
    <w:p w14:paraId="18C4E6D3" w14:textId="77777777" w:rsidR="007F6FCF" w:rsidRPr="007F6FCF" w:rsidRDefault="007F6FCF" w:rsidP="007F6FCF">
      <w:pPr>
        <w:spacing w:line="360" w:lineRule="auto"/>
        <w:jc w:val="both"/>
        <w:rPr>
          <w:rFonts w:eastAsia="Arial" w:cs="Arial"/>
        </w:rPr>
      </w:pPr>
      <w:r w:rsidRPr="007F6FCF">
        <w:rPr>
          <w:rFonts w:eastAsia="Arial" w:cs="Arial"/>
        </w:rPr>
        <w:t>Neste artigo, defendemos que é inconcebível pensar em mudanças radicais no sistema alimentar hegemônico sem considerar as estratégias das elites rurais e agroindustriais para manter seu poder. Em nossa avaliação, abrir a “caixa-preta” do regime alimentar incumbente pode oferecer lições valiosas para aqueles que lutam por transformações estruturais nos sistemas alimentares. Embora a MLP seja útil para explicar mudanças sociotécnicas, ela é limitada para compreender as relações entre os atores incumbentes (elites), o Estado, frações de capital e a sociedade civil</w:t>
      </w:r>
      <w:r w:rsidRPr="007F6FCF">
        <w:rPr>
          <w:rFonts w:ascii="MS Gothic" w:eastAsia="MS Gothic" w:hAnsi="MS Gothic" w:cs="MS Gothic" w:hint="eastAsia"/>
        </w:rPr>
        <w:t>【</w:t>
      </w:r>
      <w:r w:rsidRPr="007F6FCF">
        <w:rPr>
          <w:rFonts w:eastAsia="Arial" w:cs="Arial"/>
        </w:rPr>
        <w:t>25,28,52</w:t>
      </w:r>
      <w:r w:rsidRPr="007F6FCF">
        <w:rPr>
          <w:rFonts w:ascii="MS Gothic" w:eastAsia="MS Gothic" w:hAnsi="MS Gothic" w:cs="MS Gothic" w:hint="eastAsia"/>
        </w:rPr>
        <w:t>】</w:t>
      </w:r>
      <w:r w:rsidRPr="007F6FCF">
        <w:rPr>
          <w:rFonts w:eastAsia="Arial" w:cs="Arial"/>
        </w:rPr>
        <w:t>. De modo geral, é essa interação entre capital e Estado que constitui o regime hegemônico e define quais inovações em nichos podem ser escaladas</w:t>
      </w:r>
      <w:r w:rsidRPr="007F6FCF">
        <w:rPr>
          <w:rFonts w:ascii="MS Gothic" w:eastAsia="MS Gothic" w:hAnsi="MS Gothic" w:cs="MS Gothic" w:hint="eastAsia"/>
        </w:rPr>
        <w:t>【</w:t>
      </w:r>
      <w:r w:rsidRPr="007F6FCF">
        <w:rPr>
          <w:rFonts w:eastAsia="Arial" w:cs="Arial"/>
        </w:rPr>
        <w:t>9,24,25,30,52</w:t>
      </w:r>
      <w:r w:rsidRPr="007F6FCF">
        <w:rPr>
          <w:rFonts w:ascii="MS Gothic" w:eastAsia="MS Gothic" w:hAnsi="MS Gothic" w:cs="MS Gothic" w:hint="eastAsia"/>
        </w:rPr>
        <w:t>】</w:t>
      </w:r>
      <w:r w:rsidRPr="007F6FCF">
        <w:rPr>
          <w:rFonts w:eastAsia="Arial" w:cs="Arial"/>
        </w:rPr>
        <w:t>.</w:t>
      </w:r>
    </w:p>
    <w:p w14:paraId="166989F2" w14:textId="77777777" w:rsidR="006D5773" w:rsidRDefault="006D5773" w:rsidP="006D5773">
      <w:pPr>
        <w:rPr>
          <w:b/>
          <w:bCs/>
          <w:lang w:val="en-US"/>
        </w:rPr>
      </w:pPr>
    </w:p>
    <w:p w14:paraId="7B575393" w14:textId="299361F6" w:rsidR="006D5773" w:rsidRPr="00F76C40" w:rsidRDefault="006D5773" w:rsidP="006D5773">
      <w:pPr>
        <w:rPr>
          <w:b/>
          <w:bCs/>
          <w:lang w:val="en-US"/>
        </w:rPr>
      </w:pPr>
      <w:proofErr w:type="spellStart"/>
      <w:r>
        <w:rPr>
          <w:b/>
          <w:bCs/>
          <w:lang w:val="en-US"/>
        </w:rPr>
        <w:t>Abrindo</w:t>
      </w:r>
      <w:proofErr w:type="spellEnd"/>
      <w:r>
        <w:rPr>
          <w:b/>
          <w:bCs/>
          <w:lang w:val="en-US"/>
        </w:rPr>
        <w:t xml:space="preserve"> a Caixa preta da Resistencia do regime</w:t>
      </w:r>
    </w:p>
    <w:p w14:paraId="633E8B43" w14:textId="77777777" w:rsidR="00216EFF" w:rsidRDefault="00216EFF" w:rsidP="00216EFF">
      <w:pPr>
        <w:spacing w:line="360" w:lineRule="auto"/>
        <w:jc w:val="both"/>
        <w:rPr>
          <w:rFonts w:eastAsia="Arial" w:cs="Arial"/>
        </w:rPr>
      </w:pPr>
    </w:p>
    <w:p w14:paraId="45B872B6" w14:textId="77777777" w:rsidR="001A1335" w:rsidRPr="001A1335" w:rsidRDefault="001A1335" w:rsidP="001A1335">
      <w:pPr>
        <w:spacing w:line="360" w:lineRule="auto"/>
        <w:jc w:val="both"/>
        <w:rPr>
          <w:rFonts w:eastAsia="Arial" w:cs="Arial"/>
        </w:rPr>
      </w:pPr>
      <w:r w:rsidRPr="001A1335">
        <w:rPr>
          <w:rFonts w:eastAsia="Arial" w:cs="Arial"/>
        </w:rPr>
        <w:t xml:space="preserve">A mobilização de conceitos </w:t>
      </w:r>
      <w:proofErr w:type="spellStart"/>
      <w:r w:rsidRPr="001A1335">
        <w:rPr>
          <w:rFonts w:eastAsia="Arial" w:cs="Arial"/>
        </w:rPr>
        <w:t>neo-gramscianos</w:t>
      </w:r>
      <w:proofErr w:type="spellEnd"/>
      <w:r w:rsidRPr="001A1335">
        <w:rPr>
          <w:rFonts w:eastAsia="Arial" w:cs="Arial"/>
        </w:rPr>
        <w:t xml:space="preserve"> no âmbito da MLP permite uma compreensão mais profunda de como os atores incumbentes se articulam com o Estado, outras frações de capital e a sociedade civil para manter relações de poder estáveis no interior do regime</w:t>
      </w:r>
      <w:r w:rsidRPr="001A1335">
        <w:rPr>
          <w:rFonts w:ascii="MS Gothic" w:eastAsia="MS Gothic" w:hAnsi="MS Gothic" w:cs="MS Gothic" w:hint="eastAsia"/>
        </w:rPr>
        <w:t>【</w:t>
      </w:r>
      <w:r w:rsidRPr="001A1335">
        <w:rPr>
          <w:rFonts w:eastAsia="Arial" w:cs="Arial"/>
        </w:rPr>
        <w:t>25</w:t>
      </w:r>
      <w:r w:rsidRPr="001A1335">
        <w:rPr>
          <w:rFonts w:ascii="MS Gothic" w:eastAsia="MS Gothic" w:hAnsi="MS Gothic" w:cs="MS Gothic" w:hint="eastAsia"/>
        </w:rPr>
        <w:t>】</w:t>
      </w:r>
      <w:r w:rsidRPr="001A1335">
        <w:rPr>
          <w:rFonts w:eastAsia="Arial" w:cs="Arial"/>
        </w:rPr>
        <w:t xml:space="preserve">. Tanto os referenciais da MLP quanto da tradição </w:t>
      </w:r>
      <w:proofErr w:type="spellStart"/>
      <w:r w:rsidRPr="001A1335">
        <w:rPr>
          <w:rFonts w:eastAsia="Arial" w:cs="Arial"/>
        </w:rPr>
        <w:t>neo-gramsciana</w:t>
      </w:r>
      <w:proofErr w:type="spellEnd"/>
      <w:r w:rsidRPr="001A1335">
        <w:rPr>
          <w:rFonts w:eastAsia="Arial" w:cs="Arial"/>
        </w:rPr>
        <w:t xml:space="preserve"> reconhecem que mudanças em sistemas sociais ocorrem quando atores — individuais ou coletivos — acumulam condições </w:t>
      </w:r>
      <w:r w:rsidRPr="001A1335">
        <w:rPr>
          <w:rFonts w:eastAsia="Arial" w:cs="Arial"/>
        </w:rPr>
        <w:lastRenderedPageBreak/>
        <w:t>políticas, sociais e técnicas para desafiar o regime vigente, destacando a centralidade da agência e da estratégia nas disputas com grupos que detêm recursos superiores</w:t>
      </w:r>
      <w:r w:rsidRPr="001A1335">
        <w:rPr>
          <w:rFonts w:ascii="MS Gothic" w:eastAsia="MS Gothic" w:hAnsi="MS Gothic" w:cs="MS Gothic" w:hint="eastAsia"/>
        </w:rPr>
        <w:t>【</w:t>
      </w:r>
      <w:r w:rsidRPr="001A1335">
        <w:rPr>
          <w:rFonts w:eastAsia="Arial" w:cs="Arial"/>
        </w:rPr>
        <w:t>30,53</w:t>
      </w:r>
      <w:r w:rsidRPr="001A1335">
        <w:rPr>
          <w:rFonts w:ascii="MS Gothic" w:eastAsia="MS Gothic" w:hAnsi="MS Gothic" w:cs="MS Gothic" w:hint="eastAsia"/>
        </w:rPr>
        <w:t>】</w:t>
      </w:r>
      <w:r w:rsidRPr="001A1335">
        <w:rPr>
          <w:rFonts w:eastAsia="Arial" w:cs="Arial"/>
        </w:rPr>
        <w:t>. Esses dois marcos teóricos podem se complementar na análise da relação entre estrutura e agência, ao revelar como poder e ideologia moldam as relações sociais e econômicas em processos de transição sustentável</w:t>
      </w:r>
      <w:r w:rsidRPr="001A1335">
        <w:rPr>
          <w:rFonts w:ascii="MS Gothic" w:eastAsia="MS Gothic" w:hAnsi="MS Gothic" w:cs="MS Gothic" w:hint="eastAsia"/>
        </w:rPr>
        <w:t>【</w:t>
      </w:r>
      <w:r w:rsidRPr="001A1335">
        <w:rPr>
          <w:rFonts w:eastAsia="Arial" w:cs="Arial"/>
        </w:rPr>
        <w:t>25</w:t>
      </w:r>
      <w:r w:rsidRPr="001A1335">
        <w:rPr>
          <w:rFonts w:ascii="MS Gothic" w:eastAsia="MS Gothic" w:hAnsi="MS Gothic" w:cs="MS Gothic" w:hint="eastAsia"/>
        </w:rPr>
        <w:t>】</w:t>
      </w:r>
      <w:r w:rsidRPr="001A1335">
        <w:rPr>
          <w:rFonts w:eastAsia="Arial" w:cs="Arial"/>
        </w:rPr>
        <w:t>.</w:t>
      </w:r>
    </w:p>
    <w:p w14:paraId="50158AEE" w14:textId="77777777" w:rsidR="001A1335" w:rsidRPr="001A1335" w:rsidRDefault="001A1335" w:rsidP="001A1335">
      <w:pPr>
        <w:spacing w:line="360" w:lineRule="auto"/>
        <w:jc w:val="both"/>
        <w:rPr>
          <w:rFonts w:eastAsia="Arial" w:cs="Arial"/>
        </w:rPr>
      </w:pPr>
      <w:r w:rsidRPr="001A1335">
        <w:rPr>
          <w:rFonts w:eastAsia="Arial" w:cs="Arial"/>
        </w:rPr>
        <w:t xml:space="preserve">A perspectiva </w:t>
      </w:r>
      <w:proofErr w:type="spellStart"/>
      <w:r w:rsidRPr="001A1335">
        <w:rPr>
          <w:rFonts w:eastAsia="Arial" w:cs="Arial"/>
        </w:rPr>
        <w:t>neo-gramsciana</w:t>
      </w:r>
      <w:proofErr w:type="spellEnd"/>
      <w:r w:rsidRPr="001A1335">
        <w:rPr>
          <w:rFonts w:eastAsia="Arial" w:cs="Arial"/>
        </w:rPr>
        <w:t xml:space="preserve"> oferece uma abordagem sofisticada para o estudo das relações de poder, reconhecendo que o poder não é exercido apenas pela força ou coerção, mas também por meio da produção de ideias e normas culturais</w:t>
      </w:r>
      <w:r w:rsidRPr="001A1335">
        <w:rPr>
          <w:rFonts w:ascii="MS Gothic" w:eastAsia="MS Gothic" w:hAnsi="MS Gothic" w:cs="MS Gothic" w:hint="eastAsia"/>
        </w:rPr>
        <w:t>【</w:t>
      </w:r>
      <w:r w:rsidRPr="001A1335">
        <w:rPr>
          <w:rFonts w:eastAsia="Arial" w:cs="Arial"/>
        </w:rPr>
        <w:t>54–56</w:t>
      </w:r>
      <w:r w:rsidRPr="001A1335">
        <w:rPr>
          <w:rFonts w:ascii="MS Gothic" w:eastAsia="MS Gothic" w:hAnsi="MS Gothic" w:cs="MS Gothic" w:hint="eastAsia"/>
        </w:rPr>
        <w:t>】</w:t>
      </w:r>
      <w:r w:rsidRPr="001A1335">
        <w:rPr>
          <w:rFonts w:eastAsia="Arial" w:cs="Arial"/>
        </w:rPr>
        <w:t xml:space="preserve">. Reconhece a importância do Estado na consolidação do poder, mas também atribui um papel relevante à sociedade civil e a atores não estatais na configuração das relações sociais e econômicas. Do ponto de vista </w:t>
      </w:r>
      <w:proofErr w:type="spellStart"/>
      <w:r w:rsidRPr="001A1335">
        <w:rPr>
          <w:rFonts w:eastAsia="Arial" w:cs="Arial"/>
        </w:rPr>
        <w:t>neo-gramsciano</w:t>
      </w:r>
      <w:proofErr w:type="spellEnd"/>
      <w:r w:rsidRPr="001A1335">
        <w:rPr>
          <w:rFonts w:eastAsia="Arial" w:cs="Arial"/>
        </w:rPr>
        <w:t>, a sociedade civil é simultaneamente central para (</w:t>
      </w:r>
      <w:proofErr w:type="spellStart"/>
      <w:r w:rsidRPr="001A1335">
        <w:rPr>
          <w:rFonts w:eastAsia="Arial" w:cs="Arial"/>
        </w:rPr>
        <w:t>re</w:t>
      </w:r>
      <w:proofErr w:type="spellEnd"/>
      <w:r w:rsidRPr="001A1335">
        <w:rPr>
          <w:rFonts w:eastAsia="Arial" w:cs="Arial"/>
        </w:rPr>
        <w:t>)produzir a legitimidade de determinados interesses particulares como se fossem interesses gerais, e um espaço fundamental de contestação da hegemonia</w:t>
      </w:r>
      <w:r w:rsidRPr="001A1335">
        <w:rPr>
          <w:rFonts w:ascii="MS Gothic" w:eastAsia="MS Gothic" w:hAnsi="MS Gothic" w:cs="MS Gothic" w:hint="eastAsia"/>
        </w:rPr>
        <w:t>【</w:t>
      </w:r>
      <w:r w:rsidRPr="001A1335">
        <w:rPr>
          <w:rFonts w:eastAsia="Arial" w:cs="Arial"/>
        </w:rPr>
        <w:t>25,53,55,57</w:t>
      </w:r>
      <w:r w:rsidRPr="001A1335">
        <w:rPr>
          <w:rFonts w:ascii="MS Gothic" w:eastAsia="MS Gothic" w:hAnsi="MS Gothic" w:cs="MS Gothic" w:hint="eastAsia"/>
        </w:rPr>
        <w:t>】</w:t>
      </w:r>
      <w:r w:rsidRPr="001A1335">
        <w:rPr>
          <w:rFonts w:eastAsia="Arial" w:cs="Arial"/>
        </w:rPr>
        <w:t>. Assim, estudos que adotam essa abordagem compreendem o poder de forma multidimensional, considerando que a estabilidade de um regime deriva do exercício do poder em dimensões interligadas</w:t>
      </w:r>
      <w:r w:rsidRPr="001A1335">
        <w:rPr>
          <w:rFonts w:ascii="MS Gothic" w:eastAsia="MS Gothic" w:hAnsi="MS Gothic" w:cs="MS Gothic" w:hint="eastAsia"/>
        </w:rPr>
        <w:t>【</w:t>
      </w:r>
      <w:r w:rsidRPr="001A1335">
        <w:rPr>
          <w:rFonts w:eastAsia="Arial" w:cs="Arial"/>
        </w:rPr>
        <w:t>30,54</w:t>
      </w:r>
      <w:r w:rsidRPr="001A1335">
        <w:rPr>
          <w:rFonts w:ascii="MS Gothic" w:eastAsia="MS Gothic" w:hAnsi="MS Gothic" w:cs="MS Gothic" w:hint="eastAsia"/>
        </w:rPr>
        <w:t>】</w:t>
      </w:r>
      <w:r w:rsidRPr="001A1335">
        <w:rPr>
          <w:rFonts w:eastAsia="Arial" w:cs="Arial"/>
        </w:rPr>
        <w:t>.</w:t>
      </w:r>
    </w:p>
    <w:p w14:paraId="6DF61FD0" w14:textId="59C175C8" w:rsidR="001A1335" w:rsidRDefault="001A1335" w:rsidP="001A1335">
      <w:pPr>
        <w:spacing w:line="360" w:lineRule="auto"/>
        <w:jc w:val="both"/>
        <w:rPr>
          <w:rFonts w:eastAsia="Arial" w:cs="Arial"/>
        </w:rPr>
      </w:pPr>
      <w:r w:rsidRPr="001A1335">
        <w:rPr>
          <w:rFonts w:eastAsia="Arial" w:cs="Arial"/>
        </w:rPr>
        <w:t xml:space="preserve">Nesta seção, procuramos aprofundar essas contribuições preexistentes, mostrando como os referenciais da MLP e da tradição </w:t>
      </w:r>
      <w:proofErr w:type="spellStart"/>
      <w:r w:rsidRPr="001A1335">
        <w:rPr>
          <w:rFonts w:eastAsia="Arial" w:cs="Arial"/>
        </w:rPr>
        <w:t>neo-gramsciana</w:t>
      </w:r>
      <w:proofErr w:type="spellEnd"/>
      <w:r w:rsidRPr="001A1335">
        <w:rPr>
          <w:rFonts w:eastAsia="Arial" w:cs="Arial"/>
        </w:rPr>
        <w:t xml:space="preserve"> podem ser mobilizados de forma articulada para analisar as relações de poder nas transições sustentáveis dos sistemas alimentares. </w:t>
      </w:r>
    </w:p>
    <w:p w14:paraId="6B344B69" w14:textId="77777777" w:rsidR="00BB0A35" w:rsidRDefault="00BB0A35" w:rsidP="001A1335">
      <w:pPr>
        <w:spacing w:line="360" w:lineRule="auto"/>
        <w:jc w:val="both"/>
        <w:rPr>
          <w:rFonts w:eastAsia="Arial" w:cs="Arial"/>
        </w:rPr>
      </w:pPr>
    </w:p>
    <w:p w14:paraId="08887FE2" w14:textId="77777777" w:rsidR="00E02178" w:rsidRPr="00E02178" w:rsidRDefault="00E02178" w:rsidP="00E02178">
      <w:pPr>
        <w:spacing w:line="360" w:lineRule="auto"/>
        <w:jc w:val="both"/>
        <w:rPr>
          <w:rFonts w:eastAsia="Arial" w:cs="Arial"/>
          <w:b/>
          <w:bCs/>
        </w:rPr>
      </w:pPr>
      <w:r w:rsidRPr="00E02178">
        <w:rPr>
          <w:rFonts w:eastAsia="Arial" w:cs="Arial"/>
          <w:b/>
          <w:bCs/>
        </w:rPr>
        <w:t>Hegemonia</w:t>
      </w:r>
    </w:p>
    <w:p w14:paraId="779EB52C" w14:textId="77777777" w:rsidR="00E02178" w:rsidRPr="00E02178" w:rsidRDefault="00E02178" w:rsidP="00E02178">
      <w:pPr>
        <w:spacing w:line="360" w:lineRule="auto"/>
        <w:jc w:val="both"/>
        <w:rPr>
          <w:rFonts w:eastAsia="Arial" w:cs="Arial"/>
        </w:rPr>
      </w:pPr>
      <w:r w:rsidRPr="00E02178">
        <w:rPr>
          <w:rFonts w:eastAsia="Arial" w:cs="Arial"/>
        </w:rPr>
        <w:t xml:space="preserve">A elaboração do conceito de hegemonia é considerada a principal contribuição do pensamento de Gramsci, oferecendo uma explicação sofisticada de como uma determinada estrutura social e econômica se mantém ao longo do tempo </w:t>
      </w:r>
      <w:r w:rsidRPr="00E02178">
        <w:rPr>
          <w:rFonts w:eastAsia="Arial" w:cs="Arial"/>
        </w:rPr>
        <w:lastRenderedPageBreak/>
        <w:t>por meio de uma combinação de coerção e consentimento</w:t>
      </w:r>
      <w:r w:rsidRPr="00E02178">
        <w:rPr>
          <w:rFonts w:ascii="MS Gothic" w:eastAsia="MS Gothic" w:hAnsi="MS Gothic" w:cs="MS Gothic" w:hint="eastAsia"/>
        </w:rPr>
        <w:t>【</w:t>
      </w:r>
      <w:r w:rsidRPr="00E02178">
        <w:rPr>
          <w:rFonts w:eastAsia="Arial" w:cs="Arial"/>
        </w:rPr>
        <w:t>55</w:t>
      </w:r>
      <w:r w:rsidRPr="00E02178">
        <w:rPr>
          <w:rFonts w:ascii="MS Gothic" w:eastAsia="MS Gothic" w:hAnsi="MS Gothic" w:cs="MS Gothic" w:hint="eastAsia"/>
        </w:rPr>
        <w:t>】</w:t>
      </w:r>
      <w:r w:rsidRPr="00E02178">
        <w:rPr>
          <w:rFonts w:eastAsia="Arial" w:cs="Arial"/>
        </w:rPr>
        <w:t>. A perspectiva gramsciana de hegemonia destaca a capacidade do grupo dominante de moldar valores e crenças sociais para preservar seu poder e controle. Assim, hegemonia designa um tipo de dominação baseado primordialmente no consentimento de pessoas e grupos subordinados, em vez de em um controle coercitivo exercido por uma elite restrita.</w:t>
      </w:r>
    </w:p>
    <w:p w14:paraId="7D60E859" w14:textId="77777777" w:rsidR="00E02178" w:rsidRPr="00E02178" w:rsidRDefault="00E02178" w:rsidP="00E02178">
      <w:pPr>
        <w:spacing w:line="360" w:lineRule="auto"/>
        <w:jc w:val="both"/>
        <w:rPr>
          <w:rFonts w:eastAsia="Arial" w:cs="Arial"/>
        </w:rPr>
      </w:pPr>
      <w:r w:rsidRPr="00E02178">
        <w:rPr>
          <w:rFonts w:eastAsia="Arial" w:cs="Arial"/>
        </w:rPr>
        <w:t>A estabilidade da hegemonia depende do consentimento de instituições da sociedade civil (como universidades, igrejas, organizações e meios de comunicação), que são arenas fundamentais para a reprodução ideológica. O consentimento da sociedade civil confere legitimidade ao conjunto de interesses dos atores incumbentes, apresentando suas preferências como se fossem de interesse geral</w:t>
      </w:r>
      <w:r w:rsidRPr="00E02178">
        <w:rPr>
          <w:rFonts w:ascii="MS Gothic" w:eastAsia="MS Gothic" w:hAnsi="MS Gothic" w:cs="MS Gothic" w:hint="eastAsia"/>
        </w:rPr>
        <w:t>【</w:t>
      </w:r>
      <w:r w:rsidRPr="00E02178">
        <w:rPr>
          <w:rFonts w:eastAsia="Arial" w:cs="Arial"/>
        </w:rPr>
        <w:t>25,55</w:t>
      </w:r>
      <w:r w:rsidRPr="00E02178">
        <w:rPr>
          <w:rFonts w:ascii="MS Gothic" w:eastAsia="MS Gothic" w:hAnsi="MS Gothic" w:cs="MS Gothic" w:hint="eastAsia"/>
        </w:rPr>
        <w:t>】</w:t>
      </w:r>
      <w:r w:rsidRPr="00E02178">
        <w:rPr>
          <w:rFonts w:eastAsia="Arial" w:cs="Arial"/>
        </w:rPr>
        <w:t xml:space="preserve">. Por isso, a prevalência da hegemonia exige negociação e alinhamento de interesses entre grupos dominantes e subordinados, resultando em um “processo contínuo de formação e superação de equilíbrios instáveis... equilíbrios nos quais os interesses do grupo dominante prevalecem, mas apenas até certo </w:t>
      </w:r>
      <w:proofErr w:type="gramStart"/>
      <w:r w:rsidRPr="00E02178">
        <w:rPr>
          <w:rFonts w:eastAsia="Arial" w:cs="Arial"/>
        </w:rPr>
        <w:t>ponto”</w:t>
      </w:r>
      <w:r w:rsidRPr="00E02178">
        <w:rPr>
          <w:rFonts w:ascii="MS Gothic" w:eastAsia="MS Gothic" w:hAnsi="MS Gothic" w:cs="MS Gothic" w:hint="eastAsia"/>
        </w:rPr>
        <w:t>【</w:t>
      </w:r>
      <w:proofErr w:type="gramEnd"/>
      <w:r w:rsidRPr="00E02178">
        <w:rPr>
          <w:rFonts w:eastAsia="Arial" w:cs="Arial"/>
        </w:rPr>
        <w:t>62</w:t>
      </w:r>
      <w:proofErr w:type="gramStart"/>
      <w:r w:rsidRPr="00E02178">
        <w:rPr>
          <w:rFonts w:ascii="MS Gothic" w:eastAsia="MS Gothic" w:hAnsi="MS Gothic" w:cs="MS Gothic" w:hint="eastAsia"/>
        </w:rPr>
        <w:t>】</w:t>
      </w:r>
      <w:r w:rsidRPr="00E02178">
        <w:rPr>
          <w:rFonts w:eastAsia="Arial" w:cs="Arial"/>
        </w:rPr>
        <w:t>(</w:t>
      </w:r>
      <w:proofErr w:type="gramEnd"/>
      <w:r w:rsidRPr="00E02178">
        <w:rPr>
          <w:rFonts w:eastAsia="Arial" w:cs="Arial"/>
        </w:rPr>
        <w:t>p. 406). O conceito de hegemonia, portanto, comporta simultaneamente dimensões estruturais e relacionais.</w:t>
      </w:r>
    </w:p>
    <w:p w14:paraId="09BEA3DC" w14:textId="77777777" w:rsidR="00E02178" w:rsidRPr="00E02178" w:rsidRDefault="00E02178" w:rsidP="00E02178">
      <w:pPr>
        <w:spacing w:line="360" w:lineRule="auto"/>
        <w:jc w:val="both"/>
        <w:rPr>
          <w:rFonts w:eastAsia="Arial" w:cs="Arial"/>
        </w:rPr>
      </w:pPr>
      <w:r w:rsidRPr="00E02178">
        <w:rPr>
          <w:rFonts w:eastAsia="Arial" w:cs="Arial"/>
        </w:rPr>
        <w:t xml:space="preserve">A hegemonia nunca é total ou definitiva: as constantes negociações entre interesses distintos geram tensões, vulnerabilidades, fragilidades e </w:t>
      </w:r>
      <w:r w:rsidRPr="00E02178">
        <w:rPr>
          <w:rFonts w:eastAsia="Arial" w:cs="Arial"/>
        </w:rPr>
        <w:lastRenderedPageBreak/>
        <w:t>oportunidades para mudanças nas relações de poder dentro dos regimes</w:t>
      </w:r>
      <w:r w:rsidRPr="00E02178">
        <w:rPr>
          <w:rFonts w:ascii="MS Gothic" w:eastAsia="MS Gothic" w:hAnsi="MS Gothic" w:cs="MS Gothic" w:hint="eastAsia"/>
        </w:rPr>
        <w:t>【</w:t>
      </w:r>
      <w:r w:rsidRPr="00E02178">
        <w:rPr>
          <w:rFonts w:eastAsia="Arial" w:cs="Arial"/>
        </w:rPr>
        <w:t>30,55,57</w:t>
      </w:r>
      <w:r w:rsidRPr="00E02178">
        <w:rPr>
          <w:rFonts w:ascii="MS Gothic" w:eastAsia="MS Gothic" w:hAnsi="MS Gothic" w:cs="MS Gothic" w:hint="eastAsia"/>
        </w:rPr>
        <w:t>】</w:t>
      </w:r>
      <w:r w:rsidRPr="00E02178">
        <w:rPr>
          <w:rFonts w:eastAsia="Arial" w:cs="Arial"/>
        </w:rPr>
        <w:t>. Nesse sentido, o conceito de hegemonia se articula com a noção de regime sociotécnico da MLP e pode ser mobilizado como uma ferramenta analítica relevante para interpretar as dinâmicas de poder no nível heurístico do regime, contribuindo para uma melhor compreensão das questões relacionadas à incumbência</w:t>
      </w:r>
      <w:r w:rsidRPr="00E02178">
        <w:rPr>
          <w:rFonts w:ascii="MS Gothic" w:eastAsia="MS Gothic" w:hAnsi="MS Gothic" w:cs="MS Gothic" w:hint="eastAsia"/>
        </w:rPr>
        <w:t>【</w:t>
      </w:r>
      <w:r w:rsidRPr="00E02178">
        <w:rPr>
          <w:rFonts w:eastAsia="Arial" w:cs="Arial"/>
        </w:rPr>
        <w:t>25</w:t>
      </w:r>
      <w:r w:rsidRPr="00E02178">
        <w:rPr>
          <w:rFonts w:ascii="MS Gothic" w:eastAsia="MS Gothic" w:hAnsi="MS Gothic" w:cs="MS Gothic" w:hint="eastAsia"/>
        </w:rPr>
        <w:t>】</w:t>
      </w:r>
      <w:r w:rsidRPr="00E02178">
        <w:rPr>
          <w:rFonts w:eastAsia="Arial" w:cs="Arial"/>
        </w:rPr>
        <w:t>.</w:t>
      </w:r>
    </w:p>
    <w:p w14:paraId="71A0D668" w14:textId="77777777" w:rsidR="00E02178" w:rsidRPr="00E02178" w:rsidRDefault="00E02178" w:rsidP="00E02178">
      <w:pPr>
        <w:spacing w:line="360" w:lineRule="auto"/>
        <w:jc w:val="both"/>
        <w:rPr>
          <w:rFonts w:eastAsia="Arial" w:cs="Arial"/>
        </w:rPr>
      </w:pPr>
      <w:r w:rsidRPr="00E02178">
        <w:rPr>
          <w:rFonts w:eastAsia="Arial" w:cs="Arial"/>
        </w:rPr>
        <w:t>Ao ser mobilizado nas pesquisas sobre transições sustentáveis nos sistemas alimentares (STFS), o conceito de hegemonia abre espaço para uma agenda de investigação ainda pouco explorada: como as elites dos sistemas alimentares conseguem manter seu poder e avançar suas preferências contando com o consentimento da sociedade civil, ao mesmo tempo em que resistem ou acomodam inovações radicais oriundas de nichos. Além disso, esse conceito oferece subsídios para que atores não hegemônicos desenvolvam estratégias para escalar suas propostas inovadoras e identifiquem fragilidades no interior do regime sociotécnico.</w:t>
      </w:r>
    </w:p>
    <w:p w14:paraId="424E496B" w14:textId="77777777" w:rsidR="00E02178" w:rsidRPr="00E02178" w:rsidRDefault="00E02178" w:rsidP="00E02178">
      <w:pPr>
        <w:spacing w:line="360" w:lineRule="auto"/>
        <w:jc w:val="both"/>
        <w:rPr>
          <w:rFonts w:eastAsia="Arial" w:cs="Arial"/>
        </w:rPr>
      </w:pPr>
      <w:r w:rsidRPr="00E02178">
        <w:rPr>
          <w:rFonts w:eastAsia="Arial" w:cs="Arial"/>
        </w:rPr>
        <w:t xml:space="preserve">Pesquisadores da vertente </w:t>
      </w:r>
      <w:proofErr w:type="spellStart"/>
      <w:r w:rsidRPr="00E02178">
        <w:rPr>
          <w:rFonts w:eastAsia="Arial" w:cs="Arial"/>
        </w:rPr>
        <w:t>neo-gramsciana</w:t>
      </w:r>
      <w:proofErr w:type="spellEnd"/>
      <w:r w:rsidRPr="00E02178">
        <w:rPr>
          <w:rFonts w:eastAsia="Arial" w:cs="Arial"/>
        </w:rPr>
        <w:t xml:space="preserve"> identificam três tipos de poder interligados exercidos pelos atores incumbentes para sustentar sua hegemonia: material, institucional e discursivo</w:t>
      </w:r>
      <w:r w:rsidRPr="00E02178">
        <w:rPr>
          <w:rFonts w:ascii="MS Gothic" w:eastAsia="MS Gothic" w:hAnsi="MS Gothic" w:cs="MS Gothic" w:hint="eastAsia"/>
        </w:rPr>
        <w:t>【</w:t>
      </w:r>
      <w:r w:rsidRPr="00E02178">
        <w:rPr>
          <w:rFonts w:eastAsia="Arial" w:cs="Arial"/>
        </w:rPr>
        <w:t>25,53,54</w:t>
      </w:r>
      <w:r w:rsidRPr="00E02178">
        <w:rPr>
          <w:rFonts w:ascii="MS Gothic" w:eastAsia="MS Gothic" w:hAnsi="MS Gothic" w:cs="MS Gothic" w:hint="eastAsia"/>
        </w:rPr>
        <w:t>】</w:t>
      </w:r>
      <w:r w:rsidRPr="00E02178">
        <w:rPr>
          <w:rFonts w:eastAsia="Arial" w:cs="Arial"/>
        </w:rPr>
        <w:t>.</w:t>
      </w:r>
    </w:p>
    <w:p w14:paraId="50636E9A" w14:textId="77777777" w:rsidR="00E02178" w:rsidRPr="00E02178" w:rsidRDefault="00E02178" w:rsidP="00E02178">
      <w:pPr>
        <w:numPr>
          <w:ilvl w:val="0"/>
          <w:numId w:val="5"/>
        </w:numPr>
        <w:spacing w:line="360" w:lineRule="auto"/>
        <w:jc w:val="both"/>
        <w:rPr>
          <w:rFonts w:eastAsia="Arial" w:cs="Arial"/>
        </w:rPr>
      </w:pPr>
      <w:r w:rsidRPr="00E02178">
        <w:rPr>
          <w:rFonts w:eastAsia="Arial" w:cs="Arial"/>
          <w:b/>
          <w:bCs/>
        </w:rPr>
        <w:t>Poder material</w:t>
      </w:r>
      <w:r w:rsidRPr="00E02178">
        <w:rPr>
          <w:rFonts w:eastAsia="Arial" w:cs="Arial"/>
        </w:rPr>
        <w:t xml:space="preserve"> decorre do controle sobre recursos naturais, produção e finanças — o que coloca corporações do agronegócio e grandes proprietários de terras em posição privilegiada para gerar e reproduzir as condições de acumulação de capital. Esse poder está vinculado à capacidade dessas elites de garantir estratégias nacionais de crescimento econômico, por meio da produção de commodities baratas para outros setores industriais, contribuição para a balança comercial, geração de empregos, arrecadação de impostos e gestão cotidiana das cadeias produtivas do agronegócio. Tais características permitem que </w:t>
      </w:r>
      <w:r w:rsidRPr="00E02178">
        <w:rPr>
          <w:rFonts w:eastAsia="Arial" w:cs="Arial"/>
        </w:rPr>
        <w:lastRenderedPageBreak/>
        <w:t>essas elites reivindiquem que seus interesses representam o interesse geral da sociedade — inclusive de outras frações do capital.</w:t>
      </w:r>
    </w:p>
    <w:p w14:paraId="1196F6E5" w14:textId="77777777" w:rsidR="00E02178" w:rsidRPr="00E02178" w:rsidRDefault="00E02178" w:rsidP="00E02178">
      <w:pPr>
        <w:numPr>
          <w:ilvl w:val="0"/>
          <w:numId w:val="5"/>
        </w:numPr>
        <w:spacing w:line="360" w:lineRule="auto"/>
        <w:jc w:val="both"/>
        <w:rPr>
          <w:rFonts w:eastAsia="Arial" w:cs="Arial"/>
        </w:rPr>
      </w:pPr>
      <w:r w:rsidRPr="00E02178">
        <w:rPr>
          <w:rFonts w:eastAsia="Arial" w:cs="Arial"/>
          <w:b/>
          <w:bCs/>
        </w:rPr>
        <w:t>Poder institucional</w:t>
      </w:r>
      <w:r w:rsidRPr="00E02178">
        <w:rPr>
          <w:rFonts w:eastAsia="Arial" w:cs="Arial"/>
        </w:rPr>
        <w:t xml:space="preserve"> deriva do poder material e se manifesta na capacidade das elites de ocupar posições estratégicas na burocracia estatal e influenciar espaços-chave de tomada de decisão dentro da estrutura do Estado</w:t>
      </w:r>
      <w:r w:rsidRPr="00E02178">
        <w:rPr>
          <w:rFonts w:ascii="MS Gothic" w:eastAsia="MS Gothic" w:hAnsi="MS Gothic" w:cs="MS Gothic" w:hint="eastAsia"/>
        </w:rPr>
        <w:t>【</w:t>
      </w:r>
      <w:r w:rsidRPr="00E02178">
        <w:rPr>
          <w:rFonts w:eastAsia="Arial" w:cs="Arial"/>
        </w:rPr>
        <w:t>25,54</w:t>
      </w:r>
      <w:r w:rsidRPr="00E02178">
        <w:rPr>
          <w:rFonts w:ascii="MS Gothic" w:eastAsia="MS Gothic" w:hAnsi="MS Gothic" w:cs="MS Gothic" w:hint="eastAsia"/>
        </w:rPr>
        <w:t>】</w:t>
      </w:r>
      <w:r w:rsidRPr="00E02178">
        <w:rPr>
          <w:rFonts w:eastAsia="Arial" w:cs="Arial"/>
        </w:rPr>
        <w:t>. Envolve formas de influência tanto formais — por meio de estruturas de representação — quanto informais — por meio de redes sociais e contatos pessoais. Os atores incumbentes mobilizam significativos recursos materiais para garantir acesso e influência, assegurando que suas vozes sejam consideradas nos processos de formulação e implementação de políticas públicas. No contexto capitalista, o poder institucional é frequentemente construído por meio da liberação de recursos financeiros, como o financiamento de campanhas eleitorais, estruturas de lobby, convites a políticos para eventos de luxo e a contratação de servidores públicos por empresas privadas.</w:t>
      </w:r>
    </w:p>
    <w:p w14:paraId="678A66B6" w14:textId="77777777" w:rsidR="00E02178" w:rsidRPr="00E02178" w:rsidRDefault="00E02178" w:rsidP="00E02178">
      <w:pPr>
        <w:numPr>
          <w:ilvl w:val="0"/>
          <w:numId w:val="5"/>
        </w:numPr>
        <w:spacing w:line="360" w:lineRule="auto"/>
        <w:jc w:val="both"/>
        <w:rPr>
          <w:rFonts w:eastAsia="Arial" w:cs="Arial"/>
        </w:rPr>
      </w:pPr>
      <w:r w:rsidRPr="00E02178">
        <w:rPr>
          <w:rFonts w:eastAsia="Arial" w:cs="Arial"/>
          <w:b/>
          <w:bCs/>
        </w:rPr>
        <w:t>Poder discursivo</w:t>
      </w:r>
      <w:r w:rsidRPr="00E02178">
        <w:rPr>
          <w:rFonts w:eastAsia="Arial" w:cs="Arial"/>
        </w:rPr>
        <w:t xml:space="preserve"> diz respeito à capacidade dos atores incumbentes de estruturar e reforçar enquadramentos dominantes sobre os temas em disputa, influenciando o que e como será debatido na sociedade</w:t>
      </w:r>
      <w:r w:rsidRPr="00E02178">
        <w:rPr>
          <w:rFonts w:ascii="MS Gothic" w:eastAsia="MS Gothic" w:hAnsi="MS Gothic" w:cs="MS Gothic" w:hint="eastAsia"/>
        </w:rPr>
        <w:t>【</w:t>
      </w:r>
      <w:r w:rsidRPr="00E02178">
        <w:rPr>
          <w:rFonts w:eastAsia="Arial" w:cs="Arial"/>
        </w:rPr>
        <w:t>30,54</w:t>
      </w:r>
      <w:r w:rsidRPr="00E02178">
        <w:rPr>
          <w:rFonts w:ascii="MS Gothic" w:eastAsia="MS Gothic" w:hAnsi="MS Gothic" w:cs="MS Gothic" w:hint="eastAsia"/>
        </w:rPr>
        <w:t>】</w:t>
      </w:r>
      <w:r w:rsidRPr="00E02178">
        <w:rPr>
          <w:rFonts w:eastAsia="Arial" w:cs="Arial"/>
        </w:rPr>
        <w:t>. A análise gramsciana enfoca como o poder é exercido através da linguagem e da manipulação de discursos, moldando narrativas que legitimam estruturas de poder existentes. Mundialmente, corporações do agronegócio e grandes produtores rurais — apesar de interesses distintos — vêm colaborando para desenvolver estratégias de comunicação capazes de responder às críticas da sociedade civil sobre os impactos negativos do sistema alimentar hegemônico, especialmente nas dimensões sociais, ambientais e de saúde pública</w:t>
      </w:r>
      <w:r w:rsidRPr="00E02178">
        <w:rPr>
          <w:rFonts w:ascii="MS Gothic" w:eastAsia="MS Gothic" w:hAnsi="MS Gothic" w:cs="MS Gothic" w:hint="eastAsia"/>
        </w:rPr>
        <w:t>【</w:t>
      </w:r>
      <w:r w:rsidRPr="00E02178">
        <w:rPr>
          <w:rFonts w:eastAsia="Arial" w:cs="Arial"/>
        </w:rPr>
        <w:t>54,63–65</w:t>
      </w:r>
      <w:r w:rsidRPr="00E02178">
        <w:rPr>
          <w:rFonts w:ascii="MS Gothic" w:eastAsia="MS Gothic" w:hAnsi="MS Gothic" w:cs="MS Gothic" w:hint="eastAsia"/>
        </w:rPr>
        <w:t>】</w:t>
      </w:r>
      <w:r w:rsidRPr="00E02178">
        <w:rPr>
          <w:rFonts w:eastAsia="Arial" w:cs="Arial"/>
        </w:rPr>
        <w:t xml:space="preserve">. Meios de comunicação, universidades e associações produzem e reproduzem </w:t>
      </w:r>
      <w:r w:rsidRPr="00E02178">
        <w:rPr>
          <w:rFonts w:eastAsia="Arial" w:cs="Arial"/>
        </w:rPr>
        <w:lastRenderedPageBreak/>
        <w:t>argumentos e narrativas que buscam deslegitimar organizações e opiniões dissidentes, chegando inclusive à criminalização de movimentos sociais</w:t>
      </w:r>
      <w:r w:rsidRPr="00E02178">
        <w:rPr>
          <w:rFonts w:ascii="MS Gothic" w:eastAsia="MS Gothic" w:hAnsi="MS Gothic" w:cs="MS Gothic" w:hint="eastAsia"/>
        </w:rPr>
        <w:t>【</w:t>
      </w:r>
      <w:r w:rsidRPr="00E02178">
        <w:rPr>
          <w:rFonts w:eastAsia="Arial" w:cs="Arial"/>
        </w:rPr>
        <w:t>66–69</w:t>
      </w:r>
      <w:r w:rsidRPr="00E02178">
        <w:rPr>
          <w:rFonts w:ascii="MS Gothic" w:eastAsia="MS Gothic" w:hAnsi="MS Gothic" w:cs="MS Gothic" w:hint="eastAsia"/>
        </w:rPr>
        <w:t>】</w:t>
      </w:r>
      <w:r w:rsidRPr="00E02178">
        <w:rPr>
          <w:rFonts w:eastAsia="Arial" w:cs="Arial"/>
        </w:rPr>
        <w:t>.</w:t>
      </w:r>
    </w:p>
    <w:p w14:paraId="439344CF" w14:textId="77777777" w:rsidR="00E02178" w:rsidRPr="00E02178" w:rsidRDefault="00E02178" w:rsidP="00E02178">
      <w:pPr>
        <w:spacing w:line="360" w:lineRule="auto"/>
        <w:jc w:val="both"/>
        <w:rPr>
          <w:rFonts w:eastAsia="Arial" w:cs="Arial"/>
        </w:rPr>
      </w:pPr>
      <w:r w:rsidRPr="00E02178">
        <w:rPr>
          <w:rFonts w:eastAsia="Arial" w:cs="Arial"/>
        </w:rPr>
        <w:t>A pesquisa sobre STFS pode mobilizar o conceito de hegemonia em diferentes escalas geográficas para compreender como os atores incumbentes em um determinado sistema alimentar alinham os poderes material, institucional e discursivo para avançar seus interesses e resistir a pressões externas.</w:t>
      </w:r>
    </w:p>
    <w:p w14:paraId="03C39A3C" w14:textId="77777777" w:rsidR="00E02178" w:rsidRPr="00E02178" w:rsidRDefault="00E02178" w:rsidP="00E02178">
      <w:pPr>
        <w:numPr>
          <w:ilvl w:val="0"/>
          <w:numId w:val="6"/>
        </w:numPr>
        <w:spacing w:line="360" w:lineRule="auto"/>
        <w:jc w:val="both"/>
        <w:rPr>
          <w:rFonts w:eastAsia="Arial" w:cs="Arial"/>
        </w:rPr>
      </w:pPr>
      <w:r w:rsidRPr="00E02178">
        <w:rPr>
          <w:rFonts w:eastAsia="Arial" w:cs="Arial"/>
        </w:rPr>
        <w:t>Em escala transnacional, o conceito pode ser útil para analisar a resistência a mudanças em agências multilaterais (como FAO, CGIAR), a conivência entre governos do Norte Global e corporações transnacionais para impor seus interesses comerciais (por exemplo, transgênicos), a dependência internacional de commodities baratas produzidas no Sul Global, as ações coordenadas das corporações transnacionais para ocupar posições em arenas deliberativas e não deliberativas (como OMC, Cúpula da ONU sobre Sistemas Alimentares, FAO), e os esforços dessas corporações para influenciar a opinião pública a respeito dos supostos benefícios do sistema hegemônico.</w:t>
      </w:r>
    </w:p>
    <w:p w14:paraId="0200ABE5" w14:textId="77777777" w:rsidR="00E02178" w:rsidRPr="00E02178" w:rsidRDefault="00E02178" w:rsidP="00E02178">
      <w:pPr>
        <w:numPr>
          <w:ilvl w:val="0"/>
          <w:numId w:val="6"/>
        </w:numPr>
        <w:spacing w:line="360" w:lineRule="auto"/>
        <w:jc w:val="both"/>
        <w:rPr>
          <w:rFonts w:eastAsia="Arial" w:cs="Arial"/>
        </w:rPr>
      </w:pPr>
      <w:r w:rsidRPr="00E02178">
        <w:rPr>
          <w:rFonts w:eastAsia="Arial" w:cs="Arial"/>
        </w:rPr>
        <w:t>Em escala nacional, o conceito de hegemonia permite examinar o poder material e institucional de atores incumbentes nacionais, refletido em marcos legais, institucionais e econômicos que sistematicamente os favorecem; alianças entre agentes públicos e privados; o papel de grandes proprietários rurais na definição de agendas políticas no Sul Global; e as estratégias de comunicação das elites do agronegócio para moldar a opinião da sociedade civil.</w:t>
      </w:r>
    </w:p>
    <w:p w14:paraId="6ECF173A" w14:textId="77777777" w:rsidR="00E02178" w:rsidRPr="00E02178" w:rsidRDefault="00E02178" w:rsidP="00E02178">
      <w:pPr>
        <w:numPr>
          <w:ilvl w:val="0"/>
          <w:numId w:val="6"/>
        </w:numPr>
        <w:spacing w:line="360" w:lineRule="auto"/>
        <w:jc w:val="both"/>
        <w:rPr>
          <w:rFonts w:eastAsia="Arial" w:cs="Arial"/>
        </w:rPr>
      </w:pPr>
      <w:r w:rsidRPr="00E02178">
        <w:rPr>
          <w:rFonts w:eastAsia="Arial" w:cs="Arial"/>
        </w:rPr>
        <w:t>Em nível local, o conceito é útil para considerar o papel das elites locais na resistência a mudanças, os bloqueios à ampliação de inovações em nichos e as dependências burocráticas que dificultam a acolhida de inovações sociotécnicas pelo Estado.</w:t>
      </w:r>
    </w:p>
    <w:p w14:paraId="5D16560C" w14:textId="77777777" w:rsidR="00E02178" w:rsidRPr="001A1335" w:rsidRDefault="00E02178" w:rsidP="001A1335">
      <w:pPr>
        <w:spacing w:line="360" w:lineRule="auto"/>
        <w:jc w:val="both"/>
        <w:rPr>
          <w:rFonts w:eastAsia="Arial" w:cs="Arial"/>
        </w:rPr>
      </w:pPr>
    </w:p>
    <w:p w14:paraId="7EA3FAAD" w14:textId="77777777" w:rsidR="001A1335" w:rsidRPr="001A1335" w:rsidRDefault="001A1335" w:rsidP="001A1335">
      <w:pPr>
        <w:spacing w:line="360" w:lineRule="auto"/>
        <w:jc w:val="both"/>
        <w:rPr>
          <w:rFonts w:eastAsia="Arial" w:cs="Arial"/>
          <w:b/>
          <w:bCs/>
        </w:rPr>
      </w:pPr>
      <w:r w:rsidRPr="001A1335">
        <w:rPr>
          <w:rFonts w:eastAsia="Arial" w:cs="Arial"/>
          <w:b/>
          <w:bCs/>
        </w:rPr>
        <w:t>Bloco Histórico</w:t>
      </w:r>
    </w:p>
    <w:p w14:paraId="73D4AC64" w14:textId="77777777" w:rsidR="001A1335" w:rsidRPr="001A1335" w:rsidRDefault="001A1335" w:rsidP="001A1335">
      <w:pPr>
        <w:spacing w:line="360" w:lineRule="auto"/>
        <w:jc w:val="both"/>
        <w:rPr>
          <w:rFonts w:eastAsia="Arial" w:cs="Arial"/>
        </w:rPr>
      </w:pPr>
      <w:r w:rsidRPr="001A1335">
        <w:rPr>
          <w:rFonts w:eastAsia="Arial" w:cs="Arial"/>
        </w:rPr>
        <w:t xml:space="preserve">O conceito de bloco histórico está intrinsecamente vinculado ao de hegemonia, representando a estrutura social hegemônica que “se sustenta em uma configuração específica de grupos sociais, estruturas econômicas e superestruturas ideológicas </w:t>
      </w:r>
      <w:proofErr w:type="gramStart"/>
      <w:r w:rsidRPr="001A1335">
        <w:rPr>
          <w:rFonts w:eastAsia="Arial" w:cs="Arial"/>
        </w:rPr>
        <w:t>correspondentes”</w:t>
      </w:r>
      <w:r w:rsidRPr="001A1335">
        <w:rPr>
          <w:rFonts w:ascii="MS Gothic" w:eastAsia="MS Gothic" w:hAnsi="MS Gothic" w:cs="MS Gothic" w:hint="eastAsia"/>
        </w:rPr>
        <w:t>【</w:t>
      </w:r>
      <w:proofErr w:type="gramEnd"/>
      <w:r w:rsidRPr="001A1335">
        <w:rPr>
          <w:rFonts w:eastAsia="Arial" w:cs="Arial"/>
        </w:rPr>
        <w:t>57, p. 806</w:t>
      </w:r>
      <w:r w:rsidRPr="001A1335">
        <w:rPr>
          <w:rFonts w:ascii="MS Gothic" w:eastAsia="MS Gothic" w:hAnsi="MS Gothic" w:cs="MS Gothic" w:hint="eastAsia"/>
        </w:rPr>
        <w:t>】</w:t>
      </w:r>
      <w:r w:rsidRPr="001A1335">
        <w:rPr>
          <w:rFonts w:eastAsia="Arial" w:cs="Arial"/>
        </w:rPr>
        <w:t>. Trata-se de uma articulação abrangente que alinha interesses fragmentados, legitimados pela sociedade civil e reforçados pelo Estado</w:t>
      </w:r>
      <w:r w:rsidRPr="001A1335">
        <w:rPr>
          <w:rFonts w:ascii="MS Gothic" w:eastAsia="MS Gothic" w:hAnsi="MS Gothic" w:cs="MS Gothic" w:hint="eastAsia"/>
        </w:rPr>
        <w:t>【</w:t>
      </w:r>
      <w:r w:rsidRPr="001A1335">
        <w:rPr>
          <w:rFonts w:eastAsia="Arial" w:cs="Arial"/>
        </w:rPr>
        <w:t>49</w:t>
      </w:r>
      <w:r w:rsidRPr="001A1335">
        <w:rPr>
          <w:rFonts w:ascii="MS Gothic" w:eastAsia="MS Gothic" w:hAnsi="MS Gothic" w:cs="MS Gothic" w:hint="eastAsia"/>
        </w:rPr>
        <w:t>】</w:t>
      </w:r>
      <w:r w:rsidRPr="001A1335">
        <w:rPr>
          <w:rFonts w:eastAsia="Arial" w:cs="Arial"/>
        </w:rPr>
        <w:t xml:space="preserve">. Um bloco histórico orienta a sociedade e as classes subalternas a partir de sua hegemonia ideológica, exercendo o poder “por meio da autoridade coercitiva e burocrática do Estado, do domínio no campo econômico e da legitimidade consensual conferida pela sociedade </w:t>
      </w:r>
      <w:proofErr w:type="gramStart"/>
      <w:r w:rsidRPr="001A1335">
        <w:rPr>
          <w:rFonts w:eastAsia="Arial" w:cs="Arial"/>
        </w:rPr>
        <w:t>civil”</w:t>
      </w:r>
      <w:r w:rsidRPr="001A1335">
        <w:rPr>
          <w:rFonts w:ascii="MS Gothic" w:eastAsia="MS Gothic" w:hAnsi="MS Gothic" w:cs="MS Gothic" w:hint="eastAsia"/>
        </w:rPr>
        <w:t>【</w:t>
      </w:r>
      <w:proofErr w:type="gramEnd"/>
      <w:r w:rsidRPr="001A1335">
        <w:rPr>
          <w:rFonts w:eastAsia="Arial" w:cs="Arial"/>
        </w:rPr>
        <w:t>57, p. 806</w:t>
      </w:r>
      <w:r w:rsidRPr="001A1335">
        <w:rPr>
          <w:rFonts w:ascii="MS Gothic" w:eastAsia="MS Gothic" w:hAnsi="MS Gothic" w:cs="MS Gothic" w:hint="eastAsia"/>
        </w:rPr>
        <w:t>】</w:t>
      </w:r>
      <w:r w:rsidRPr="001A1335">
        <w:rPr>
          <w:rFonts w:eastAsia="Arial" w:cs="Arial"/>
        </w:rPr>
        <w:t>.</w:t>
      </w:r>
    </w:p>
    <w:p w14:paraId="40E667BF" w14:textId="77777777" w:rsidR="001A1335" w:rsidRPr="001A1335" w:rsidRDefault="001A1335" w:rsidP="001A1335">
      <w:pPr>
        <w:spacing w:line="360" w:lineRule="auto"/>
        <w:jc w:val="both"/>
        <w:rPr>
          <w:rFonts w:eastAsia="Arial" w:cs="Arial"/>
        </w:rPr>
      </w:pPr>
      <w:r w:rsidRPr="001A1335">
        <w:rPr>
          <w:rFonts w:eastAsia="Arial" w:cs="Arial"/>
        </w:rPr>
        <w:t>Esse bloco alinha os poderes material, institucional e discursivo para estabilizar as relações de poder dentro de um regime sociotécnico, resistindo a inovações em nichos que possam ameaçar o status quo</w:t>
      </w:r>
      <w:r w:rsidRPr="001A1335">
        <w:rPr>
          <w:rFonts w:ascii="MS Gothic" w:eastAsia="MS Gothic" w:hAnsi="MS Gothic" w:cs="MS Gothic" w:hint="eastAsia"/>
        </w:rPr>
        <w:t>【</w:t>
      </w:r>
      <w:r w:rsidRPr="001A1335">
        <w:rPr>
          <w:rFonts w:eastAsia="Arial" w:cs="Arial"/>
        </w:rPr>
        <w:t>30</w:t>
      </w:r>
      <w:r w:rsidRPr="001A1335">
        <w:rPr>
          <w:rFonts w:ascii="MS Gothic" w:eastAsia="MS Gothic" w:hAnsi="MS Gothic" w:cs="MS Gothic" w:hint="eastAsia"/>
        </w:rPr>
        <w:t>】</w:t>
      </w:r>
      <w:r w:rsidRPr="001A1335">
        <w:rPr>
          <w:rFonts w:eastAsia="Arial" w:cs="Arial"/>
        </w:rPr>
        <w:t>. Atua ativamente para determinar quais são as opções políticas viáveis (definindo a agenda) e para assegurar apoio político às suas preferências (durante a implementação).</w:t>
      </w:r>
    </w:p>
    <w:p w14:paraId="6226E81F" w14:textId="77777777" w:rsidR="001A1335" w:rsidRPr="001A1335" w:rsidRDefault="001A1335" w:rsidP="001A1335">
      <w:pPr>
        <w:spacing w:line="360" w:lineRule="auto"/>
        <w:jc w:val="both"/>
        <w:rPr>
          <w:rFonts w:eastAsia="Arial" w:cs="Arial"/>
        </w:rPr>
      </w:pPr>
      <w:r w:rsidRPr="001A1335">
        <w:rPr>
          <w:rFonts w:eastAsia="Arial" w:cs="Arial"/>
        </w:rPr>
        <w:t>Blocos históricos são compostos por diferentes frações do capital, que compartilham interesses simultaneamente convergentes e divergentes. Por isso, a hegemonia de um bloco histórico é sempre contingente e instável, dependendo da sua capacidade de manter a coesão entre os diferentes atores, priorizando interesses econômicos e ideológicos comuns em detrimento de interesses específicos</w:t>
      </w:r>
      <w:r w:rsidRPr="001A1335">
        <w:rPr>
          <w:rFonts w:ascii="MS Gothic" w:eastAsia="MS Gothic" w:hAnsi="MS Gothic" w:cs="MS Gothic" w:hint="eastAsia"/>
        </w:rPr>
        <w:t>【</w:t>
      </w:r>
      <w:r w:rsidRPr="001A1335">
        <w:rPr>
          <w:rFonts w:eastAsia="Arial" w:cs="Arial"/>
        </w:rPr>
        <w:t>25,30,55</w:t>
      </w:r>
      <w:r w:rsidRPr="001A1335">
        <w:rPr>
          <w:rFonts w:ascii="MS Gothic" w:eastAsia="MS Gothic" w:hAnsi="MS Gothic" w:cs="MS Gothic" w:hint="eastAsia"/>
        </w:rPr>
        <w:t>】</w:t>
      </w:r>
      <w:r w:rsidRPr="001A1335">
        <w:rPr>
          <w:rFonts w:eastAsia="Arial" w:cs="Arial"/>
        </w:rPr>
        <w:t>. Os atritos entre os diferentes segmentos que o compõem geram instabilidades e abrem espaço para reconfigurações.</w:t>
      </w:r>
    </w:p>
    <w:p w14:paraId="09A3D005" w14:textId="77777777" w:rsidR="001A1335" w:rsidRPr="001A1335" w:rsidRDefault="001A1335" w:rsidP="001A1335">
      <w:pPr>
        <w:spacing w:line="360" w:lineRule="auto"/>
        <w:jc w:val="both"/>
        <w:rPr>
          <w:rFonts w:eastAsia="Arial" w:cs="Arial"/>
        </w:rPr>
      </w:pPr>
      <w:r w:rsidRPr="001A1335">
        <w:rPr>
          <w:rFonts w:eastAsia="Arial" w:cs="Arial"/>
        </w:rPr>
        <w:t>No contexto dos sistemas alimentares, o conceito de bloco histórico pode ser mobilizado para analisar as alianças entre distintas frações do capital na resistência a inovações disruptivas oriundas de nichos</w:t>
      </w:r>
      <w:r w:rsidRPr="001A1335">
        <w:rPr>
          <w:rFonts w:ascii="MS Gothic" w:eastAsia="MS Gothic" w:hAnsi="MS Gothic" w:cs="MS Gothic" w:hint="eastAsia"/>
        </w:rPr>
        <w:t>【</w:t>
      </w:r>
      <w:r w:rsidRPr="001A1335">
        <w:rPr>
          <w:rFonts w:eastAsia="Arial" w:cs="Arial"/>
        </w:rPr>
        <w:t>49</w:t>
      </w:r>
      <w:r w:rsidRPr="001A1335">
        <w:rPr>
          <w:rFonts w:ascii="MS Gothic" w:eastAsia="MS Gothic" w:hAnsi="MS Gothic" w:cs="MS Gothic" w:hint="eastAsia"/>
        </w:rPr>
        <w:t>】</w:t>
      </w:r>
      <w:r w:rsidRPr="001A1335">
        <w:rPr>
          <w:rFonts w:eastAsia="Arial" w:cs="Arial"/>
        </w:rPr>
        <w:t xml:space="preserve">. Por exemplo, é </w:t>
      </w:r>
      <w:r w:rsidRPr="001A1335">
        <w:rPr>
          <w:rFonts w:eastAsia="Arial" w:cs="Arial"/>
        </w:rPr>
        <w:lastRenderedPageBreak/>
        <w:t>possível examinar as alianças entre corporações do agronegócio de diferentes setores (como insumos, alimentos, celulose, fibras etc.) que compartilham interesses comuns; as alianças entre essas corporações e representantes dos grandes proprietários rurais (latifúndio); os blocos legislativos formados por parlamentares com agendas conservadoras convergentes (como a bancada da bala, do agronegócio e evangélica); a nomeação de representantes do setor privado para cargos estratégicos no Estado; a atuação de estruturas de lobby; e as negociações entre atores incumbentes para definição de prioridades políticas.</w:t>
      </w:r>
    </w:p>
    <w:p w14:paraId="6C7012BA" w14:textId="77777777" w:rsidR="001A1335" w:rsidRDefault="001A1335" w:rsidP="001A1335">
      <w:pPr>
        <w:spacing w:line="360" w:lineRule="auto"/>
        <w:jc w:val="both"/>
        <w:rPr>
          <w:rFonts w:eastAsia="Arial" w:cs="Arial"/>
        </w:rPr>
      </w:pPr>
      <w:r w:rsidRPr="001A1335">
        <w:rPr>
          <w:rFonts w:eastAsia="Arial" w:cs="Arial"/>
        </w:rPr>
        <w:t>No Sul Global, o conceito de bloco histórico é especialmente relevante para compreender as complexas relações históricas entre o latifúndio, setores industriais e o Estado. Essas relações, tanto ideológicas quanto econômicas, sustentam a prevalência de um modelo agrícola baseado em grandes propriedades voltadas à produção de commodities para exportação — um padrão que remonta ao período colonial e que ainda estrutura as políticas agrárias e alimentares em muitos países.</w:t>
      </w:r>
    </w:p>
    <w:p w14:paraId="42DCAD22" w14:textId="77777777" w:rsidR="00BB0A35" w:rsidRPr="001A1335" w:rsidRDefault="00BB0A35" w:rsidP="001A1335">
      <w:pPr>
        <w:spacing w:line="360" w:lineRule="auto"/>
        <w:jc w:val="both"/>
        <w:rPr>
          <w:rFonts w:eastAsia="Arial" w:cs="Arial"/>
        </w:rPr>
      </w:pPr>
    </w:p>
    <w:p w14:paraId="7CDE50C6" w14:textId="77777777" w:rsidR="001A1335" w:rsidRPr="001A1335" w:rsidRDefault="001A1335" w:rsidP="001A1335">
      <w:pPr>
        <w:spacing w:line="360" w:lineRule="auto"/>
        <w:jc w:val="both"/>
        <w:rPr>
          <w:rFonts w:eastAsia="Arial" w:cs="Arial"/>
          <w:b/>
          <w:bCs/>
        </w:rPr>
      </w:pPr>
      <w:r w:rsidRPr="001A1335">
        <w:rPr>
          <w:rFonts w:eastAsia="Arial" w:cs="Arial"/>
          <w:b/>
          <w:bCs/>
        </w:rPr>
        <w:t>Estado Integral</w:t>
      </w:r>
    </w:p>
    <w:p w14:paraId="77CDC0C6" w14:textId="77777777" w:rsidR="001A1335" w:rsidRPr="001A1335" w:rsidRDefault="001A1335" w:rsidP="001A1335">
      <w:pPr>
        <w:spacing w:line="360" w:lineRule="auto"/>
        <w:jc w:val="both"/>
        <w:rPr>
          <w:rFonts w:eastAsia="Arial" w:cs="Arial"/>
        </w:rPr>
      </w:pPr>
      <w:r w:rsidRPr="001A1335">
        <w:rPr>
          <w:rFonts w:eastAsia="Arial" w:cs="Arial"/>
        </w:rPr>
        <w:t xml:space="preserve">O conceito de Estado integral aprofunda a compreensão de hegemonia ao iluminar o equilíbrio necessário entre o uso da coerção — exercida pelos aparelhos estatais (Executivo, Legislativo, Judiciário e Forças Armadas) — e o consentimento — proveniente das instituições privadas que compõem a sociedade civil (como mídia, partidos políticos, sindicatos, igrejas, academia, associações e movimentos </w:t>
      </w:r>
      <w:proofErr w:type="gramStart"/>
      <w:r w:rsidRPr="001A1335">
        <w:rPr>
          <w:rFonts w:eastAsia="Arial" w:cs="Arial"/>
        </w:rPr>
        <w:t>sociais)</w:t>
      </w:r>
      <w:r w:rsidRPr="001A1335">
        <w:rPr>
          <w:rFonts w:ascii="MS Gothic" w:eastAsia="MS Gothic" w:hAnsi="MS Gothic" w:cs="MS Gothic" w:hint="eastAsia"/>
        </w:rPr>
        <w:t>【</w:t>
      </w:r>
      <w:proofErr w:type="gramEnd"/>
      <w:r w:rsidRPr="001A1335">
        <w:rPr>
          <w:rFonts w:eastAsia="Arial" w:cs="Arial"/>
        </w:rPr>
        <w:t>25</w:t>
      </w:r>
      <w:r w:rsidRPr="001A1335">
        <w:rPr>
          <w:rFonts w:ascii="MS Gothic" w:eastAsia="MS Gothic" w:hAnsi="MS Gothic" w:cs="MS Gothic" w:hint="eastAsia"/>
        </w:rPr>
        <w:t>】</w:t>
      </w:r>
      <w:r w:rsidRPr="001A1335">
        <w:rPr>
          <w:rFonts w:eastAsia="Arial" w:cs="Arial"/>
        </w:rPr>
        <w:t>. Essa formulação reflete o esforço de Gramsci para analisar a natureza entrelaçada entre Estado e sociedade civil, reunindo-as em um mesmo quadro analítico e evitando tratá-las como esferas independentes ou hierarquicamente subordinadas.</w:t>
      </w:r>
    </w:p>
    <w:p w14:paraId="2B696E15" w14:textId="77777777" w:rsidR="001A1335" w:rsidRPr="001A1335" w:rsidRDefault="001A1335" w:rsidP="001A1335">
      <w:pPr>
        <w:spacing w:line="360" w:lineRule="auto"/>
        <w:jc w:val="both"/>
        <w:rPr>
          <w:rFonts w:eastAsia="Arial" w:cs="Arial"/>
        </w:rPr>
      </w:pPr>
      <w:r w:rsidRPr="001A1335">
        <w:rPr>
          <w:rFonts w:eastAsia="Arial" w:cs="Arial"/>
        </w:rPr>
        <w:t xml:space="preserve">O conceito de Estado integral destaca a relevância das organizações da sociedade civil na produção e reprodução da ideologia dominante, sendo </w:t>
      </w:r>
      <w:r w:rsidRPr="001A1335">
        <w:rPr>
          <w:rFonts w:eastAsia="Arial" w:cs="Arial"/>
        </w:rPr>
        <w:lastRenderedPageBreak/>
        <w:t>fundamentais para assegurar o consentimento das massas. Dessa forma, reconhece-se que a sociedade civil desempenha um papel chave na sustentação da hegemonia. Ao mesmo tempo, o conceito também reconhece que a sociedade civil é um espaço de contestação da hegemonia, onde ideias contra-hegemônicas podem emergir, ganhar força e disputar os rumos do regime sociotécnico.</w:t>
      </w:r>
    </w:p>
    <w:p w14:paraId="06B0E2BD" w14:textId="77777777" w:rsidR="001A1335" w:rsidRPr="001A1335" w:rsidRDefault="001A1335" w:rsidP="001A1335">
      <w:pPr>
        <w:spacing w:line="360" w:lineRule="auto"/>
        <w:jc w:val="both"/>
        <w:rPr>
          <w:rFonts w:eastAsia="Arial" w:cs="Arial"/>
        </w:rPr>
      </w:pPr>
      <w:r w:rsidRPr="001A1335">
        <w:rPr>
          <w:rFonts w:eastAsia="Arial" w:cs="Arial"/>
        </w:rPr>
        <w:t>Para manter sua hegemonia, o grupo dominante precisa renovar constantemente sua presença e influência na sociedade civil, buscando evitar que ideias alternativas ganhem tração. Nesse sentido, o Estado integral permite compreender tanto a capacidade de influência do regime incumbente quanto os limites que a sociedade civil impõe a essa influência. Assim, esse conceito aponta para o potencial da sociedade civil de pressionar por mudanças em regimes sociotécnicos e impor restrições aos atores incumbentes.</w:t>
      </w:r>
    </w:p>
    <w:p w14:paraId="4AF72E99" w14:textId="77777777" w:rsidR="001A1335" w:rsidRPr="001A1335" w:rsidRDefault="001A1335" w:rsidP="001A1335">
      <w:pPr>
        <w:spacing w:line="360" w:lineRule="auto"/>
        <w:jc w:val="both"/>
        <w:rPr>
          <w:rFonts w:eastAsia="Arial" w:cs="Arial"/>
        </w:rPr>
      </w:pPr>
      <w:r w:rsidRPr="001A1335">
        <w:rPr>
          <w:rFonts w:eastAsia="Arial" w:cs="Arial"/>
        </w:rPr>
        <w:t>Nos estudos sobre transições sustentáveis, o conceito de Estado integral é útil para examinar as estratégias dos atores incumbentes para obter o consentimento da sociedade civil em torno de seu projeto hegemônico — um processo que requer negociações e concessões constantes com diversos atores sociais. Da mesma forma, o conceito também ajuda a analisar como as inovações em nichos podem obter apoio social amplo e, a partir disso, influenciar mudanças no nível do regime.</w:t>
      </w:r>
    </w:p>
    <w:p w14:paraId="07C3776E" w14:textId="77777777" w:rsidR="001A1335" w:rsidRPr="001A1335" w:rsidRDefault="001A1335" w:rsidP="001A1335">
      <w:pPr>
        <w:spacing w:line="360" w:lineRule="auto"/>
        <w:jc w:val="both"/>
        <w:rPr>
          <w:rFonts w:eastAsia="Arial" w:cs="Arial"/>
        </w:rPr>
      </w:pPr>
      <w:r w:rsidRPr="001A1335">
        <w:rPr>
          <w:rFonts w:eastAsia="Arial" w:cs="Arial"/>
        </w:rPr>
        <w:t>Nas pesquisas sobre transições sustentáveis dos sistemas alimentares (STFS), o conceito de Estado integral pode ser mobilizado para explorar:</w:t>
      </w:r>
    </w:p>
    <w:p w14:paraId="70C97440" w14:textId="77777777" w:rsidR="001A1335" w:rsidRPr="001A1335" w:rsidRDefault="001A1335" w:rsidP="001A1335">
      <w:pPr>
        <w:numPr>
          <w:ilvl w:val="0"/>
          <w:numId w:val="2"/>
        </w:numPr>
        <w:spacing w:line="360" w:lineRule="auto"/>
        <w:jc w:val="both"/>
        <w:rPr>
          <w:rFonts w:eastAsia="Arial" w:cs="Arial"/>
        </w:rPr>
      </w:pPr>
      <w:r w:rsidRPr="001A1335">
        <w:rPr>
          <w:rFonts w:eastAsia="Arial" w:cs="Arial"/>
        </w:rPr>
        <w:t>as estratégias dos grupos hegemônicos para negociar, cooptar ou fazer concessões a atores da sociedade civil, com o objetivo de estabilizar o regime sociotécnico;</w:t>
      </w:r>
    </w:p>
    <w:p w14:paraId="7B7DAB6A" w14:textId="77777777" w:rsidR="001A1335" w:rsidRPr="001A1335" w:rsidRDefault="001A1335" w:rsidP="001A1335">
      <w:pPr>
        <w:numPr>
          <w:ilvl w:val="0"/>
          <w:numId w:val="2"/>
        </w:numPr>
        <w:spacing w:line="360" w:lineRule="auto"/>
        <w:jc w:val="both"/>
        <w:rPr>
          <w:rFonts w:eastAsia="Arial" w:cs="Arial"/>
        </w:rPr>
      </w:pPr>
      <w:r w:rsidRPr="001A1335">
        <w:rPr>
          <w:rFonts w:eastAsia="Arial" w:cs="Arial"/>
        </w:rPr>
        <w:t>o papel dos movimentos sociais na contestação do sistema alimentar hegemônico;</w:t>
      </w:r>
    </w:p>
    <w:p w14:paraId="1F25FE91" w14:textId="77777777" w:rsidR="001A1335" w:rsidRPr="001A1335" w:rsidRDefault="001A1335" w:rsidP="001A1335">
      <w:pPr>
        <w:numPr>
          <w:ilvl w:val="0"/>
          <w:numId w:val="2"/>
        </w:numPr>
        <w:spacing w:line="360" w:lineRule="auto"/>
        <w:jc w:val="both"/>
        <w:rPr>
          <w:rFonts w:eastAsia="Arial" w:cs="Arial"/>
        </w:rPr>
      </w:pPr>
      <w:r w:rsidRPr="001A1335">
        <w:rPr>
          <w:rFonts w:eastAsia="Arial" w:cs="Arial"/>
        </w:rPr>
        <w:t>as alianças entre atores de nicho para ampliar inovações radicais;</w:t>
      </w:r>
    </w:p>
    <w:p w14:paraId="0FA3BA4D" w14:textId="77777777" w:rsidR="001A1335" w:rsidRPr="001A1335" w:rsidRDefault="001A1335" w:rsidP="001A1335">
      <w:pPr>
        <w:numPr>
          <w:ilvl w:val="0"/>
          <w:numId w:val="2"/>
        </w:numPr>
        <w:spacing w:line="360" w:lineRule="auto"/>
        <w:jc w:val="both"/>
        <w:rPr>
          <w:rFonts w:eastAsia="Arial" w:cs="Arial"/>
        </w:rPr>
      </w:pPr>
      <w:r w:rsidRPr="001A1335">
        <w:rPr>
          <w:rFonts w:eastAsia="Arial" w:cs="Arial"/>
        </w:rPr>
        <w:lastRenderedPageBreak/>
        <w:t>o financiamento, por parte de atores incumbentes, de instituições da sociedade civil que sustentam seus interesses;</w:t>
      </w:r>
    </w:p>
    <w:p w14:paraId="172EC33D" w14:textId="77777777" w:rsidR="001A1335" w:rsidRPr="001A1335" w:rsidRDefault="001A1335" w:rsidP="001A1335">
      <w:pPr>
        <w:numPr>
          <w:ilvl w:val="0"/>
          <w:numId w:val="2"/>
        </w:numPr>
        <w:spacing w:line="360" w:lineRule="auto"/>
        <w:jc w:val="both"/>
        <w:rPr>
          <w:rFonts w:eastAsia="Arial" w:cs="Arial"/>
        </w:rPr>
      </w:pPr>
      <w:r w:rsidRPr="001A1335">
        <w:rPr>
          <w:rFonts w:eastAsia="Arial" w:cs="Arial"/>
        </w:rPr>
        <w:t>os processos de cooptação de atores e iniciativas de nicho;</w:t>
      </w:r>
    </w:p>
    <w:p w14:paraId="7804B587" w14:textId="77777777" w:rsidR="001A1335" w:rsidRPr="001A1335" w:rsidRDefault="001A1335" w:rsidP="001A1335">
      <w:pPr>
        <w:numPr>
          <w:ilvl w:val="0"/>
          <w:numId w:val="2"/>
        </w:numPr>
        <w:spacing w:line="360" w:lineRule="auto"/>
        <w:jc w:val="both"/>
        <w:rPr>
          <w:rFonts w:eastAsia="Arial" w:cs="Arial"/>
        </w:rPr>
      </w:pPr>
      <w:r w:rsidRPr="001A1335">
        <w:rPr>
          <w:rFonts w:eastAsia="Arial" w:cs="Arial"/>
        </w:rPr>
        <w:t>e as campanhas de desqualificação de inovações contra-hegemônicas.</w:t>
      </w:r>
    </w:p>
    <w:p w14:paraId="67B4E8FD" w14:textId="77777777" w:rsidR="001A1335" w:rsidRDefault="001A1335" w:rsidP="001A1335">
      <w:pPr>
        <w:spacing w:line="360" w:lineRule="auto"/>
        <w:jc w:val="both"/>
        <w:rPr>
          <w:rFonts w:eastAsia="Arial" w:cs="Arial"/>
        </w:rPr>
      </w:pPr>
      <w:r w:rsidRPr="001A1335">
        <w:rPr>
          <w:rFonts w:eastAsia="Arial" w:cs="Arial"/>
        </w:rPr>
        <w:t>Essas análises revelam que o regime não apenas resiste a mudanças, mas também acomoda e influencia os agentes sociais, buscando preservar sua hegemonia em contextos de disputa.</w:t>
      </w:r>
    </w:p>
    <w:p w14:paraId="08BD277A" w14:textId="77777777" w:rsidR="00BB0A35" w:rsidRPr="001A1335" w:rsidRDefault="00BB0A35" w:rsidP="001A1335">
      <w:pPr>
        <w:spacing w:line="360" w:lineRule="auto"/>
        <w:jc w:val="both"/>
        <w:rPr>
          <w:rFonts w:eastAsia="Arial" w:cs="Arial"/>
        </w:rPr>
      </w:pPr>
    </w:p>
    <w:p w14:paraId="1D3F7815" w14:textId="77777777" w:rsidR="001A1335" w:rsidRPr="001A1335" w:rsidRDefault="001A1335" w:rsidP="001A1335">
      <w:pPr>
        <w:spacing w:line="360" w:lineRule="auto"/>
        <w:jc w:val="both"/>
        <w:rPr>
          <w:rFonts w:eastAsia="Arial" w:cs="Arial"/>
          <w:b/>
          <w:bCs/>
        </w:rPr>
      </w:pPr>
      <w:r w:rsidRPr="001A1335">
        <w:rPr>
          <w:rFonts w:eastAsia="Arial" w:cs="Arial"/>
          <w:b/>
          <w:bCs/>
        </w:rPr>
        <w:t>Guerra de Posição</w:t>
      </w:r>
    </w:p>
    <w:p w14:paraId="26EE876F" w14:textId="77777777" w:rsidR="001A1335" w:rsidRPr="001A1335" w:rsidRDefault="001A1335" w:rsidP="001A1335">
      <w:pPr>
        <w:spacing w:line="360" w:lineRule="auto"/>
        <w:jc w:val="both"/>
        <w:rPr>
          <w:rFonts w:eastAsia="Arial" w:cs="Arial"/>
        </w:rPr>
      </w:pPr>
      <w:r w:rsidRPr="001A1335">
        <w:rPr>
          <w:rFonts w:eastAsia="Arial" w:cs="Arial"/>
        </w:rPr>
        <w:t xml:space="preserve">Gramsci formulou o conceito de guerra de posição em contraposição ao modelo clássico de revolução por insurreição militar direta (guerra de movimento), argumentando que, nas sociedades capitalistas avançadas, a transformação social exige uma luta cultural prolongada e de grande complexidade. Nos estudos </w:t>
      </w:r>
      <w:proofErr w:type="spellStart"/>
      <w:r w:rsidRPr="001A1335">
        <w:rPr>
          <w:rFonts w:eastAsia="Arial" w:cs="Arial"/>
        </w:rPr>
        <w:t>neo-gramscianos</w:t>
      </w:r>
      <w:proofErr w:type="spellEnd"/>
      <w:r w:rsidRPr="001A1335">
        <w:rPr>
          <w:rFonts w:eastAsia="Arial" w:cs="Arial"/>
        </w:rPr>
        <w:t>, esse conceito tem sido usado para descrever o esforço de atores sociais em construir alianças e formar uma “frente unida” — seja para resistir a pressões por mudança, seja para promover agendas contra-hegemônicas</w:t>
      </w:r>
      <w:r w:rsidRPr="001A1335">
        <w:rPr>
          <w:rFonts w:ascii="MS Gothic" w:eastAsia="MS Gothic" w:hAnsi="MS Gothic" w:cs="MS Gothic" w:hint="eastAsia"/>
        </w:rPr>
        <w:t>【</w:t>
      </w:r>
      <w:r w:rsidRPr="001A1335">
        <w:rPr>
          <w:rFonts w:eastAsia="Arial" w:cs="Arial"/>
        </w:rPr>
        <w:t>25,30,70,71</w:t>
      </w:r>
      <w:r w:rsidRPr="001A1335">
        <w:rPr>
          <w:rFonts w:ascii="MS Gothic" w:eastAsia="MS Gothic" w:hAnsi="MS Gothic" w:cs="MS Gothic" w:hint="eastAsia"/>
        </w:rPr>
        <w:t>】</w:t>
      </w:r>
      <w:r w:rsidRPr="001A1335">
        <w:rPr>
          <w:rFonts w:eastAsia="Arial" w:cs="Arial"/>
        </w:rPr>
        <w:t>. Assim, a guerra de posição é uma metáfora que descreve os esforços de longo prazo para conquistar apoio dentro da sociedade civil, fortalecer a capacidade organizativa e formar novas alianças políticas e culturais</w:t>
      </w:r>
      <w:r w:rsidRPr="001A1335">
        <w:rPr>
          <w:rFonts w:ascii="MS Gothic" w:eastAsia="MS Gothic" w:hAnsi="MS Gothic" w:cs="MS Gothic" w:hint="eastAsia"/>
        </w:rPr>
        <w:t>【</w:t>
      </w:r>
      <w:r w:rsidRPr="001A1335">
        <w:rPr>
          <w:rFonts w:eastAsia="Arial" w:cs="Arial"/>
        </w:rPr>
        <w:t>57</w:t>
      </w:r>
      <w:r w:rsidRPr="001A1335">
        <w:rPr>
          <w:rFonts w:ascii="MS Gothic" w:eastAsia="MS Gothic" w:hAnsi="MS Gothic" w:cs="MS Gothic" w:hint="eastAsia"/>
        </w:rPr>
        <w:t>】</w:t>
      </w:r>
      <w:r w:rsidRPr="001A1335">
        <w:rPr>
          <w:rFonts w:eastAsia="Arial" w:cs="Arial"/>
        </w:rPr>
        <w:t>.</w:t>
      </w:r>
    </w:p>
    <w:p w14:paraId="27CE83F1" w14:textId="77777777" w:rsidR="001A1335" w:rsidRPr="001A1335" w:rsidRDefault="001A1335" w:rsidP="001A1335">
      <w:pPr>
        <w:spacing w:line="360" w:lineRule="auto"/>
        <w:jc w:val="both"/>
        <w:rPr>
          <w:rFonts w:eastAsia="Arial" w:cs="Arial"/>
        </w:rPr>
      </w:pPr>
      <w:r w:rsidRPr="001A1335">
        <w:rPr>
          <w:rFonts w:eastAsia="Arial" w:cs="Arial"/>
        </w:rPr>
        <w:t>A guerra de posição informa os agentes sociais sobre a importância de negociar entre seus objetivos imediatos e um conjunto mais amplo de agendas transformadoras. Ao enfatizar a disputa por hegemonia no terreno das ideias, instituições e valores, esse conceito contribui para estratégias que visam alterar os termos do debate público e construir maior legitimidade para alternativas ao regime vigente.</w:t>
      </w:r>
    </w:p>
    <w:p w14:paraId="38A88D7E" w14:textId="77777777" w:rsidR="001A1335" w:rsidRPr="001A1335" w:rsidRDefault="001A1335" w:rsidP="001A1335">
      <w:pPr>
        <w:spacing w:line="360" w:lineRule="auto"/>
        <w:jc w:val="both"/>
        <w:rPr>
          <w:rFonts w:eastAsia="Arial" w:cs="Arial"/>
        </w:rPr>
      </w:pPr>
      <w:r w:rsidRPr="001A1335">
        <w:rPr>
          <w:rFonts w:eastAsia="Arial" w:cs="Arial"/>
        </w:rPr>
        <w:t xml:space="preserve">Nos estudos baseados na MLP, o conceito tem sido mobilizado para analisar tanto as estratégias de manutenção da hegemonia pelos atores dominantes quanto as ações coordenadas de grupos subalternos para ampliar sua influência </w:t>
      </w:r>
      <w:r w:rsidRPr="001A1335">
        <w:rPr>
          <w:rFonts w:eastAsia="Arial" w:cs="Arial"/>
        </w:rPr>
        <w:lastRenderedPageBreak/>
        <w:t>e formar novas coalizões</w:t>
      </w:r>
      <w:r w:rsidRPr="001A1335">
        <w:rPr>
          <w:rFonts w:ascii="MS Gothic" w:eastAsia="MS Gothic" w:hAnsi="MS Gothic" w:cs="MS Gothic" w:hint="eastAsia"/>
        </w:rPr>
        <w:t>【</w:t>
      </w:r>
      <w:r w:rsidRPr="001A1335">
        <w:rPr>
          <w:rFonts w:eastAsia="Arial" w:cs="Arial"/>
        </w:rPr>
        <w:t>25</w:t>
      </w:r>
      <w:r w:rsidRPr="001A1335">
        <w:rPr>
          <w:rFonts w:ascii="MS Gothic" w:eastAsia="MS Gothic" w:hAnsi="MS Gothic" w:cs="MS Gothic" w:hint="eastAsia"/>
        </w:rPr>
        <w:t>】</w:t>
      </w:r>
      <w:r w:rsidRPr="001A1335">
        <w:rPr>
          <w:rFonts w:eastAsia="Arial" w:cs="Arial"/>
        </w:rPr>
        <w:t>. Grandes corporações e outros atores incumbentes mobilizam diferentes formas de poder para moldar a opinião pública e estabelecer alianças com organizações da sociedade civil, como forma de resistência às mudanças no regime. Ao mesmo tempo, atores de nicho vêm criando coalizões baseadas em valores compartilhados, com o objetivo de fortalecer suas propostas inovadoras.</w:t>
      </w:r>
    </w:p>
    <w:p w14:paraId="3548E58E" w14:textId="77777777" w:rsidR="001A1335" w:rsidRPr="001A1335" w:rsidRDefault="001A1335" w:rsidP="001A1335">
      <w:pPr>
        <w:spacing w:line="360" w:lineRule="auto"/>
        <w:jc w:val="both"/>
        <w:rPr>
          <w:rFonts w:eastAsia="Arial" w:cs="Arial"/>
        </w:rPr>
      </w:pPr>
      <w:r w:rsidRPr="001A1335">
        <w:rPr>
          <w:rFonts w:eastAsia="Arial" w:cs="Arial"/>
        </w:rPr>
        <w:t xml:space="preserve">Uma das estratégias frequentemente utilizadas por atores incumbentes é a construção e disseminação de narrativas que escondem contradições e divergências internas, apresentando seus interesses particulares como se fossem de interesse coletivo. Investimentos expressivos são realizados em mídia, academia, estruturas de lobby, </w:t>
      </w:r>
      <w:proofErr w:type="spellStart"/>
      <w:r w:rsidRPr="001A1335">
        <w:rPr>
          <w:rFonts w:eastAsia="Arial" w:cs="Arial"/>
        </w:rPr>
        <w:t>think</w:t>
      </w:r>
      <w:proofErr w:type="spellEnd"/>
      <w:r w:rsidRPr="001A1335">
        <w:rPr>
          <w:rFonts w:eastAsia="Arial" w:cs="Arial"/>
        </w:rPr>
        <w:t xml:space="preserve"> </w:t>
      </w:r>
      <w:proofErr w:type="spellStart"/>
      <w:r w:rsidRPr="001A1335">
        <w:rPr>
          <w:rFonts w:eastAsia="Arial" w:cs="Arial"/>
        </w:rPr>
        <w:t>tanks</w:t>
      </w:r>
      <w:proofErr w:type="spellEnd"/>
      <w:r w:rsidRPr="001A1335">
        <w:rPr>
          <w:rFonts w:eastAsia="Arial" w:cs="Arial"/>
        </w:rPr>
        <w:t xml:space="preserve"> e consultorias, com o objetivo de enquadrar os debates de maneira favorável ao regime e deslegitimar pontos de vista alternativos. A adoção e a difusão do conceito de “agronegócio” são talvez o exemplo mais contundente de como os atores do sistema alimentar hegemônico operam de forma coordenada para estabelecer uma narrativa abrangente que articula diferentes frações do capital como se fossem um bloco coeso — e, ao mesmo tempo, influencia a opinião pública para gerar apoio ampliado às suas posições.</w:t>
      </w:r>
    </w:p>
    <w:p w14:paraId="489B36B4" w14:textId="77777777" w:rsidR="001A1335" w:rsidRPr="001A1335" w:rsidRDefault="001A1335" w:rsidP="001A1335">
      <w:pPr>
        <w:spacing w:line="360" w:lineRule="auto"/>
        <w:jc w:val="both"/>
        <w:rPr>
          <w:rFonts w:eastAsia="Arial" w:cs="Arial"/>
        </w:rPr>
      </w:pPr>
      <w:r w:rsidRPr="001A1335">
        <w:rPr>
          <w:rFonts w:eastAsia="Arial" w:cs="Arial"/>
        </w:rPr>
        <w:t>O conceito de guerra de posição pode ser extremamente valioso nos estudos sobre STFS, pois permite explorar:</w:t>
      </w:r>
    </w:p>
    <w:p w14:paraId="058E6120" w14:textId="77777777" w:rsidR="001A1335" w:rsidRPr="001A1335" w:rsidRDefault="001A1335" w:rsidP="001A1335">
      <w:pPr>
        <w:numPr>
          <w:ilvl w:val="0"/>
          <w:numId w:val="3"/>
        </w:numPr>
        <w:spacing w:line="360" w:lineRule="auto"/>
        <w:jc w:val="both"/>
        <w:rPr>
          <w:rFonts w:eastAsia="Arial" w:cs="Arial"/>
        </w:rPr>
      </w:pPr>
      <w:r w:rsidRPr="001A1335">
        <w:rPr>
          <w:rFonts w:eastAsia="Arial" w:cs="Arial"/>
        </w:rPr>
        <w:t>alianças entre diferentes frações do capital em torno de agendas comuns para manter sua posição hegemônica;</w:t>
      </w:r>
    </w:p>
    <w:p w14:paraId="4230B1E9" w14:textId="77777777" w:rsidR="001A1335" w:rsidRPr="001A1335" w:rsidRDefault="001A1335" w:rsidP="001A1335">
      <w:pPr>
        <w:numPr>
          <w:ilvl w:val="0"/>
          <w:numId w:val="3"/>
        </w:numPr>
        <w:spacing w:line="360" w:lineRule="auto"/>
        <w:jc w:val="both"/>
        <w:rPr>
          <w:rFonts w:eastAsia="Arial" w:cs="Arial"/>
        </w:rPr>
      </w:pPr>
      <w:r w:rsidRPr="001A1335">
        <w:rPr>
          <w:rFonts w:eastAsia="Arial" w:cs="Arial"/>
        </w:rPr>
        <w:t>coligações entre atores incumbentes e grupos conservadores contra adversários compartilhados;</w:t>
      </w:r>
    </w:p>
    <w:p w14:paraId="612614B4" w14:textId="77777777" w:rsidR="001A1335" w:rsidRPr="001A1335" w:rsidRDefault="001A1335" w:rsidP="001A1335">
      <w:pPr>
        <w:numPr>
          <w:ilvl w:val="0"/>
          <w:numId w:val="3"/>
        </w:numPr>
        <w:spacing w:line="360" w:lineRule="auto"/>
        <w:jc w:val="both"/>
        <w:rPr>
          <w:rFonts w:eastAsia="Arial" w:cs="Arial"/>
        </w:rPr>
      </w:pPr>
      <w:r w:rsidRPr="001A1335">
        <w:rPr>
          <w:rFonts w:eastAsia="Arial" w:cs="Arial"/>
        </w:rPr>
        <w:t>a construção de discursos hegemônicos que ocultam divergências internas;</w:t>
      </w:r>
    </w:p>
    <w:p w14:paraId="0CF52E29" w14:textId="77777777" w:rsidR="001A1335" w:rsidRPr="001A1335" w:rsidRDefault="001A1335" w:rsidP="001A1335">
      <w:pPr>
        <w:numPr>
          <w:ilvl w:val="0"/>
          <w:numId w:val="3"/>
        </w:numPr>
        <w:spacing w:line="360" w:lineRule="auto"/>
        <w:jc w:val="both"/>
        <w:rPr>
          <w:rFonts w:eastAsia="Arial" w:cs="Arial"/>
        </w:rPr>
      </w:pPr>
      <w:r w:rsidRPr="001A1335">
        <w:rPr>
          <w:rFonts w:eastAsia="Arial" w:cs="Arial"/>
        </w:rPr>
        <w:t>coalizões entre atores de nicho com visões políticas convergentes;</w:t>
      </w:r>
    </w:p>
    <w:p w14:paraId="34F89C88" w14:textId="77777777" w:rsidR="001A1335" w:rsidRPr="001A1335" w:rsidRDefault="001A1335" w:rsidP="001A1335">
      <w:pPr>
        <w:numPr>
          <w:ilvl w:val="0"/>
          <w:numId w:val="3"/>
        </w:numPr>
        <w:spacing w:line="360" w:lineRule="auto"/>
        <w:jc w:val="both"/>
        <w:rPr>
          <w:rFonts w:eastAsia="Arial" w:cs="Arial"/>
        </w:rPr>
      </w:pPr>
      <w:r w:rsidRPr="001A1335">
        <w:rPr>
          <w:rFonts w:eastAsia="Arial" w:cs="Arial"/>
        </w:rPr>
        <w:lastRenderedPageBreak/>
        <w:t>investimentos de atores incumbentes em organizações da sociedade civil com o intuito de moldar a opinião pública;</w:t>
      </w:r>
    </w:p>
    <w:p w14:paraId="4099EBBE" w14:textId="77777777" w:rsidR="001A1335" w:rsidRDefault="001A1335" w:rsidP="001A1335">
      <w:pPr>
        <w:numPr>
          <w:ilvl w:val="0"/>
          <w:numId w:val="3"/>
        </w:numPr>
        <w:spacing w:line="360" w:lineRule="auto"/>
        <w:jc w:val="both"/>
        <w:rPr>
          <w:rFonts w:eastAsia="Arial" w:cs="Arial"/>
        </w:rPr>
      </w:pPr>
      <w:r w:rsidRPr="001A1335">
        <w:rPr>
          <w:rFonts w:eastAsia="Arial" w:cs="Arial"/>
        </w:rPr>
        <w:t>e o financiamento de grupos acadêmicos, pesquisas e espaços institucionais alinhados aos interesses do regime.</w:t>
      </w:r>
    </w:p>
    <w:p w14:paraId="76262C91" w14:textId="77777777" w:rsidR="001A1335" w:rsidRPr="001A1335" w:rsidRDefault="001A1335" w:rsidP="001A1335">
      <w:pPr>
        <w:spacing w:line="360" w:lineRule="auto"/>
        <w:ind w:left="360"/>
        <w:jc w:val="both"/>
        <w:rPr>
          <w:rFonts w:eastAsia="Arial" w:cs="Arial"/>
        </w:rPr>
      </w:pPr>
    </w:p>
    <w:p w14:paraId="077CD6FC" w14:textId="77777777" w:rsidR="001A1335" w:rsidRPr="001A1335" w:rsidRDefault="001A1335" w:rsidP="001A1335">
      <w:pPr>
        <w:spacing w:line="360" w:lineRule="auto"/>
        <w:jc w:val="both"/>
        <w:rPr>
          <w:rFonts w:eastAsia="Arial" w:cs="Arial"/>
          <w:b/>
          <w:bCs/>
        </w:rPr>
      </w:pPr>
      <w:r w:rsidRPr="001A1335">
        <w:rPr>
          <w:rFonts w:eastAsia="Arial" w:cs="Arial"/>
          <w:b/>
          <w:bCs/>
        </w:rPr>
        <w:t>Revolução Passiva e Transformismo</w:t>
      </w:r>
    </w:p>
    <w:p w14:paraId="5B502DAE" w14:textId="77777777" w:rsidR="001A1335" w:rsidRPr="001A1335" w:rsidRDefault="001A1335" w:rsidP="001A1335">
      <w:pPr>
        <w:spacing w:line="360" w:lineRule="auto"/>
        <w:jc w:val="both"/>
        <w:rPr>
          <w:rFonts w:eastAsia="Arial" w:cs="Arial"/>
        </w:rPr>
      </w:pPr>
      <w:r w:rsidRPr="001A1335">
        <w:rPr>
          <w:rFonts w:eastAsia="Arial" w:cs="Arial"/>
        </w:rPr>
        <w:t xml:space="preserve">Gramsci utilizou o termo </w:t>
      </w:r>
      <w:r w:rsidRPr="001A1335">
        <w:rPr>
          <w:rFonts w:eastAsia="Arial" w:cs="Arial"/>
          <w:i/>
          <w:iCs/>
        </w:rPr>
        <w:t>revolução passiva</w:t>
      </w:r>
      <w:r w:rsidRPr="001A1335">
        <w:rPr>
          <w:rFonts w:eastAsia="Arial" w:cs="Arial"/>
        </w:rPr>
        <w:t xml:space="preserve"> para interpretar a formação dos Estados nacionais europeus a partir de alianças entre conservadores e liberais, como estratégia para impedir que as classes populares alcançassem o poder por meio de processos revolucionários. Uma das formas pelas quais se realiza a revolução passiva é o </w:t>
      </w:r>
      <w:r w:rsidRPr="001A1335">
        <w:rPr>
          <w:rFonts w:eastAsia="Arial" w:cs="Arial"/>
          <w:i/>
          <w:iCs/>
        </w:rPr>
        <w:t>transformismo</w:t>
      </w:r>
      <w:r w:rsidRPr="001A1335">
        <w:rPr>
          <w:rFonts w:eastAsia="Arial" w:cs="Arial"/>
        </w:rPr>
        <w:t>, no qual um grupo dominante estabelece alianças com grupos subordinados para garantir a estabilidade de sua posição de poder.</w:t>
      </w:r>
    </w:p>
    <w:p w14:paraId="2DF54587" w14:textId="77777777" w:rsidR="001A1335" w:rsidRPr="001A1335" w:rsidRDefault="001A1335" w:rsidP="001A1335">
      <w:pPr>
        <w:spacing w:line="360" w:lineRule="auto"/>
        <w:jc w:val="both"/>
        <w:rPr>
          <w:rFonts w:eastAsia="Arial" w:cs="Arial"/>
        </w:rPr>
      </w:pPr>
      <w:r w:rsidRPr="001A1335">
        <w:rPr>
          <w:rFonts w:eastAsia="Arial" w:cs="Arial"/>
        </w:rPr>
        <w:t xml:space="preserve">Pesquisadores </w:t>
      </w:r>
      <w:proofErr w:type="spellStart"/>
      <w:r w:rsidRPr="001A1335">
        <w:rPr>
          <w:rFonts w:eastAsia="Arial" w:cs="Arial"/>
        </w:rPr>
        <w:t>neo-gramscianos</w:t>
      </w:r>
      <w:proofErr w:type="spellEnd"/>
      <w:r w:rsidRPr="001A1335">
        <w:rPr>
          <w:rFonts w:eastAsia="Arial" w:cs="Arial"/>
        </w:rPr>
        <w:t xml:space="preserve"> têm utilizado esses conceitos para descrever processos de transformação de regimes promovidos pelos próprios atores incumbentes, nos quais demandas e lideranças dos grupos desafiadores são parcialmente incorporadas à estrutura do regime, com o objetivo de neutralizar propostas mais radicais que poderiam ameaçar sua hegemonia</w:t>
      </w:r>
      <w:r w:rsidRPr="001A1335">
        <w:rPr>
          <w:rFonts w:ascii="MS Gothic" w:eastAsia="MS Gothic" w:hAnsi="MS Gothic" w:cs="MS Gothic" w:hint="eastAsia"/>
        </w:rPr>
        <w:t>【</w:t>
      </w:r>
      <w:r w:rsidRPr="001A1335">
        <w:rPr>
          <w:rFonts w:eastAsia="Arial" w:cs="Arial"/>
        </w:rPr>
        <w:t>25,53,71</w:t>
      </w:r>
      <w:r w:rsidRPr="001A1335">
        <w:rPr>
          <w:rFonts w:ascii="MS Gothic" w:eastAsia="MS Gothic" w:hAnsi="MS Gothic" w:cs="MS Gothic" w:hint="eastAsia"/>
        </w:rPr>
        <w:t>】</w:t>
      </w:r>
      <w:r w:rsidRPr="001A1335">
        <w:rPr>
          <w:rFonts w:eastAsia="Arial" w:cs="Arial"/>
        </w:rPr>
        <w:t>. Ambos os conceitos abordam a noção de acomodação como um complemento à noção de resistência, permitindo uma compreensão mais sofisticada das relações de poder nos estudos sobre transições</w:t>
      </w:r>
      <w:r w:rsidRPr="001A1335">
        <w:rPr>
          <w:rFonts w:ascii="MS Gothic" w:eastAsia="MS Gothic" w:hAnsi="MS Gothic" w:cs="MS Gothic" w:hint="eastAsia"/>
        </w:rPr>
        <w:t>【</w:t>
      </w:r>
      <w:r w:rsidRPr="001A1335">
        <w:rPr>
          <w:rFonts w:eastAsia="Arial" w:cs="Arial"/>
        </w:rPr>
        <w:t>25</w:t>
      </w:r>
      <w:r w:rsidRPr="001A1335">
        <w:rPr>
          <w:rFonts w:ascii="MS Gothic" w:eastAsia="MS Gothic" w:hAnsi="MS Gothic" w:cs="MS Gothic" w:hint="eastAsia"/>
        </w:rPr>
        <w:t>】</w:t>
      </w:r>
      <w:r w:rsidRPr="001A1335">
        <w:rPr>
          <w:rFonts w:eastAsia="Arial" w:cs="Arial"/>
        </w:rPr>
        <w:t>.</w:t>
      </w:r>
    </w:p>
    <w:p w14:paraId="3579134D" w14:textId="77777777" w:rsidR="001A1335" w:rsidRPr="001A1335" w:rsidRDefault="001A1335" w:rsidP="001A1335">
      <w:pPr>
        <w:spacing w:line="360" w:lineRule="auto"/>
        <w:jc w:val="both"/>
        <w:rPr>
          <w:rFonts w:eastAsia="Arial" w:cs="Arial"/>
        </w:rPr>
      </w:pPr>
      <w:r w:rsidRPr="001A1335">
        <w:rPr>
          <w:rFonts w:eastAsia="Arial" w:cs="Arial"/>
        </w:rPr>
        <w:t xml:space="preserve">Pelo </w:t>
      </w:r>
      <w:r w:rsidRPr="001A1335">
        <w:rPr>
          <w:rFonts w:eastAsia="Arial" w:cs="Arial"/>
          <w:i/>
          <w:iCs/>
        </w:rPr>
        <w:t>transformismo</w:t>
      </w:r>
      <w:r w:rsidRPr="001A1335">
        <w:rPr>
          <w:rFonts w:eastAsia="Arial" w:cs="Arial"/>
        </w:rPr>
        <w:t>, grupos dominantes aceitam implementar mudanças reformistas como forma de acomodar as pressões exercidas pelos grupos subalternos</w:t>
      </w:r>
      <w:r w:rsidRPr="001A1335">
        <w:rPr>
          <w:rFonts w:ascii="MS Gothic" w:eastAsia="MS Gothic" w:hAnsi="MS Gothic" w:cs="MS Gothic" w:hint="eastAsia"/>
        </w:rPr>
        <w:t>【</w:t>
      </w:r>
      <w:r w:rsidRPr="001A1335">
        <w:rPr>
          <w:rFonts w:eastAsia="Arial" w:cs="Arial"/>
        </w:rPr>
        <w:t>53</w:t>
      </w:r>
      <w:r w:rsidRPr="001A1335">
        <w:rPr>
          <w:rFonts w:ascii="MS Gothic" w:eastAsia="MS Gothic" w:hAnsi="MS Gothic" w:cs="MS Gothic" w:hint="eastAsia"/>
        </w:rPr>
        <w:t>】</w:t>
      </w:r>
      <w:r w:rsidRPr="001A1335">
        <w:rPr>
          <w:rFonts w:eastAsia="Arial" w:cs="Arial"/>
        </w:rPr>
        <w:t xml:space="preserve">. A </w:t>
      </w:r>
      <w:r w:rsidRPr="001A1335">
        <w:rPr>
          <w:rFonts w:eastAsia="Arial" w:cs="Arial"/>
          <w:i/>
          <w:iCs/>
        </w:rPr>
        <w:t>revolução passiva</w:t>
      </w:r>
      <w:r w:rsidRPr="001A1335">
        <w:rPr>
          <w:rFonts w:eastAsia="Arial" w:cs="Arial"/>
        </w:rPr>
        <w:t xml:space="preserve"> resulta de uma avaliação feita pelos atores incumbentes, que ponderam o poder que detêm em relação ao poder que atribuem aos grupos desafiadores. O resultado dessa análise determina quais concessões os atores incumbentes estarão dispostos a fazer. Assim, a revolução passiva se realiza por meio da acomodação parcial de inovações </w:t>
      </w:r>
      <w:r w:rsidRPr="001A1335">
        <w:rPr>
          <w:rFonts w:eastAsia="Arial" w:cs="Arial"/>
        </w:rPr>
        <w:lastRenderedPageBreak/>
        <w:t>oriundas de nichos, na medida necessária para restabelecer o equilíbrio de poder.</w:t>
      </w:r>
    </w:p>
    <w:p w14:paraId="00E640DA" w14:textId="77777777" w:rsidR="001A1335" w:rsidRPr="001A1335" w:rsidRDefault="001A1335" w:rsidP="001A1335">
      <w:pPr>
        <w:spacing w:line="360" w:lineRule="auto"/>
        <w:jc w:val="both"/>
        <w:rPr>
          <w:rFonts w:eastAsia="Arial" w:cs="Arial"/>
        </w:rPr>
      </w:pPr>
      <w:r w:rsidRPr="001A1335">
        <w:rPr>
          <w:rFonts w:eastAsia="Arial" w:cs="Arial"/>
        </w:rPr>
        <w:t>O conceito de revolução passiva permite entender como regimes sociotécnicos acomodam inovações que não ameaçam diretamente os processos de acumulação capitalista, servindo como estratégia para impedir o avanço de inovações mais radicais. Esse processo de acomodação frequentemente envolve a exclusão dos aspectos mais transformadores das inovações, que são reconfiguradas discursivamente de forma a reforçar a lógica dominante.</w:t>
      </w:r>
    </w:p>
    <w:p w14:paraId="1C529070" w14:textId="77777777" w:rsidR="001A1335" w:rsidRPr="001A1335" w:rsidRDefault="001A1335" w:rsidP="001A1335">
      <w:pPr>
        <w:spacing w:line="360" w:lineRule="auto"/>
        <w:jc w:val="both"/>
        <w:rPr>
          <w:rFonts w:eastAsia="Arial" w:cs="Arial"/>
        </w:rPr>
      </w:pPr>
      <w:r w:rsidRPr="001A1335">
        <w:rPr>
          <w:rFonts w:eastAsia="Arial" w:cs="Arial"/>
        </w:rPr>
        <w:t xml:space="preserve">Práticas corporativas de </w:t>
      </w:r>
      <w:proofErr w:type="spellStart"/>
      <w:r w:rsidRPr="001A1335">
        <w:rPr>
          <w:rFonts w:eastAsia="Arial" w:cs="Arial"/>
          <w:i/>
          <w:iCs/>
        </w:rPr>
        <w:t>greenwashing</w:t>
      </w:r>
      <w:proofErr w:type="spellEnd"/>
      <w:r w:rsidRPr="001A1335">
        <w:rPr>
          <w:rFonts w:eastAsia="Arial" w:cs="Arial"/>
        </w:rPr>
        <w:t xml:space="preserve">, </w:t>
      </w:r>
      <w:proofErr w:type="spellStart"/>
      <w:r w:rsidRPr="001A1335">
        <w:rPr>
          <w:rFonts w:eastAsia="Arial" w:cs="Arial"/>
          <w:i/>
          <w:iCs/>
        </w:rPr>
        <w:t>veganwashing</w:t>
      </w:r>
      <w:proofErr w:type="spellEnd"/>
      <w:r w:rsidRPr="001A1335">
        <w:rPr>
          <w:rFonts w:eastAsia="Arial" w:cs="Arial"/>
        </w:rPr>
        <w:t xml:space="preserve"> e outras formas de "lavagem" simbólica podem ser interpretadas como manifestações de transformismo e revolução passiva</w:t>
      </w:r>
      <w:r w:rsidRPr="001A1335">
        <w:rPr>
          <w:rFonts w:ascii="MS Gothic" w:eastAsia="MS Gothic" w:hAnsi="MS Gothic" w:cs="MS Gothic" w:hint="eastAsia"/>
        </w:rPr>
        <w:t>【</w:t>
      </w:r>
      <w:r w:rsidRPr="001A1335">
        <w:rPr>
          <w:rFonts w:eastAsia="Arial" w:cs="Arial"/>
        </w:rPr>
        <w:t>71</w:t>
      </w:r>
      <w:r w:rsidRPr="001A1335">
        <w:rPr>
          <w:rFonts w:ascii="MS Gothic" w:eastAsia="MS Gothic" w:hAnsi="MS Gothic" w:cs="MS Gothic" w:hint="eastAsia"/>
        </w:rPr>
        <w:t>】</w:t>
      </w:r>
      <w:r w:rsidRPr="001A1335">
        <w:rPr>
          <w:rFonts w:eastAsia="Arial" w:cs="Arial"/>
        </w:rPr>
        <w:t>. Nesses casos, atores incumbentes incorporam ativamente inovações de nicho para fortalecer sua posição hegemônica. O crescente apoio empresarial a termos como agricultura 4.0, soluções baseadas na natureza, agricultura inteligente para o clima e intensificação sustentável, no debate sobre transições sustentáveis dos sistemas alimentares (STFS)</w:t>
      </w:r>
      <w:r w:rsidRPr="001A1335">
        <w:rPr>
          <w:rFonts w:ascii="MS Gothic" w:eastAsia="MS Gothic" w:hAnsi="MS Gothic" w:cs="MS Gothic" w:hint="eastAsia"/>
        </w:rPr>
        <w:t>【</w:t>
      </w:r>
      <w:r w:rsidRPr="001A1335">
        <w:rPr>
          <w:rFonts w:eastAsia="Arial" w:cs="Arial"/>
        </w:rPr>
        <w:t>74,75</w:t>
      </w:r>
      <w:r w:rsidRPr="001A1335">
        <w:rPr>
          <w:rFonts w:ascii="MS Gothic" w:eastAsia="MS Gothic" w:hAnsi="MS Gothic" w:cs="MS Gothic" w:hint="eastAsia"/>
        </w:rPr>
        <w:t>】</w:t>
      </w:r>
      <w:r w:rsidRPr="001A1335">
        <w:rPr>
          <w:rFonts w:eastAsia="Arial" w:cs="Arial"/>
        </w:rPr>
        <w:t>, deve ser interpretado como expressão dessas estratégias — isto é, como formas de acomodar pressões oriundas dos nichos de maneira a preservar a hegemonia e aplacar demandas por transformações mais profundas (como soberania alimentar e agroecologia).</w:t>
      </w:r>
    </w:p>
    <w:p w14:paraId="267BD6BB" w14:textId="77777777" w:rsidR="001A1335" w:rsidRPr="001A1335" w:rsidRDefault="001A1335" w:rsidP="001A1335">
      <w:pPr>
        <w:spacing w:line="360" w:lineRule="auto"/>
        <w:jc w:val="both"/>
        <w:rPr>
          <w:rFonts w:eastAsia="Arial" w:cs="Arial"/>
        </w:rPr>
      </w:pPr>
      <w:r w:rsidRPr="001A1335">
        <w:rPr>
          <w:rFonts w:eastAsia="Arial" w:cs="Arial"/>
        </w:rPr>
        <w:t>Tentativas de incorporar conceitos vindos das bases sociais em documentos e políticas oficiais — esvaziando seu conteúdo político original — também podem ser examinadas à luz dos conceitos de revolução passiva e transformismo</w:t>
      </w:r>
      <w:r w:rsidRPr="001A1335">
        <w:rPr>
          <w:rFonts w:ascii="MS Gothic" w:eastAsia="MS Gothic" w:hAnsi="MS Gothic" w:cs="MS Gothic" w:hint="eastAsia"/>
        </w:rPr>
        <w:t>【</w:t>
      </w:r>
      <w:r w:rsidRPr="001A1335">
        <w:rPr>
          <w:rFonts w:eastAsia="Arial" w:cs="Arial"/>
        </w:rPr>
        <w:t>76,77</w:t>
      </w:r>
      <w:r w:rsidRPr="001A1335">
        <w:rPr>
          <w:rFonts w:ascii="MS Gothic" w:eastAsia="MS Gothic" w:hAnsi="MS Gothic" w:cs="MS Gothic" w:hint="eastAsia"/>
        </w:rPr>
        <w:t>】</w:t>
      </w:r>
      <w:r w:rsidRPr="001A1335">
        <w:rPr>
          <w:rFonts w:eastAsia="Arial" w:cs="Arial"/>
        </w:rPr>
        <w:t>.</w:t>
      </w:r>
    </w:p>
    <w:p w14:paraId="77E99231" w14:textId="77777777" w:rsidR="001A1335" w:rsidRPr="001A1335" w:rsidRDefault="001A1335" w:rsidP="001A1335">
      <w:pPr>
        <w:spacing w:line="360" w:lineRule="auto"/>
        <w:jc w:val="both"/>
        <w:rPr>
          <w:rFonts w:eastAsia="Arial" w:cs="Arial"/>
        </w:rPr>
      </w:pPr>
      <w:r w:rsidRPr="001A1335">
        <w:rPr>
          <w:rFonts w:eastAsia="Arial" w:cs="Arial"/>
        </w:rPr>
        <w:t xml:space="preserve">Esses conceitos contribuem para uma compreensão crítica dos processos de </w:t>
      </w:r>
      <w:r w:rsidRPr="001A1335">
        <w:rPr>
          <w:rFonts w:eastAsia="Arial" w:cs="Arial"/>
          <w:i/>
          <w:iCs/>
        </w:rPr>
        <w:t>ancoragem</w:t>
      </w:r>
      <w:r w:rsidRPr="001A1335">
        <w:rPr>
          <w:rFonts w:eastAsia="Arial" w:cs="Arial"/>
        </w:rPr>
        <w:t xml:space="preserve"> das inovações em nichos</w:t>
      </w:r>
      <w:r w:rsidRPr="001A1335">
        <w:rPr>
          <w:rFonts w:ascii="MS Gothic" w:eastAsia="MS Gothic" w:hAnsi="MS Gothic" w:cs="MS Gothic" w:hint="eastAsia"/>
        </w:rPr>
        <w:t>【</w:t>
      </w:r>
      <w:r w:rsidRPr="001A1335">
        <w:rPr>
          <w:rFonts w:eastAsia="Arial" w:cs="Arial"/>
        </w:rPr>
        <w:t>26</w:t>
      </w:r>
      <w:r w:rsidRPr="001A1335">
        <w:rPr>
          <w:rFonts w:ascii="MS Gothic" w:eastAsia="MS Gothic" w:hAnsi="MS Gothic" w:cs="MS Gothic" w:hint="eastAsia"/>
        </w:rPr>
        <w:t>】</w:t>
      </w:r>
      <w:r w:rsidRPr="001A1335">
        <w:rPr>
          <w:rFonts w:eastAsia="Arial" w:cs="Arial"/>
        </w:rPr>
        <w:t xml:space="preserve"> e de sua real capacidade de alterar a configuração do regime. Permitem analisar a cooptação de discursos, atores e inovações por parte do regime incumbente, as estratégias dos movimentos </w:t>
      </w:r>
      <w:r w:rsidRPr="001A1335">
        <w:rPr>
          <w:rFonts w:eastAsia="Arial" w:cs="Arial"/>
        </w:rPr>
        <w:lastRenderedPageBreak/>
        <w:t>sociais para escalar inovações “fora do Estado” e os limites das políticas públicas na promoção de mudanças mais radicais nos sistemas alimentares.</w:t>
      </w:r>
    </w:p>
    <w:p w14:paraId="2B44E30A" w14:textId="77777777" w:rsidR="00BB0A35" w:rsidRDefault="00BB0A35" w:rsidP="001A1335">
      <w:pPr>
        <w:spacing w:line="360" w:lineRule="auto"/>
        <w:jc w:val="both"/>
        <w:rPr>
          <w:rFonts w:eastAsia="Arial" w:cs="Arial"/>
          <w:b/>
          <w:bCs/>
        </w:rPr>
      </w:pPr>
    </w:p>
    <w:p w14:paraId="02484DB6" w14:textId="5BA02F56" w:rsidR="001A1335" w:rsidRPr="001A1335" w:rsidRDefault="001A1335" w:rsidP="001A1335">
      <w:pPr>
        <w:spacing w:line="360" w:lineRule="auto"/>
        <w:jc w:val="both"/>
        <w:rPr>
          <w:rFonts w:eastAsia="Arial" w:cs="Arial"/>
          <w:b/>
          <w:bCs/>
        </w:rPr>
      </w:pPr>
      <w:r w:rsidRPr="001A1335">
        <w:rPr>
          <w:rFonts w:eastAsia="Arial" w:cs="Arial"/>
          <w:b/>
          <w:bCs/>
        </w:rPr>
        <w:t>Intelectual Orgânico</w:t>
      </w:r>
    </w:p>
    <w:p w14:paraId="2ADA0121" w14:textId="77777777" w:rsidR="001A1335" w:rsidRPr="001A1335" w:rsidRDefault="001A1335" w:rsidP="001A1335">
      <w:pPr>
        <w:spacing w:line="360" w:lineRule="auto"/>
        <w:jc w:val="both"/>
        <w:rPr>
          <w:rFonts w:eastAsia="Arial" w:cs="Arial"/>
        </w:rPr>
      </w:pPr>
      <w:r w:rsidRPr="001A1335">
        <w:rPr>
          <w:rFonts w:eastAsia="Arial" w:cs="Arial"/>
        </w:rPr>
        <w:t xml:space="preserve">O conceito de </w:t>
      </w:r>
      <w:r w:rsidRPr="001A1335">
        <w:rPr>
          <w:rFonts w:eastAsia="Arial" w:cs="Arial"/>
          <w:i/>
          <w:iCs/>
        </w:rPr>
        <w:t>intelectual orgânico</w:t>
      </w:r>
      <w:r w:rsidRPr="001A1335">
        <w:rPr>
          <w:rFonts w:eastAsia="Arial" w:cs="Arial"/>
        </w:rPr>
        <w:t xml:space="preserve"> é outra contribuição importante da tradição </w:t>
      </w:r>
      <w:proofErr w:type="spellStart"/>
      <w:r w:rsidRPr="001A1335">
        <w:rPr>
          <w:rFonts w:eastAsia="Arial" w:cs="Arial"/>
        </w:rPr>
        <w:t>neo-gramsciana</w:t>
      </w:r>
      <w:proofErr w:type="spellEnd"/>
      <w:r w:rsidRPr="001A1335">
        <w:rPr>
          <w:rFonts w:eastAsia="Arial" w:cs="Arial"/>
        </w:rPr>
        <w:t xml:space="preserve"> para os estudos sobre transições sustentáveis. Consciente da centralidade dos intelectuais no mundo contemporâneo, Gramsci dedicou atenção significativa ao papel que esses sujeitos desempenham — não apenas no âmbito acadêmico, mas também enquanto profissionais intermediários, como engenheiros, professores, advogados — na articulação entre estrutura e superestrutura, exercendo uma função crucial na constituição e manutenção da hegemonia de um bloco histórico. Segundo ele, “os intelectuais são os ‘delegados’ do grupo dominante para o exercício das funções subalternas da hegemonia social e do governo </w:t>
      </w:r>
      <w:proofErr w:type="gramStart"/>
      <w:r w:rsidRPr="001A1335">
        <w:rPr>
          <w:rFonts w:eastAsia="Arial" w:cs="Arial"/>
        </w:rPr>
        <w:t>político”</w:t>
      </w:r>
      <w:r w:rsidRPr="001A1335">
        <w:rPr>
          <w:rFonts w:ascii="MS Gothic" w:eastAsia="MS Gothic" w:hAnsi="MS Gothic" w:cs="MS Gothic" w:hint="eastAsia"/>
        </w:rPr>
        <w:t>【</w:t>
      </w:r>
      <w:proofErr w:type="gramEnd"/>
      <w:r w:rsidRPr="001A1335">
        <w:rPr>
          <w:rFonts w:eastAsia="Arial" w:cs="Arial"/>
        </w:rPr>
        <w:t>62, p. 145</w:t>
      </w:r>
      <w:r w:rsidRPr="001A1335">
        <w:rPr>
          <w:rFonts w:ascii="MS Gothic" w:eastAsia="MS Gothic" w:hAnsi="MS Gothic" w:cs="MS Gothic" w:hint="eastAsia"/>
        </w:rPr>
        <w:t>】</w:t>
      </w:r>
      <w:r w:rsidRPr="001A1335">
        <w:rPr>
          <w:rFonts w:eastAsia="Arial" w:cs="Arial"/>
        </w:rPr>
        <w:t>.</w:t>
      </w:r>
    </w:p>
    <w:p w14:paraId="086A29CF" w14:textId="77777777" w:rsidR="001A1335" w:rsidRPr="001A1335" w:rsidRDefault="001A1335" w:rsidP="001A1335">
      <w:pPr>
        <w:spacing w:line="360" w:lineRule="auto"/>
        <w:jc w:val="both"/>
        <w:rPr>
          <w:rFonts w:eastAsia="Arial" w:cs="Arial"/>
        </w:rPr>
      </w:pPr>
      <w:r w:rsidRPr="001A1335">
        <w:rPr>
          <w:rFonts w:eastAsia="Arial" w:cs="Arial"/>
        </w:rPr>
        <w:t>Gramsci entende os intelectuais como profundamente inseridos nas relações sociais, pertencentes a uma classe ou grupo social vinculado a um determinado modo de produção</w:t>
      </w:r>
      <w:r w:rsidRPr="001A1335">
        <w:rPr>
          <w:rFonts w:ascii="MS Gothic" w:eastAsia="MS Gothic" w:hAnsi="MS Gothic" w:cs="MS Gothic" w:hint="eastAsia"/>
        </w:rPr>
        <w:t>【</w:t>
      </w:r>
      <w:r w:rsidRPr="001A1335">
        <w:rPr>
          <w:rFonts w:eastAsia="Arial" w:cs="Arial"/>
        </w:rPr>
        <w:t>78</w:t>
      </w:r>
      <w:r w:rsidRPr="001A1335">
        <w:rPr>
          <w:rFonts w:ascii="MS Gothic" w:eastAsia="MS Gothic" w:hAnsi="MS Gothic" w:cs="MS Gothic" w:hint="eastAsia"/>
        </w:rPr>
        <w:t>】</w:t>
      </w:r>
      <w:r w:rsidRPr="001A1335">
        <w:rPr>
          <w:rFonts w:eastAsia="Arial" w:cs="Arial"/>
        </w:rPr>
        <w:t xml:space="preserve">. A partir da análise do papel desempenhado pelos intelectuais na promoção da ordem burguesa, Gramsci propõe a necessidade de um novo tipo de intelectual, guiado pelos interesses das classes dominadas — o </w:t>
      </w:r>
      <w:r w:rsidRPr="001A1335">
        <w:rPr>
          <w:rFonts w:eastAsia="Arial" w:cs="Arial"/>
          <w:i/>
          <w:iCs/>
        </w:rPr>
        <w:t>intelectual orgânico</w:t>
      </w:r>
      <w:r w:rsidRPr="001A1335">
        <w:rPr>
          <w:rFonts w:eastAsia="Arial" w:cs="Arial"/>
        </w:rPr>
        <w:t xml:space="preserve"> comprometido com as lutas e necessidades dos grupos subalternos</w:t>
      </w:r>
      <w:r w:rsidRPr="001A1335">
        <w:rPr>
          <w:rFonts w:ascii="MS Gothic" w:eastAsia="MS Gothic" w:hAnsi="MS Gothic" w:cs="MS Gothic" w:hint="eastAsia"/>
        </w:rPr>
        <w:t>【</w:t>
      </w:r>
      <w:r w:rsidRPr="001A1335">
        <w:rPr>
          <w:rFonts w:eastAsia="Arial" w:cs="Arial"/>
        </w:rPr>
        <w:t>78–80</w:t>
      </w:r>
      <w:r w:rsidRPr="001A1335">
        <w:rPr>
          <w:rFonts w:ascii="MS Gothic" w:eastAsia="MS Gothic" w:hAnsi="MS Gothic" w:cs="MS Gothic" w:hint="eastAsia"/>
        </w:rPr>
        <w:t>】</w:t>
      </w:r>
      <w:r w:rsidRPr="001A1335">
        <w:rPr>
          <w:rFonts w:eastAsia="Arial" w:cs="Arial"/>
        </w:rPr>
        <w:t xml:space="preserve">. Esses intelectuais, quando engajados em atividades contra-hegemônicas, assumem papel estratégico na chamada </w:t>
      </w:r>
      <w:r w:rsidRPr="001A1335">
        <w:rPr>
          <w:rFonts w:eastAsia="Arial" w:cs="Arial"/>
          <w:i/>
          <w:iCs/>
        </w:rPr>
        <w:t>guerra de posição</w:t>
      </w:r>
      <w:r w:rsidRPr="001A1335">
        <w:rPr>
          <w:rFonts w:ascii="MS Gothic" w:eastAsia="MS Gothic" w:hAnsi="MS Gothic" w:cs="MS Gothic" w:hint="eastAsia"/>
        </w:rPr>
        <w:t>【</w:t>
      </w:r>
      <w:r w:rsidRPr="001A1335">
        <w:rPr>
          <w:rFonts w:eastAsia="Arial" w:cs="Arial"/>
        </w:rPr>
        <w:t>81</w:t>
      </w:r>
      <w:r w:rsidRPr="001A1335">
        <w:rPr>
          <w:rFonts w:ascii="MS Gothic" w:eastAsia="MS Gothic" w:hAnsi="MS Gothic" w:cs="MS Gothic" w:hint="eastAsia"/>
        </w:rPr>
        <w:t>】</w:t>
      </w:r>
      <w:r w:rsidRPr="001A1335">
        <w:rPr>
          <w:rFonts w:eastAsia="Arial" w:cs="Arial"/>
        </w:rPr>
        <w:t>.</w:t>
      </w:r>
    </w:p>
    <w:p w14:paraId="6BD29402" w14:textId="77777777" w:rsidR="001A1335" w:rsidRPr="001A1335" w:rsidRDefault="001A1335" w:rsidP="001A1335">
      <w:pPr>
        <w:spacing w:line="360" w:lineRule="auto"/>
        <w:jc w:val="both"/>
        <w:rPr>
          <w:rFonts w:eastAsia="Arial" w:cs="Arial"/>
        </w:rPr>
      </w:pPr>
      <w:r w:rsidRPr="001A1335">
        <w:rPr>
          <w:rFonts w:eastAsia="Arial" w:cs="Arial"/>
        </w:rPr>
        <w:t>Feola</w:t>
      </w:r>
      <w:r w:rsidRPr="001A1335">
        <w:rPr>
          <w:rFonts w:ascii="MS Gothic" w:eastAsia="MS Gothic" w:hAnsi="MS Gothic" w:cs="MS Gothic" w:hint="eastAsia"/>
        </w:rPr>
        <w:t>【</w:t>
      </w:r>
      <w:r w:rsidRPr="001A1335">
        <w:rPr>
          <w:rFonts w:eastAsia="Arial" w:cs="Arial"/>
        </w:rPr>
        <w:t>24</w:t>
      </w:r>
      <w:r w:rsidRPr="001A1335">
        <w:rPr>
          <w:rFonts w:ascii="MS Gothic" w:eastAsia="MS Gothic" w:hAnsi="MS Gothic" w:cs="MS Gothic" w:hint="eastAsia"/>
        </w:rPr>
        <w:t>】</w:t>
      </w:r>
      <w:r w:rsidRPr="001A1335">
        <w:rPr>
          <w:rFonts w:eastAsia="Arial" w:cs="Arial"/>
        </w:rPr>
        <w:t xml:space="preserve"> reforça essa perspectiva ao destacar a necessidade de uma postura crítica e reflexiva por parte dos estudiosos das transições sustentáveis, para que possam “abordar a influência do capitalismo sobre as transições, e vice-versa” (p. 248). Ele defende que os intelectuais estejam conscientes tanto do papel da superestrutura na reprodução dos sistemas sociotécnicos quanto de </w:t>
      </w:r>
      <w:r w:rsidRPr="001A1335">
        <w:rPr>
          <w:rFonts w:eastAsia="Arial" w:cs="Arial"/>
        </w:rPr>
        <w:lastRenderedPageBreak/>
        <w:t>sua própria atuação nesse contexto, considerando que a sustentabilidade e outras transformações são “demandadas, imaginadas, disputadas e resistidas por uma gama muito ampla e diversa de atores e coalizões” (p. 248).</w:t>
      </w:r>
    </w:p>
    <w:p w14:paraId="0884F835" w14:textId="77777777" w:rsidR="001A1335" w:rsidRPr="001A1335" w:rsidRDefault="001A1335" w:rsidP="001A1335">
      <w:pPr>
        <w:spacing w:line="360" w:lineRule="auto"/>
        <w:jc w:val="both"/>
        <w:rPr>
          <w:rFonts w:eastAsia="Arial" w:cs="Arial"/>
        </w:rPr>
      </w:pPr>
      <w:r w:rsidRPr="001A1335">
        <w:rPr>
          <w:rFonts w:eastAsia="Arial" w:cs="Arial"/>
        </w:rPr>
        <w:t xml:space="preserve">As pesquisas sobre transições sustentáveis nos sistemas alimentares (STFS) podem mobilizar o conceito de </w:t>
      </w:r>
      <w:r w:rsidRPr="001A1335">
        <w:rPr>
          <w:rFonts w:eastAsia="Arial" w:cs="Arial"/>
          <w:i/>
          <w:iCs/>
        </w:rPr>
        <w:t>intelectual orgânico</w:t>
      </w:r>
      <w:r w:rsidRPr="001A1335">
        <w:rPr>
          <w:rFonts w:eastAsia="Arial" w:cs="Arial"/>
        </w:rPr>
        <w:t xml:space="preserve"> tanto para examinar o papel dos intelectuais na perpetuação do sistema alimentar hegemônico quanto para compreender seu papel na contestação desse sistema. Por exemplo, esse conceito pode ajudar a:</w:t>
      </w:r>
    </w:p>
    <w:p w14:paraId="7032B6E2" w14:textId="77777777" w:rsidR="001A1335" w:rsidRPr="001A1335" w:rsidRDefault="001A1335" w:rsidP="001A1335">
      <w:pPr>
        <w:numPr>
          <w:ilvl w:val="0"/>
          <w:numId w:val="4"/>
        </w:numPr>
        <w:spacing w:line="360" w:lineRule="auto"/>
        <w:jc w:val="both"/>
        <w:rPr>
          <w:rFonts w:eastAsia="Arial" w:cs="Arial"/>
        </w:rPr>
      </w:pPr>
      <w:r w:rsidRPr="001A1335">
        <w:rPr>
          <w:rFonts w:eastAsia="Arial" w:cs="Arial"/>
        </w:rPr>
        <w:t>entender o papel de burocratas na resistência ou apoio às pressões por mudança vindas de atores de nicho;</w:t>
      </w:r>
    </w:p>
    <w:p w14:paraId="649EEDB1" w14:textId="77777777" w:rsidR="001A1335" w:rsidRPr="001A1335" w:rsidRDefault="001A1335" w:rsidP="001A1335">
      <w:pPr>
        <w:numPr>
          <w:ilvl w:val="0"/>
          <w:numId w:val="4"/>
        </w:numPr>
        <w:spacing w:line="360" w:lineRule="auto"/>
        <w:jc w:val="both"/>
        <w:rPr>
          <w:rFonts w:eastAsia="Arial" w:cs="Arial"/>
        </w:rPr>
      </w:pPr>
      <w:r w:rsidRPr="001A1335">
        <w:rPr>
          <w:rFonts w:eastAsia="Arial" w:cs="Arial"/>
        </w:rPr>
        <w:t>analisar como determinados pesquisadores adotam interpretações reformistas alinhadas aos interesses do bloco histórico hegemônico;</w:t>
      </w:r>
    </w:p>
    <w:p w14:paraId="4011873A" w14:textId="77777777" w:rsidR="001A1335" w:rsidRPr="001A1335" w:rsidRDefault="001A1335" w:rsidP="001A1335">
      <w:pPr>
        <w:numPr>
          <w:ilvl w:val="0"/>
          <w:numId w:val="4"/>
        </w:numPr>
        <w:spacing w:line="360" w:lineRule="auto"/>
        <w:jc w:val="both"/>
        <w:rPr>
          <w:rFonts w:eastAsia="Arial" w:cs="Arial"/>
        </w:rPr>
      </w:pPr>
      <w:r w:rsidRPr="001A1335">
        <w:rPr>
          <w:rFonts w:eastAsia="Arial" w:cs="Arial"/>
        </w:rPr>
        <w:t>refletir sobre os processos de formação de intelectuais comprometidos com os interesses de base e com inovações oriundas de nichos que propõem mudanças radicais.</w:t>
      </w:r>
    </w:p>
    <w:p w14:paraId="71717635" w14:textId="77777777" w:rsidR="00216EFF" w:rsidRPr="00216EFF" w:rsidRDefault="00216EFF" w:rsidP="00216EFF">
      <w:pPr>
        <w:spacing w:line="360" w:lineRule="auto"/>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102B16B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sz w:val="22"/>
          <w:szCs w:val="22"/>
        </w:rPr>
        <w:fldChar w:fldCharType="begin" w:fldLock="1"/>
      </w:r>
      <w:r w:rsidRPr="00BB0A35">
        <w:rPr>
          <w:sz w:val="22"/>
          <w:szCs w:val="22"/>
          <w:lang w:val="en-US"/>
        </w:rPr>
        <w:instrText xml:space="preserve">ADDIN Mendeley Bibliography CSL_BIBLIOGRAPHY </w:instrText>
      </w:r>
      <w:r w:rsidRPr="00BB0A35">
        <w:rPr>
          <w:sz w:val="22"/>
          <w:szCs w:val="22"/>
        </w:rPr>
        <w:fldChar w:fldCharType="separate"/>
      </w:r>
      <w:r w:rsidRPr="00BB0A35">
        <w:rPr>
          <w:rFonts w:ascii="Calibri" w:hAnsi="Calibri" w:cs="Calibri"/>
          <w:noProof/>
          <w:kern w:val="0"/>
          <w:sz w:val="22"/>
          <w:szCs w:val="22"/>
          <w:lang w:val="en-US"/>
        </w:rPr>
        <w:t xml:space="preserve">1. </w:t>
      </w:r>
      <w:r w:rsidRPr="00BB0A35">
        <w:rPr>
          <w:rFonts w:ascii="Calibri" w:hAnsi="Calibri" w:cs="Calibri"/>
          <w:noProof/>
          <w:kern w:val="0"/>
          <w:sz w:val="22"/>
          <w:szCs w:val="22"/>
          <w:lang w:val="en-US"/>
        </w:rPr>
        <w:tab/>
        <w:t>Clapp J. Concentration and crises: exploring the deep roots of vulnerability in the global industrial food system. J Peasant Stud [Internet]. 2023 Jan 2 [cited 2022 Dec 11];50(1):1–25. Available from: https://www.tandfonline.com/action/journalInformation?journalCode=fjps20</w:t>
      </w:r>
    </w:p>
    <w:p w14:paraId="6012F86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 </w:t>
      </w:r>
      <w:r w:rsidRPr="00BB0A35">
        <w:rPr>
          <w:rFonts w:ascii="Calibri" w:hAnsi="Calibri" w:cs="Calibri"/>
          <w:noProof/>
          <w:kern w:val="0"/>
          <w:sz w:val="22"/>
          <w:szCs w:val="22"/>
          <w:lang w:val="en-US"/>
        </w:rPr>
        <w:tab/>
        <w:t>Clapp J. Mega-Mergers on the Menu: Corporate Concentration and the Politics of Sustainability in the Global Food System. Glob Environ Polit [Internet]. 2018 May;18(2):12–33. Available from: https://direct.mit.edu/glep/article/18/2/12-33/14909</w:t>
      </w:r>
    </w:p>
    <w:p w14:paraId="52D0F278"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 </w:t>
      </w:r>
      <w:r w:rsidRPr="00BB0A35">
        <w:rPr>
          <w:rFonts w:ascii="Calibri" w:hAnsi="Calibri" w:cs="Calibri"/>
          <w:noProof/>
          <w:kern w:val="0"/>
          <w:sz w:val="22"/>
          <w:szCs w:val="22"/>
          <w:lang w:val="en-US"/>
        </w:rPr>
        <w:tab/>
        <w:t>Clapp J. The rise of financial investment and common ownership in global agrifood firms. Rev Int Polit Econ [Internet]. 2019;26(4):604–29. Available from: https://doi.org/10.1080/09692290.2019.1597755</w:t>
      </w:r>
    </w:p>
    <w:p w14:paraId="34F2B804"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 </w:t>
      </w:r>
      <w:r w:rsidRPr="00BB0A35">
        <w:rPr>
          <w:rFonts w:ascii="Calibri" w:hAnsi="Calibri" w:cs="Calibri"/>
          <w:noProof/>
          <w:kern w:val="0"/>
          <w:sz w:val="22"/>
          <w:szCs w:val="22"/>
          <w:lang w:val="en-US"/>
        </w:rPr>
        <w:tab/>
        <w:t>IPES-Food. Too big to feed: Exploring the impacts of mega-mergers, consolidation and concentration of power in the agri-food sector [Internet]. International Panel of experts on sustainable food systems. 2017. Available from: http://www.ipes-food.org/reports/</w:t>
      </w:r>
    </w:p>
    <w:p w14:paraId="5E8A43CC"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 </w:t>
      </w:r>
      <w:r w:rsidRPr="00BB0A35">
        <w:rPr>
          <w:rFonts w:ascii="Calibri" w:hAnsi="Calibri" w:cs="Calibri"/>
          <w:noProof/>
          <w:kern w:val="0"/>
          <w:sz w:val="22"/>
          <w:szCs w:val="22"/>
          <w:lang w:val="en-US"/>
        </w:rPr>
        <w:tab/>
        <w:t>Phélinas P, Choumert J. Is GM Soybean Cultivation in Argentina Sustainable? World Dev [Internet]. 2017 Nov [cited 2023 Apr 11];99:452–62. Available from: http://dx.doi.org/10.1016/j.worlddev.2017.05.033</w:t>
      </w:r>
    </w:p>
    <w:p w14:paraId="7957DAD9"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6. </w:t>
      </w:r>
      <w:r w:rsidRPr="00BB0A35">
        <w:rPr>
          <w:rFonts w:ascii="Calibri" w:hAnsi="Calibri" w:cs="Calibri"/>
          <w:noProof/>
          <w:kern w:val="0"/>
          <w:sz w:val="22"/>
          <w:szCs w:val="22"/>
          <w:lang w:val="en-US"/>
        </w:rPr>
        <w:tab/>
        <w:t>Giller KE, Delaune T, Silva JV, Descheemaeker K, van de Ven G, Schut AG, et al. The future of farming: Who will produce our food? [Internet]. Vol. 13, Food Security. 2021 [cited 2023 Apr 11]. p. 1073–99. Available from: https://doi.org/10.1007/s12571-021-01184-6</w:t>
      </w:r>
    </w:p>
    <w:p w14:paraId="3A73ACB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7. </w:t>
      </w:r>
      <w:r w:rsidRPr="00BB0A35">
        <w:rPr>
          <w:rFonts w:ascii="Calibri" w:hAnsi="Calibri" w:cs="Calibri"/>
          <w:noProof/>
          <w:kern w:val="0"/>
          <w:sz w:val="22"/>
          <w:szCs w:val="22"/>
        </w:rPr>
        <w:tab/>
        <w:t xml:space="preserve">Lima MS. A Elite ruralista no parlamento: características principais da bancada que representa a classe proprietária rural. Raízes Rev Ciências Sociais e Econômicas [Internet]. 2018 Oct 23 [cited 2023 Apr 11];38(2):58–72. </w:t>
      </w:r>
      <w:r w:rsidRPr="00BB0A35">
        <w:rPr>
          <w:rFonts w:ascii="Calibri" w:hAnsi="Calibri" w:cs="Calibri"/>
          <w:noProof/>
          <w:kern w:val="0"/>
          <w:sz w:val="22"/>
          <w:szCs w:val="22"/>
          <w:lang w:val="en-US"/>
        </w:rPr>
        <w:t>Available from: http://raizes.revistas.ufcg.edu.br/index.php/raizes/article/view/10</w:t>
      </w:r>
    </w:p>
    <w:p w14:paraId="02B4F7DE"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8. </w:t>
      </w:r>
      <w:r w:rsidRPr="00BB0A35">
        <w:rPr>
          <w:rFonts w:ascii="Calibri" w:hAnsi="Calibri" w:cs="Calibri"/>
          <w:noProof/>
          <w:kern w:val="0"/>
          <w:sz w:val="22"/>
          <w:szCs w:val="22"/>
        </w:rPr>
        <w:tab/>
        <w:t xml:space="preserve">LOCATEL CD, LIMA FLS de. Agronegócio e poder político: políticas agrícolas e o exercício do poder no Brasil. </w:t>
      </w:r>
      <w:r w:rsidRPr="00BB0A35">
        <w:rPr>
          <w:rFonts w:ascii="Calibri" w:hAnsi="Calibri" w:cs="Calibri"/>
          <w:noProof/>
          <w:kern w:val="0"/>
          <w:sz w:val="22"/>
          <w:szCs w:val="22"/>
          <w:lang w:val="en-US"/>
        </w:rPr>
        <w:t>Soc e Territ [Internet]. 2017 Mar 13 [cited 2023 Apr 11];28(2):57–81. Available from: https://periodicos.ufrn.br/sociedadeeterritorio/article/view/11583</w:t>
      </w:r>
    </w:p>
    <w:p w14:paraId="7395B2E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9. </w:t>
      </w:r>
      <w:r w:rsidRPr="00BB0A35">
        <w:rPr>
          <w:rFonts w:ascii="Calibri" w:hAnsi="Calibri" w:cs="Calibri"/>
          <w:noProof/>
          <w:kern w:val="0"/>
          <w:sz w:val="22"/>
          <w:szCs w:val="22"/>
          <w:lang w:val="en-US"/>
        </w:rPr>
        <w:tab/>
        <w:t>Béné C. Why the Great Food Transformation may not happen – A deep-dive into our food systems’ political economy, controversies and politics of evidence. World Dev [Internet]. 2022 Jun 1 [cited 2023 Mar 20];154:105881. Available from: https://linkinghub.elsevier.com/retrieve/pii/S0305750X22000717</w:t>
      </w:r>
    </w:p>
    <w:p w14:paraId="50FD04B0"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10. </w:t>
      </w:r>
      <w:r w:rsidRPr="00BB0A35">
        <w:rPr>
          <w:rFonts w:ascii="Calibri" w:hAnsi="Calibri" w:cs="Calibri"/>
          <w:noProof/>
          <w:kern w:val="0"/>
          <w:sz w:val="22"/>
          <w:szCs w:val="22"/>
          <w:lang w:val="en-US"/>
        </w:rPr>
        <w:tab/>
        <w:t>Gaitán-Cremaschi D, Klerkx L, Duncan J, Trienekens JH, Huenchuleo C, Dogliotti S, et al. Characterizing diversity of food systems in view of sustainability transitions. A review. Agron Sustain Dev [Internet]. 2019 Feb 17 [cited 2023 Mar 23];39(1):1. Available from: https://link-springer-com.ez31.periodicos.capes.gov.br/article/10.1007/s13593-018-0550-2</w:t>
      </w:r>
    </w:p>
    <w:p w14:paraId="15A9AA55"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11. </w:t>
      </w:r>
      <w:r w:rsidRPr="00BB0A35">
        <w:rPr>
          <w:rFonts w:ascii="Calibri" w:hAnsi="Calibri" w:cs="Calibri"/>
          <w:noProof/>
          <w:kern w:val="0"/>
          <w:sz w:val="22"/>
          <w:szCs w:val="22"/>
          <w:lang w:val="en-US"/>
        </w:rPr>
        <w:tab/>
        <w:t>Leeuwis C, Boogaard BK, Atta-Krah K. How food systems change (or not): governance implications for system transformation processes. Food Secur [Internet]. 2021 Aug 1 [cited 2023 Mar 23];13(4):761–80. Available from: https://link-springer-com.ez31.periodicos.capes.gov.br/article/10.1007/s12571-021-01178-4</w:t>
      </w:r>
    </w:p>
    <w:p w14:paraId="28F842E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s-ES"/>
        </w:rPr>
      </w:pPr>
      <w:r w:rsidRPr="00BB0A35">
        <w:rPr>
          <w:rFonts w:ascii="Calibri" w:hAnsi="Calibri" w:cs="Calibri"/>
          <w:noProof/>
          <w:kern w:val="0"/>
          <w:sz w:val="22"/>
          <w:szCs w:val="22"/>
          <w:lang w:val="es-ES"/>
        </w:rPr>
        <w:t xml:space="preserve">12. </w:t>
      </w:r>
      <w:r w:rsidRPr="00BB0A35">
        <w:rPr>
          <w:rFonts w:ascii="Calibri" w:hAnsi="Calibri" w:cs="Calibri"/>
          <w:noProof/>
          <w:kern w:val="0"/>
          <w:sz w:val="22"/>
          <w:szCs w:val="22"/>
          <w:lang w:val="es-ES"/>
        </w:rPr>
        <w:tab/>
        <w:t>Tittonell P. Las transiciones agroecológicas: múltiples escalas, niveles y desafíos. Rev la Fac Ciencias Agrar [Internet]. 2020 Jun 30 [cited 2022 Dec 4];51(1):231–46. Available from: https://revistas.uncu.edu.ar/ojs3/index.php/RFCA/article/view/2448</w:t>
      </w:r>
    </w:p>
    <w:p w14:paraId="572BE22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13. </w:t>
      </w:r>
      <w:r w:rsidRPr="00BB0A35">
        <w:rPr>
          <w:rFonts w:ascii="Calibri" w:hAnsi="Calibri" w:cs="Calibri"/>
          <w:noProof/>
          <w:kern w:val="0"/>
          <w:sz w:val="22"/>
          <w:szCs w:val="22"/>
          <w:lang w:val="en-US"/>
        </w:rPr>
        <w:tab/>
        <w:t>Vincent O, Feola G. A framework for recognizing diversity beyond capitalism in agri-food systems. J Rural Stud [Internet]. 2020 Dec 1 [cited 2023 Apr 7];80:302–13. Available from: https://linkinghub.elsevier.com/retrieve/pii/S074301672030454X</w:t>
      </w:r>
    </w:p>
    <w:p w14:paraId="498FAF29"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14. </w:t>
      </w:r>
      <w:r w:rsidRPr="00BB0A35">
        <w:rPr>
          <w:rFonts w:ascii="Calibri" w:hAnsi="Calibri" w:cs="Calibri"/>
          <w:noProof/>
          <w:kern w:val="0"/>
          <w:sz w:val="22"/>
          <w:szCs w:val="22"/>
          <w:lang w:val="en-US"/>
        </w:rPr>
        <w:tab/>
        <w:t>El Bilali H. The Multi-Level Perspective in Research on Sustainability Transitions in Agriculture and Food Systems: A Systematic Review. Agriculture [Internet]. 2019 Apr 10 [cited 2023 Apr 11];9(4):74. Available from: https://www.mdpi.com/2077-0472/9/4/74/htm</w:t>
      </w:r>
    </w:p>
    <w:p w14:paraId="283F8C31"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15. </w:t>
      </w:r>
      <w:r w:rsidRPr="00BB0A35">
        <w:rPr>
          <w:rFonts w:ascii="Calibri" w:hAnsi="Calibri" w:cs="Calibri"/>
          <w:noProof/>
          <w:kern w:val="0"/>
          <w:sz w:val="22"/>
          <w:szCs w:val="22"/>
          <w:lang w:val="en-US"/>
        </w:rPr>
        <w:tab/>
        <w:t>El Bilali H. Transition heuristic frameworks in research on agro-food sustainability transitions. Environ Dev Sustain [Internet]. 2020 Mar 8 [cited 2023 Apr 11];22(3):1693–728. Available from: https://link-springer-com.ez31.periodicos.capes.gov.br/article/10.1007/s10668-018-0290-0</w:t>
      </w:r>
    </w:p>
    <w:p w14:paraId="28F1F48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16. </w:t>
      </w:r>
      <w:r w:rsidRPr="00BB0A35">
        <w:rPr>
          <w:rFonts w:ascii="Calibri" w:hAnsi="Calibri" w:cs="Calibri"/>
          <w:noProof/>
          <w:kern w:val="0"/>
          <w:sz w:val="22"/>
          <w:szCs w:val="22"/>
          <w:lang w:val="en-US"/>
        </w:rPr>
        <w:tab/>
        <w:t>Geels FW. Ontologies, socio-technical transitions (to sustainability), and the multi-level perspective. Res Policy [Internet]. 2010 May 1 [cited 2023 Mar 23];39(4):495–510. Available from: https://linkinghub.elsevier.com/retrieve/pii/S0048733310000363</w:t>
      </w:r>
    </w:p>
    <w:p w14:paraId="653F299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17. </w:t>
      </w:r>
      <w:r w:rsidRPr="00BB0A35">
        <w:rPr>
          <w:rFonts w:ascii="Calibri" w:hAnsi="Calibri" w:cs="Calibri"/>
          <w:noProof/>
          <w:kern w:val="0"/>
          <w:sz w:val="22"/>
          <w:szCs w:val="22"/>
          <w:lang w:val="en-US"/>
        </w:rPr>
        <w:tab/>
        <w:t>Geels FW. Technological transitions as evolutionary reconfiguration processes: a multi-level perspective and a case-study. Res Policy [Internet]. 2002 Dec 1 [cited 2023 Mar 3];31(8–9):1257–74. Available from: https://linkinghub.elsevier.com/retrieve/pii/S0048733302000628</w:t>
      </w:r>
    </w:p>
    <w:p w14:paraId="432AC544"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18. </w:t>
      </w:r>
      <w:r w:rsidRPr="00BB0A35">
        <w:rPr>
          <w:rFonts w:ascii="Calibri" w:hAnsi="Calibri" w:cs="Calibri"/>
          <w:noProof/>
          <w:kern w:val="0"/>
          <w:sz w:val="22"/>
          <w:szCs w:val="22"/>
          <w:lang w:val="en-US"/>
        </w:rPr>
        <w:tab/>
        <w:t>Hinrichs CC. Transitions to sustainability: A change in thinking about food systems change? Agric Human Values [Internet]. 2014 Feb 4 [cited 2023 Mar 23];31(1):143–55. Available from: https://link-springer-com.ez31.periodicos.capes.gov.br/article/10.1007/s10460-014-9479-5</w:t>
      </w:r>
    </w:p>
    <w:p w14:paraId="5ADEABE0"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19. </w:t>
      </w:r>
      <w:r w:rsidRPr="00BB0A35">
        <w:rPr>
          <w:rFonts w:ascii="Calibri" w:hAnsi="Calibri" w:cs="Calibri"/>
          <w:noProof/>
          <w:kern w:val="0"/>
          <w:sz w:val="22"/>
          <w:szCs w:val="22"/>
          <w:lang w:val="en-US"/>
        </w:rPr>
        <w:tab/>
        <w:t>Bui S, Cardona A, Lamine C, Cerf M. Sustainability transitions: Insights on processes of niche-regime interaction and regime reconfiguration in agri-food systems. J Rural Stud [Internet]. 2016 Dec 1 [cited 2023 Mar 23];48:92–103. Available from: https://linkinghub.elsevier.com/retrieve/pii/S0743016716304831</w:t>
      </w:r>
    </w:p>
    <w:p w14:paraId="2B7498F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20. </w:t>
      </w:r>
      <w:r w:rsidRPr="00BB0A35">
        <w:rPr>
          <w:rFonts w:ascii="Calibri" w:hAnsi="Calibri" w:cs="Calibri"/>
          <w:noProof/>
          <w:kern w:val="0"/>
          <w:sz w:val="22"/>
          <w:szCs w:val="22"/>
          <w:lang w:val="en-US"/>
        </w:rPr>
        <w:tab/>
        <w:t>Anderson CR, Bruil J, Chappell MJ, Kiss C, Pimbert MP. From Transition to Domains of Transformation: Getting to Sustainable and Just Food Systems through Agroecology. Sustainability [Internet]. 2019 Sep 25 [cited 2023 Mar 23];11(19):5272. Available from: https://www.mdpi.com/2071-1050/11/19/5272/htm</w:t>
      </w:r>
    </w:p>
    <w:p w14:paraId="331D782D"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21. </w:t>
      </w:r>
      <w:r w:rsidRPr="00BB0A35">
        <w:rPr>
          <w:rFonts w:ascii="Calibri" w:hAnsi="Calibri" w:cs="Calibri"/>
          <w:noProof/>
          <w:kern w:val="0"/>
          <w:sz w:val="22"/>
          <w:szCs w:val="22"/>
          <w:lang w:val="en-US"/>
        </w:rPr>
        <w:tab/>
        <w:t>Geels FW. The multi-level perspective on sustainability transitions: Responses to seven criticisms. Environ Innov Soc Transitions [Internet]. 2011 Jun [cited 2022 Dec 13];1(1):24–40. Available from: https://linkinghub.elsevier.com/retrieve/pii/S2210422411000050</w:t>
      </w:r>
    </w:p>
    <w:p w14:paraId="0C98298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22. </w:t>
      </w:r>
      <w:r w:rsidRPr="00BB0A35">
        <w:rPr>
          <w:rFonts w:ascii="Calibri" w:hAnsi="Calibri" w:cs="Calibri"/>
          <w:noProof/>
          <w:kern w:val="0"/>
          <w:sz w:val="22"/>
          <w:szCs w:val="22"/>
          <w:lang w:val="en-US"/>
        </w:rPr>
        <w:tab/>
        <w:t>Köhler J, Geels FW, Kern F, Markard J, Onsongo E, Wieczorek A, et al. An agenda for sustainability transitions research: State of the art and future directions. Environ Innov Soc Transitions [Internet]. 2019 Jun 1 [cited 2023 Mar 27];31:1–32. Available from: https://linkinghub.elsevier.com/retrieve/pii/S2210422418303332</w:t>
      </w:r>
    </w:p>
    <w:p w14:paraId="447D9E9F"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23. </w:t>
      </w:r>
      <w:r w:rsidRPr="00BB0A35">
        <w:rPr>
          <w:rFonts w:ascii="Calibri" w:hAnsi="Calibri" w:cs="Calibri"/>
          <w:noProof/>
          <w:kern w:val="0"/>
          <w:sz w:val="22"/>
          <w:szCs w:val="22"/>
          <w:lang w:val="en-US"/>
        </w:rPr>
        <w:tab/>
        <w:t>Geels FW. Socio-technical transitions to sustainability: a review of criticisms and elaborations of the Multi-Level Perspective. Curr Opin Environ Sustain [Internet]. 2019 Aug 1 [cited 2023 Mar 23];39:187–201. Available from: https://linkinghub.elsevier.com/retrieve/pii/S1877343519300375</w:t>
      </w:r>
    </w:p>
    <w:p w14:paraId="223B024B"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24. </w:t>
      </w:r>
      <w:r w:rsidRPr="00BB0A35">
        <w:rPr>
          <w:rFonts w:ascii="Calibri" w:hAnsi="Calibri" w:cs="Calibri"/>
          <w:noProof/>
          <w:kern w:val="0"/>
          <w:sz w:val="22"/>
          <w:szCs w:val="22"/>
          <w:lang w:val="en-US"/>
        </w:rPr>
        <w:tab/>
        <w:t xml:space="preserve">Feola G. Capitalism in sustainability transitions research: Time for a critical turn? Environ Innov Soc Transitions. 2020 Jun 1;35:241–50. </w:t>
      </w:r>
    </w:p>
    <w:p w14:paraId="4CD3CA7E"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25. </w:t>
      </w:r>
      <w:r w:rsidRPr="00BB0A35">
        <w:rPr>
          <w:rFonts w:ascii="Calibri" w:hAnsi="Calibri" w:cs="Calibri"/>
          <w:noProof/>
          <w:kern w:val="0"/>
          <w:sz w:val="22"/>
          <w:szCs w:val="22"/>
          <w:lang w:val="en-US"/>
        </w:rPr>
        <w:tab/>
        <w:t>Ford A, Newell P. Regime resistance and accommodation: Toward a neo-Gramscian perspective on energy transitions. Energy Res Soc Sci [Internet]. 2021 Sep 1 [cited 2023 Mar 24];79:102163. Available from: https://linkinghub.elsevier.com/retrieve/pii/S2214629621002565</w:t>
      </w:r>
    </w:p>
    <w:p w14:paraId="740C160B"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26. </w:t>
      </w:r>
      <w:r w:rsidRPr="00BB0A35">
        <w:rPr>
          <w:rFonts w:ascii="Calibri" w:hAnsi="Calibri" w:cs="Calibri"/>
          <w:noProof/>
          <w:kern w:val="0"/>
          <w:sz w:val="22"/>
          <w:szCs w:val="22"/>
          <w:lang w:val="en-US"/>
        </w:rPr>
        <w:tab/>
        <w:t xml:space="preserve">Elzen B, Van Mierlo B, Leeuwis C. Anchoring of innovations: Assessing Dutch efforts to harvest energy from glasshouses. Environ Innov Soc Transitions. 2012 Dec 1;5:1–18. </w:t>
      </w:r>
    </w:p>
    <w:p w14:paraId="0EB68EC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27. </w:t>
      </w:r>
      <w:r w:rsidRPr="00BB0A35">
        <w:rPr>
          <w:rFonts w:ascii="Calibri" w:hAnsi="Calibri" w:cs="Calibri"/>
          <w:noProof/>
          <w:kern w:val="0"/>
          <w:sz w:val="22"/>
          <w:szCs w:val="22"/>
          <w:lang w:val="en-US"/>
        </w:rPr>
        <w:tab/>
        <w:t>Elzen B, Geels FW, Leeuwis C, van Mierlo B. Normative contestation in transitions ‘in the making’: Animal welfare concerns and system innovation in pig husbandry. Res Policy [Internet]. 2011 Mar 1 [cited 2022 Dec 13];40(2):263–75. Available from: https://linkinghub.elsevier.com/retrieve/pii/S0048733310002118</w:t>
      </w:r>
    </w:p>
    <w:p w14:paraId="0C8FEF44"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28. </w:t>
      </w:r>
      <w:r w:rsidRPr="00BB0A35">
        <w:rPr>
          <w:rFonts w:ascii="Calibri" w:hAnsi="Calibri" w:cs="Calibri"/>
          <w:noProof/>
          <w:kern w:val="0"/>
          <w:sz w:val="22"/>
          <w:szCs w:val="22"/>
          <w:lang w:val="en-US"/>
        </w:rPr>
        <w:tab/>
        <w:t>Stirling A. How deep is incumbency? A ‘configuring fields’ approach to redistributing and reorienting power in socio-material change. Energy Res Soc Sci [Internet]. 2019 Dec [cited 2023 Apr 8];58:101239. Available from: https://doi.org/10.1016/j.erss.2019.101239</w:t>
      </w:r>
    </w:p>
    <w:p w14:paraId="08DAB310"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29. </w:t>
      </w:r>
      <w:r w:rsidRPr="00BB0A35">
        <w:rPr>
          <w:rFonts w:ascii="Calibri" w:hAnsi="Calibri" w:cs="Calibri"/>
          <w:noProof/>
          <w:kern w:val="0"/>
          <w:sz w:val="22"/>
          <w:szCs w:val="22"/>
          <w:lang w:val="en-US"/>
        </w:rPr>
        <w:tab/>
        <w:t xml:space="preserve">Rossi A, Bocci R. The Transformative Potential of Social Innovation. The Case of Wheat and Bread Value Chain in Tuscany. Jrnl Soc Agr Food. 2018;24(3). </w:t>
      </w:r>
    </w:p>
    <w:p w14:paraId="4914187F"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30. </w:t>
      </w:r>
      <w:r w:rsidRPr="00BB0A35">
        <w:rPr>
          <w:rFonts w:ascii="Calibri" w:hAnsi="Calibri" w:cs="Calibri"/>
          <w:noProof/>
          <w:kern w:val="0"/>
          <w:sz w:val="22"/>
          <w:szCs w:val="22"/>
          <w:lang w:val="en-US"/>
        </w:rPr>
        <w:tab/>
        <w:t>Geels FW. Regime Resistance against Low-Carbon Transitions: Introducing Politics and Power into the Multi-Level Perspective. Theory, Cult Soc [Internet]. 2014 Jun 27 [cited 2022 Dec 13];31(5):21–40. Available from: https://journals.sagepub.com/doi/10.1177/0263276414531627</w:t>
      </w:r>
    </w:p>
    <w:p w14:paraId="22FC960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31. </w:t>
      </w:r>
      <w:r w:rsidRPr="00BB0A35">
        <w:rPr>
          <w:rFonts w:ascii="Calibri" w:hAnsi="Calibri" w:cs="Calibri"/>
          <w:noProof/>
          <w:kern w:val="0"/>
          <w:sz w:val="22"/>
          <w:szCs w:val="22"/>
          <w:lang w:val="en-US"/>
        </w:rPr>
        <w:tab/>
        <w:t>Avelino F, Grin J, Pel B, Jhagroe S. The politics of sustainability transitions. J Environ Policy Plan [Internet]. 2016 Oct 19 [cited 2022 Dec 13];18(5):557–67. Available from: https://www.tandfonline.com/action/journalInformation?journalCode=cjoe20</w:t>
      </w:r>
    </w:p>
    <w:p w14:paraId="4F138459"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32. </w:t>
      </w:r>
      <w:r w:rsidRPr="00BB0A35">
        <w:rPr>
          <w:rFonts w:ascii="Calibri" w:hAnsi="Calibri" w:cs="Calibri"/>
          <w:noProof/>
          <w:kern w:val="0"/>
          <w:sz w:val="22"/>
          <w:szCs w:val="22"/>
          <w:lang w:val="en-US"/>
        </w:rPr>
        <w:tab/>
        <w:t>Swilling M, Musango J, Wakeford J. Developmental states and sustainability transitions: Prospects of a just Transition in South Africa. J Environ Policy Plan [Internet]. 2016 Oct 19 [cited 2023 Mar 19];18(5):650–72. Available from: https://www.tandfonline.com/doi/abs/10.1080/1523908X.2015.1107716</w:t>
      </w:r>
    </w:p>
    <w:p w14:paraId="3AC917F5"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33. </w:t>
      </w:r>
      <w:r w:rsidRPr="00BB0A35">
        <w:rPr>
          <w:rFonts w:ascii="Calibri" w:hAnsi="Calibri" w:cs="Calibri"/>
          <w:noProof/>
          <w:kern w:val="0"/>
          <w:sz w:val="22"/>
          <w:szCs w:val="22"/>
          <w:lang w:val="en-US"/>
        </w:rPr>
        <w:tab/>
        <w:t>Polita F, Madureira L. Transitions Towards Sustainability in Corporate Agriculture: agro-ecological innovation in Douro viticulture, Portugal. Rev Econ e Sociol Rural [Internet]. 2022 [cited 2023 Apr 10];60(2):1–21. Available from: https://doi.org/10.1590/1806-9479.2021.236238</w:t>
      </w:r>
    </w:p>
    <w:p w14:paraId="4FA8F2BC"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s-ES"/>
        </w:rPr>
      </w:pPr>
      <w:r w:rsidRPr="00BB0A35">
        <w:rPr>
          <w:rFonts w:ascii="Calibri" w:hAnsi="Calibri" w:cs="Calibri"/>
          <w:noProof/>
          <w:kern w:val="0"/>
          <w:sz w:val="22"/>
          <w:szCs w:val="22"/>
          <w:lang w:val="en-US"/>
        </w:rPr>
        <w:t xml:space="preserve">34. </w:t>
      </w:r>
      <w:r w:rsidRPr="00BB0A35">
        <w:rPr>
          <w:rFonts w:ascii="Calibri" w:hAnsi="Calibri" w:cs="Calibri"/>
          <w:noProof/>
          <w:kern w:val="0"/>
          <w:sz w:val="22"/>
          <w:szCs w:val="22"/>
          <w:lang w:val="en-US"/>
        </w:rPr>
        <w:tab/>
        <w:t xml:space="preserve">Mattioni D, Milbourne P, Sonnino R. Destabilizing the food regime “from within”: Tools and strategies used by urban food policy actors. </w:t>
      </w:r>
      <w:r w:rsidRPr="00BB0A35">
        <w:rPr>
          <w:rFonts w:ascii="Calibri" w:hAnsi="Calibri" w:cs="Calibri"/>
          <w:noProof/>
          <w:kern w:val="0"/>
          <w:sz w:val="22"/>
          <w:szCs w:val="22"/>
          <w:lang w:val="es-ES"/>
        </w:rPr>
        <w:t xml:space="preserve">Environ Innov Soc Transitions. 2022 Sep 1;44:48–59. </w:t>
      </w:r>
    </w:p>
    <w:p w14:paraId="1F75033F"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s-ES"/>
        </w:rPr>
        <w:t xml:space="preserve">35. </w:t>
      </w:r>
      <w:r w:rsidRPr="00BB0A35">
        <w:rPr>
          <w:rFonts w:ascii="Calibri" w:hAnsi="Calibri" w:cs="Calibri"/>
          <w:noProof/>
          <w:kern w:val="0"/>
          <w:sz w:val="22"/>
          <w:szCs w:val="22"/>
          <w:lang w:val="es-ES"/>
        </w:rPr>
        <w:tab/>
        <w:t xml:space="preserve">Giagnocavo C, de Cara-García M, González M, Juan M, Marín-Guirao JI, Mehrabi S, et al. </w:t>
      </w:r>
      <w:r w:rsidRPr="00BB0A35">
        <w:rPr>
          <w:rFonts w:ascii="Calibri" w:hAnsi="Calibri" w:cs="Calibri"/>
          <w:noProof/>
          <w:kern w:val="0"/>
          <w:sz w:val="22"/>
          <w:szCs w:val="22"/>
          <w:lang w:val="en-US"/>
        </w:rPr>
        <w:t>Reconnecting Farmers with Nature through Agroecological Transitions: Interacting Niches and Experimentation and the Role of Agricultural Knowledge and Innovation Systems. Agric [Internet]. 2022 Jan 20 [cited 2023 Apr 12];12(2):137. Available from: https://www.mdpi.com/2077-0472/12/2/137/htm</w:t>
      </w:r>
    </w:p>
    <w:p w14:paraId="670A3F68"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36. </w:t>
      </w:r>
      <w:r w:rsidRPr="00BB0A35">
        <w:rPr>
          <w:rFonts w:ascii="Calibri" w:hAnsi="Calibri" w:cs="Calibri"/>
          <w:noProof/>
          <w:kern w:val="0"/>
          <w:sz w:val="22"/>
          <w:szCs w:val="22"/>
          <w:lang w:val="en-US"/>
        </w:rPr>
        <w:tab/>
        <w:t xml:space="preserve">Sarabia N, Peris J, Segura S. Transition to agri-food sustainability, assessing accelerators and triggers for transformation: Case study in Valencia, Spain. J Clean Prod. 2021 Nov 20;325:129228. </w:t>
      </w:r>
    </w:p>
    <w:p w14:paraId="0F2F697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37. </w:t>
      </w:r>
      <w:r w:rsidRPr="00BB0A35">
        <w:rPr>
          <w:rFonts w:ascii="Calibri" w:hAnsi="Calibri" w:cs="Calibri"/>
          <w:noProof/>
          <w:kern w:val="0"/>
          <w:sz w:val="22"/>
          <w:szCs w:val="22"/>
          <w:lang w:val="en-US"/>
        </w:rPr>
        <w:tab/>
        <w:t xml:space="preserve">Rossi A, Bui S, Marsden T. Redefining power relations in agrifood systems. J Rural Stud. 2019 May 1;68:147–58. </w:t>
      </w:r>
    </w:p>
    <w:p w14:paraId="28EE27FE"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38. </w:t>
      </w:r>
      <w:r w:rsidRPr="00BB0A35">
        <w:rPr>
          <w:rFonts w:ascii="Calibri" w:hAnsi="Calibri" w:cs="Calibri"/>
          <w:noProof/>
          <w:kern w:val="0"/>
          <w:sz w:val="22"/>
          <w:szCs w:val="22"/>
          <w:lang w:val="en-US"/>
        </w:rPr>
        <w:tab/>
        <w:t xml:space="preserve">Gaddis JE, Jeon J. Sustainability transitions in agri-food systems: insights from South Korea’s universal free, eco-friendly school lunch program. Agric Human Values. 2020;37(4):1055–71. </w:t>
      </w:r>
    </w:p>
    <w:p w14:paraId="5380F75D"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39. </w:t>
      </w:r>
      <w:r w:rsidRPr="00BB0A35">
        <w:rPr>
          <w:rFonts w:ascii="Calibri" w:hAnsi="Calibri" w:cs="Calibri"/>
          <w:noProof/>
          <w:kern w:val="0"/>
          <w:sz w:val="22"/>
          <w:szCs w:val="22"/>
          <w:lang w:val="en-US"/>
        </w:rPr>
        <w:tab/>
        <w:t xml:space="preserve">Lamine C, Renting H, Rossi A, Han Wiskerke JSC, Brunori G. Agri-Food systems and territorial development: Innovations, new dynamics and changing governance mechanisms. In: Farming Systems Research into the 21st Century: The New Dynamic. 2012. </w:t>
      </w:r>
    </w:p>
    <w:p w14:paraId="159E9E8D"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40. </w:t>
      </w:r>
      <w:r w:rsidRPr="00BB0A35">
        <w:rPr>
          <w:rFonts w:ascii="Calibri" w:hAnsi="Calibri" w:cs="Calibri"/>
          <w:noProof/>
          <w:kern w:val="0"/>
          <w:sz w:val="22"/>
          <w:szCs w:val="22"/>
          <w:lang w:val="en-US"/>
        </w:rPr>
        <w:tab/>
        <w:t>Schiller K, Godek W, Klerkx L, Poortvliet PM. Nicaragua’s agroecological transition: Transformation or reconfiguration of the agri-food regime? Agroecol Sustain Food Syst [Internet]. 2020 May 27 [cited 2021 Mar 23];44(5):611–28. Available from: https://www.tandfonline.com/doi/full/10.1080/21683565.2019.1667939</w:t>
      </w:r>
    </w:p>
    <w:p w14:paraId="0135530E"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41. </w:t>
      </w:r>
      <w:r w:rsidRPr="00BB0A35">
        <w:rPr>
          <w:rFonts w:ascii="Calibri" w:hAnsi="Calibri" w:cs="Calibri"/>
          <w:noProof/>
          <w:kern w:val="0"/>
          <w:sz w:val="22"/>
          <w:szCs w:val="22"/>
          <w:lang w:val="en-US"/>
        </w:rPr>
        <w:tab/>
        <w:t>Clapp J, Purugganan J. Contextualizing corporate control in the agrifood and extractive sectors. Globalizations [Internet]. 2020 Oct 2 [cited 2020 Jul 7];17(7):1265–75. Available from: https://www.tandfonline.com/doi/full/10.1080/14747731.2020.1783814</w:t>
      </w:r>
    </w:p>
    <w:p w14:paraId="75BFECA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42. </w:t>
      </w:r>
      <w:r w:rsidRPr="00BB0A35">
        <w:rPr>
          <w:rFonts w:ascii="Calibri" w:hAnsi="Calibri" w:cs="Calibri"/>
          <w:noProof/>
          <w:kern w:val="0"/>
          <w:sz w:val="22"/>
          <w:szCs w:val="22"/>
          <w:lang w:val="en-US"/>
        </w:rPr>
        <w:tab/>
        <w:t>Stuckler D, Nestle M. Big Food, Food Systems, and Global Health. PLoS Med [Internet]. 2012 Jun 19 [cited 2023 Mar 27];9(6):e1001242. Available from: https://journals.plos.org/plosmedicine/article?id=10.1371/journal.pmed.1001242</w:t>
      </w:r>
    </w:p>
    <w:p w14:paraId="5EE738E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43. </w:t>
      </w:r>
      <w:r w:rsidRPr="00BB0A35">
        <w:rPr>
          <w:rFonts w:ascii="Calibri" w:hAnsi="Calibri" w:cs="Calibri"/>
          <w:noProof/>
          <w:kern w:val="0"/>
          <w:sz w:val="22"/>
          <w:szCs w:val="22"/>
          <w:lang w:val="en-US"/>
        </w:rPr>
        <w:tab/>
        <w:t xml:space="preserve">Macfadyen S, Tylianakis JM, Letourneau DK, Benton TG, Tittonell P, Perring MP, et al. The role of food retailers in improving resilience in global food supply. Glob Food Sec. 2015 Dec 1;7:1–8. </w:t>
      </w:r>
    </w:p>
    <w:p w14:paraId="677E1688"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44. </w:t>
      </w:r>
      <w:r w:rsidRPr="00BB0A35">
        <w:rPr>
          <w:rFonts w:ascii="Calibri" w:hAnsi="Calibri" w:cs="Calibri"/>
          <w:noProof/>
          <w:kern w:val="0"/>
          <w:sz w:val="22"/>
          <w:szCs w:val="22"/>
          <w:lang w:val="en-US"/>
        </w:rPr>
        <w:tab/>
        <w:t xml:space="preserve">Wesz Junior VJ. Soybean production in Paraguay: Agribusiness, economic change and agrarian transformations. J Agrar Chang. 2022 Apr 1;22(2):317–40. </w:t>
      </w:r>
    </w:p>
    <w:p w14:paraId="6B3356D7"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45. </w:t>
      </w:r>
      <w:r w:rsidRPr="00BB0A35">
        <w:rPr>
          <w:rFonts w:ascii="Calibri" w:hAnsi="Calibri" w:cs="Calibri"/>
          <w:noProof/>
          <w:kern w:val="0"/>
          <w:sz w:val="22"/>
          <w:szCs w:val="22"/>
          <w:lang w:val="en-US"/>
        </w:rPr>
        <w:tab/>
        <w:t>Carlson C. Agrarian structure and underdevelopment in Latin America: Bringing the latifundio “Back in.” Lat Am Res Rev [Internet]. 2019 Sep 1 [cited 2023 Apr 11];54(3):678–93. Available from: https://www-cambridge.ez31.periodicos.capes.gov.br/core/journals/latin-american-research-review/article/agrarian-structure-and-underdevelopment-in-latin-america-bringing-the-latifundio-back-in/787CEE05C261E475380F5297F6FF07B7</w:t>
      </w:r>
    </w:p>
    <w:p w14:paraId="2B97647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46. </w:t>
      </w:r>
      <w:r w:rsidRPr="00BB0A35">
        <w:rPr>
          <w:rFonts w:ascii="Calibri" w:hAnsi="Calibri" w:cs="Calibri"/>
          <w:noProof/>
          <w:kern w:val="0"/>
          <w:sz w:val="22"/>
          <w:szCs w:val="22"/>
          <w:lang w:val="en-US"/>
        </w:rPr>
        <w:tab/>
        <w:t xml:space="preserve">Sauer S. Soy expansion into the agricultural frontiers of the Brazilian Amazon: The agribusiness economy and its social and environmental conflicts. Land use policy. 2018 Dec 1;79:326–38. </w:t>
      </w:r>
    </w:p>
    <w:p w14:paraId="69F66539"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47. </w:t>
      </w:r>
      <w:r w:rsidRPr="00BB0A35">
        <w:rPr>
          <w:rFonts w:ascii="Calibri" w:hAnsi="Calibri" w:cs="Calibri"/>
          <w:noProof/>
          <w:kern w:val="0"/>
          <w:sz w:val="22"/>
          <w:szCs w:val="22"/>
          <w:lang w:val="en-US"/>
        </w:rPr>
        <w:tab/>
        <w:t xml:space="preserve">Nieto-Matiz C. Democracy in the countryside: The rural sources of violence against voters in Colombia. J Peace Res. 2019 Mar 1;56(2):264–78. </w:t>
      </w:r>
    </w:p>
    <w:p w14:paraId="2C9631CC"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48. </w:t>
      </w:r>
      <w:r w:rsidRPr="00BB0A35">
        <w:rPr>
          <w:rFonts w:ascii="Calibri" w:hAnsi="Calibri" w:cs="Calibri"/>
          <w:noProof/>
          <w:kern w:val="0"/>
          <w:sz w:val="22"/>
          <w:szCs w:val="22"/>
          <w:lang w:val="en-US"/>
        </w:rPr>
        <w:tab/>
        <w:t>Béné C. Why the Great Food Transformation may not happen – A deep-dive into our food systems’ political economy, controversies and politics of evidence. World Dev [Internet]. 2022 Jun 1 [cited 2022 Jun 3];154:105881. Available from: https://linkinghub.elsevier.com/retrieve/pii/S0305750X22000717</w:t>
      </w:r>
    </w:p>
    <w:p w14:paraId="19011CC7"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49. </w:t>
      </w:r>
      <w:r w:rsidRPr="00BB0A35">
        <w:rPr>
          <w:rFonts w:ascii="Calibri" w:hAnsi="Calibri" w:cs="Calibri"/>
          <w:noProof/>
          <w:kern w:val="0"/>
          <w:sz w:val="22"/>
          <w:szCs w:val="22"/>
          <w:lang w:val="en-US"/>
        </w:rPr>
        <w:tab/>
        <w:t>Jacques PJ. Civil society, corporate power, and food security: counter-revolutionary efforts that limit social change. J Environ Stud Sci [Internet]. 2015 Sep 5 [cited 2022 Dec 12];5(3):432–44. Available from: https://link-springer-com.ez31.periodicos.capes.gov.br/article/10.1007/s13412-015-0294-0</w:t>
      </w:r>
    </w:p>
    <w:p w14:paraId="5AB9C493"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50. </w:t>
      </w:r>
      <w:r w:rsidRPr="00BB0A35">
        <w:rPr>
          <w:rFonts w:ascii="Calibri" w:hAnsi="Calibri" w:cs="Calibri"/>
          <w:noProof/>
          <w:kern w:val="0"/>
          <w:sz w:val="22"/>
          <w:szCs w:val="22"/>
          <w:lang w:val="en-US"/>
        </w:rPr>
        <w:tab/>
        <w:t>Niederle P, Grisa C, Picolotto EL, Soldera D. Narrative disputes over family-farming public policies in Brazil: Conservative attacks and restricted countermovements. Lat Am Res Rev [Internet]. 2019 Sep 1 [cited 2022 Feb 21];54(3):707–20. Available from: http://larrlasa.org/articles/10.25222/larr.366/</w:t>
      </w:r>
    </w:p>
    <w:p w14:paraId="23B723C8"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51. </w:t>
      </w:r>
      <w:r w:rsidRPr="00BB0A35">
        <w:rPr>
          <w:rFonts w:ascii="Calibri" w:hAnsi="Calibri" w:cs="Calibri"/>
          <w:noProof/>
          <w:kern w:val="0"/>
          <w:sz w:val="22"/>
          <w:szCs w:val="22"/>
          <w:lang w:val="en-US"/>
        </w:rPr>
        <w:tab/>
        <w:t>Maluf RS, Burlandy L, Cintrão RP, Jomalinis E, Carvalho TCO, Tribaldos T. Sustainability, justice and equity in food systems: Ideas and proposals in dispute in Brazil. Environ Innov Soc Transitions [Internet]. 2022 Dec 1 [cited 2023 Mar 24];45:183–99. Available from: https://linkinghub.elsevier.com/retrieve/pii/S2210422422000958</w:t>
      </w:r>
    </w:p>
    <w:p w14:paraId="43E4641B"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52. </w:t>
      </w:r>
      <w:r w:rsidRPr="00BB0A35">
        <w:rPr>
          <w:rFonts w:ascii="Calibri" w:hAnsi="Calibri" w:cs="Calibri"/>
          <w:noProof/>
          <w:kern w:val="0"/>
          <w:sz w:val="22"/>
          <w:szCs w:val="22"/>
          <w:lang w:val="en-US"/>
        </w:rPr>
        <w:tab/>
        <w:t>Johnstone P, Newell P. Sustainability transitions and the state. Environ Innov Soc Transitions [Internet]. 2018 Jun [cited 2023 Apr 4];27:72–82. Available from: http://dx.doi.org/10.1016/j.eist.2017.10.006</w:t>
      </w:r>
    </w:p>
    <w:p w14:paraId="2BE13F58"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53. </w:t>
      </w:r>
      <w:r w:rsidRPr="00BB0A35">
        <w:rPr>
          <w:rFonts w:ascii="Calibri" w:hAnsi="Calibri" w:cs="Calibri"/>
          <w:noProof/>
          <w:kern w:val="0"/>
          <w:sz w:val="22"/>
          <w:szCs w:val="22"/>
          <w:lang w:val="en-US"/>
        </w:rPr>
        <w:tab/>
        <w:t>Newell P. Trasformismo or transformation? The global political economy of energy transitions. Rev Int Polit Econ [Internet]. 2019 [cited 2023 Apr 9];26(1):25–48. Available from: https://www.tandfonline.com/action/journalInformation?journalCode=rrip20</w:t>
      </w:r>
    </w:p>
    <w:p w14:paraId="7B47DD25"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54. </w:t>
      </w:r>
      <w:r w:rsidRPr="00BB0A35">
        <w:rPr>
          <w:rFonts w:ascii="Calibri" w:hAnsi="Calibri" w:cs="Calibri"/>
          <w:noProof/>
          <w:kern w:val="0"/>
          <w:sz w:val="22"/>
          <w:szCs w:val="22"/>
          <w:lang w:val="en-US"/>
        </w:rPr>
        <w:tab/>
        <w:t>Newell P. Bio-hegemony: The political economy of agricultural biotechnology in Argentina. J Lat Am Stud [Internet]. 2009 [cited 2023 Apr 25];41(1):27–57. Available from: https://www-cambridge.ez31.periodicos.capes.gov.br/core/journals/journal-of-latin-american-studies/article/biohegemony-the-political-economy-of-agricultural-biotechnology-in-argentina/39A7B0C5A631BB2BCE1195A6C31132A5</w:t>
      </w:r>
    </w:p>
    <w:p w14:paraId="0EFBCDE7"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55. </w:t>
      </w:r>
      <w:r w:rsidRPr="00BB0A35">
        <w:rPr>
          <w:rFonts w:ascii="Calibri" w:hAnsi="Calibri" w:cs="Calibri"/>
          <w:noProof/>
          <w:kern w:val="0"/>
          <w:sz w:val="22"/>
          <w:szCs w:val="22"/>
          <w:lang w:val="en-US"/>
        </w:rPr>
        <w:tab/>
        <w:t>Levy DL, Newell PJ. Business Strategy and International Environmental Governance: Toward a Neo-Gramscian Synthesis. Glob Environ Polit [Internet]. 2002 Nov 1 [cited 2023 Apr 27];2(4):84–101. Available from: https://direct.mit.edu/glep/article/2/4/84/14184/Business-Strategy-and-International-Environmental</w:t>
      </w:r>
    </w:p>
    <w:p w14:paraId="6D16DB53"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56. </w:t>
      </w:r>
      <w:r w:rsidRPr="00BB0A35">
        <w:rPr>
          <w:rFonts w:ascii="Calibri" w:hAnsi="Calibri" w:cs="Calibri"/>
          <w:noProof/>
          <w:kern w:val="0"/>
          <w:sz w:val="22"/>
          <w:szCs w:val="22"/>
          <w:lang w:val="en-US"/>
        </w:rPr>
        <w:tab/>
        <w:t>Bastos Lima MG. Corporate Power in the Bioeconomy Transition: The Policies and Politics of Conservative Ecological Modernization in Brazil. Sustainability [Internet]. 2021 Jun 21 [cited 2022 Jun 3];13(12):6952. Available from: https://www.mdpi.com/2071-1050/13/12/6952/htm</w:t>
      </w:r>
    </w:p>
    <w:p w14:paraId="20E8F923"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57. </w:t>
      </w:r>
      <w:r w:rsidRPr="00BB0A35">
        <w:rPr>
          <w:rFonts w:ascii="Calibri" w:hAnsi="Calibri" w:cs="Calibri"/>
          <w:noProof/>
          <w:kern w:val="0"/>
          <w:sz w:val="22"/>
          <w:szCs w:val="22"/>
          <w:lang w:val="en-US"/>
        </w:rPr>
        <w:tab/>
        <w:t>Levy DL, Egan D. A Neo-Gramscian Approach to Corporate Political Strategy: Conflict and Accommodation in the Climate Change Negotiations*. J Manag Stud [Internet]. 2003 Jun 1 [cited 2023 Apr 27];40(4):803–29. Available from: https://onlinelibrary.wiley.com/doi/full/10.1111/1467-6486.00361</w:t>
      </w:r>
    </w:p>
    <w:p w14:paraId="24AA8277"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58. </w:t>
      </w:r>
      <w:r w:rsidRPr="00BB0A35">
        <w:rPr>
          <w:rFonts w:ascii="Calibri" w:hAnsi="Calibri" w:cs="Calibri"/>
          <w:noProof/>
          <w:kern w:val="0"/>
          <w:sz w:val="22"/>
          <w:szCs w:val="22"/>
          <w:lang w:val="en-US"/>
        </w:rPr>
        <w:tab/>
        <w:t>Schnurr MA. Biotechnology and bio-hegemony in Uganda: unraveling the social relations underpinning the promotion of genetically modified crops into new African markets. J Peasant Stud [Internet]. 2013 Jul [cited 2023 May 1];40(4):639–58. Available from: https://www-tandfonline.ez31.periodicos.capes.gov.br/doi/abs/10.1080/03066150.2013.814106</w:t>
      </w:r>
    </w:p>
    <w:p w14:paraId="3C5BE56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59. </w:t>
      </w:r>
      <w:r w:rsidRPr="00BB0A35">
        <w:rPr>
          <w:rFonts w:ascii="Calibri" w:hAnsi="Calibri" w:cs="Calibri"/>
          <w:noProof/>
          <w:kern w:val="0"/>
          <w:sz w:val="22"/>
          <w:szCs w:val="22"/>
          <w:lang w:val="en-US"/>
        </w:rPr>
        <w:tab/>
        <w:t>Jakobsen J. Neoliberalising the food regime ‘amongst its others’: the right to food and the state in India. J Peasant Stud [Internet]. 2019 Sep 19 [cited 2023 Apr 8];46(6):1219–39. Available from: https://www.tandfonline.com/action/journalInformation?journalCode=fjps20</w:t>
      </w:r>
    </w:p>
    <w:p w14:paraId="2C7C4F8D"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60. </w:t>
      </w:r>
      <w:r w:rsidRPr="00BB0A35">
        <w:rPr>
          <w:rFonts w:ascii="Calibri" w:hAnsi="Calibri" w:cs="Calibri"/>
          <w:noProof/>
          <w:kern w:val="0"/>
          <w:sz w:val="22"/>
          <w:szCs w:val="22"/>
        </w:rPr>
        <w:tab/>
        <w:t xml:space="preserve">Bruno R. O processo de construção da hegemonia do agronegócio no Brasil: recorrências históricas e habitus de classe. </w:t>
      </w:r>
      <w:r w:rsidRPr="00BB0A35">
        <w:rPr>
          <w:rFonts w:ascii="Calibri" w:hAnsi="Calibri" w:cs="Calibri"/>
          <w:noProof/>
          <w:kern w:val="0"/>
          <w:sz w:val="22"/>
          <w:szCs w:val="22"/>
          <w:lang w:val="en-US"/>
        </w:rPr>
        <w:t>Rev Trab Necessário [Internet]. 2022 Mar 29 [cited 2023 Mar 19];20(41):01–26. Available from: https://periodicos.uff.br/trabalhonecessario/article/view/52566/31501</w:t>
      </w:r>
    </w:p>
    <w:p w14:paraId="3804915D"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61. </w:t>
      </w:r>
      <w:r w:rsidRPr="00BB0A35">
        <w:rPr>
          <w:rFonts w:ascii="Calibri" w:hAnsi="Calibri" w:cs="Calibri"/>
          <w:noProof/>
          <w:kern w:val="0"/>
          <w:sz w:val="22"/>
          <w:szCs w:val="22"/>
          <w:lang w:val="en-US"/>
        </w:rPr>
        <w:tab/>
        <w:t>Stuart D, Houser M. Producing Compliant Polluters: Seed Companies and Nitrogen Fertilizer Application in U.S. Corn Agriculture. Rural Sociol [Internet]. 2018 Dec 1 [cited 2023 Apr 27];83(4):857–81. Available from: https://onlinelibrary-wiley.ez31.periodicos.capes.gov.br/doi/full/10.1111/ruso.12212</w:t>
      </w:r>
    </w:p>
    <w:p w14:paraId="22497F05"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rPr>
      </w:pPr>
      <w:r w:rsidRPr="00BB0A35">
        <w:rPr>
          <w:rFonts w:ascii="Calibri" w:hAnsi="Calibri" w:cs="Calibri"/>
          <w:noProof/>
          <w:kern w:val="0"/>
          <w:sz w:val="22"/>
          <w:szCs w:val="22"/>
          <w:lang w:val="en-US"/>
        </w:rPr>
        <w:t xml:space="preserve">62. </w:t>
      </w:r>
      <w:r w:rsidRPr="00BB0A35">
        <w:rPr>
          <w:rFonts w:ascii="Calibri" w:hAnsi="Calibri" w:cs="Calibri"/>
          <w:noProof/>
          <w:kern w:val="0"/>
          <w:sz w:val="22"/>
          <w:szCs w:val="22"/>
          <w:lang w:val="en-US"/>
        </w:rPr>
        <w:tab/>
        <w:t xml:space="preserve">Gramsci A. Selections from the Prison Notebooks. Hoare Q, Smith GN, editors. </w:t>
      </w:r>
      <w:r w:rsidRPr="00BB0A35">
        <w:rPr>
          <w:rFonts w:ascii="Calibri" w:hAnsi="Calibri" w:cs="Calibri"/>
          <w:noProof/>
          <w:kern w:val="0"/>
          <w:sz w:val="22"/>
          <w:szCs w:val="22"/>
        </w:rPr>
        <w:t xml:space="preserve">London: ElecBook; 1999. 846 p. </w:t>
      </w:r>
    </w:p>
    <w:p w14:paraId="789A9B4F"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63. </w:t>
      </w:r>
      <w:r w:rsidRPr="00BB0A35">
        <w:rPr>
          <w:rFonts w:ascii="Calibri" w:hAnsi="Calibri" w:cs="Calibri"/>
          <w:noProof/>
          <w:kern w:val="0"/>
          <w:sz w:val="22"/>
          <w:szCs w:val="22"/>
        </w:rPr>
        <w:tab/>
        <w:t xml:space="preserve">Pompeia C. “Agro é tudo”: simulações no aparato de legitimação do agronegócio. </w:t>
      </w:r>
      <w:r w:rsidRPr="00BB0A35">
        <w:rPr>
          <w:rFonts w:ascii="Calibri" w:hAnsi="Calibri" w:cs="Calibri"/>
          <w:noProof/>
          <w:kern w:val="0"/>
          <w:sz w:val="22"/>
          <w:szCs w:val="22"/>
          <w:lang w:val="en-US"/>
        </w:rPr>
        <w:t>Horizontes Antropológicos [Internet]. 2020 Mar 27 [cited 2023 May 1];26(56):195–224. Available from: http://www.scielo.br/j/ha/a/xjhwQdTB5jVzgPqjnSCfGvQ/?lang=pt</w:t>
      </w:r>
    </w:p>
    <w:p w14:paraId="5E452440"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64. </w:t>
      </w:r>
      <w:r w:rsidRPr="00BB0A35">
        <w:rPr>
          <w:rFonts w:ascii="Calibri" w:hAnsi="Calibri" w:cs="Calibri"/>
          <w:noProof/>
          <w:kern w:val="0"/>
          <w:sz w:val="22"/>
          <w:szCs w:val="22"/>
          <w:lang w:val="en-US"/>
        </w:rPr>
        <w:tab/>
        <w:t>Pompeia C, Schneider S. The different food narratives of agribusiness. Desenvolv e Meio Ambient [Internet]. 2021 Jun 30 [cited 2023 May 1];57(0):175–98. Available from: https://revistas.ufpr.br/made/article/view/77248</w:t>
      </w:r>
    </w:p>
    <w:p w14:paraId="1D8CA383"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65. </w:t>
      </w:r>
      <w:r w:rsidRPr="00BB0A35">
        <w:rPr>
          <w:rFonts w:ascii="Calibri" w:hAnsi="Calibri" w:cs="Calibri"/>
          <w:noProof/>
          <w:kern w:val="0"/>
          <w:sz w:val="22"/>
          <w:szCs w:val="22"/>
          <w:lang w:val="en-US"/>
        </w:rPr>
        <w:tab/>
        <w:t>Clapp J, Scrinis G. Big Food, Nutritionism, and Corporate Power. http://dx-doi.ez31.periodicos.capes.gov.br/101080/1474773120161239806 [Internet]. 2016 Jun 7 [cited 2023 May 1];14(4):578–95. Available from: https://www-tandfonline.ez31.periodicos.capes.gov.br/doi/abs/10.1080/14747731.2016.1239806</w:t>
      </w:r>
    </w:p>
    <w:p w14:paraId="3769A086"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66. </w:t>
      </w:r>
      <w:r w:rsidRPr="00BB0A35">
        <w:rPr>
          <w:rFonts w:ascii="Calibri" w:hAnsi="Calibri" w:cs="Calibri"/>
          <w:noProof/>
          <w:kern w:val="0"/>
          <w:sz w:val="22"/>
          <w:szCs w:val="22"/>
        </w:rPr>
        <w:tab/>
        <w:t xml:space="preserve">Rocha PV, Barbosa R. Criminalizar é governar: Uma proposta teórica para a compreensão da criminalização dos movimentos sociais do campo no Brasil. </w:t>
      </w:r>
      <w:r w:rsidRPr="00BB0A35">
        <w:rPr>
          <w:rFonts w:ascii="Calibri" w:hAnsi="Calibri" w:cs="Calibri"/>
          <w:noProof/>
          <w:kern w:val="0"/>
          <w:sz w:val="22"/>
          <w:szCs w:val="22"/>
          <w:lang w:val="en-US"/>
        </w:rPr>
        <w:t>Colomb Int [Internet]. 2018 Jan 1 [cited 2023 May 1];93(93):205–32. Available from: https://revistas.uniandes.edu.co/index.php/colombia-int/article/view/2862/1520</w:t>
      </w:r>
    </w:p>
    <w:p w14:paraId="6A3FF68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67. </w:t>
      </w:r>
      <w:r w:rsidRPr="00BB0A35">
        <w:rPr>
          <w:rFonts w:ascii="Calibri" w:hAnsi="Calibri" w:cs="Calibri"/>
          <w:noProof/>
          <w:kern w:val="0"/>
          <w:sz w:val="22"/>
          <w:szCs w:val="22"/>
          <w:lang w:val="en-US"/>
        </w:rPr>
        <w:tab/>
        <w:t>Penados F, Gahman L, Smith S-J. Land, race, and (slow) violence: Indigenous resistance to racial capitalism and the coloniality of development in the Caribbean. Geoforum [Internet]. 2022 Jul 16 [cited 2023 May 1]; Available from: https://linkinghub.elsevier.com/retrieve/pii/S0016718522001397</w:t>
      </w:r>
    </w:p>
    <w:p w14:paraId="32E1FF60"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68. </w:t>
      </w:r>
      <w:r w:rsidRPr="00BB0A35">
        <w:rPr>
          <w:rFonts w:ascii="Calibri" w:hAnsi="Calibri" w:cs="Calibri"/>
          <w:noProof/>
          <w:kern w:val="0"/>
          <w:sz w:val="22"/>
          <w:szCs w:val="22"/>
          <w:lang w:val="en-US"/>
        </w:rPr>
        <w:tab/>
        <w:t>Sauer S, Mészáros G. The political economy of land struggle in Brazil under Workers’ Party governments. J Agrar Chang [Internet]. 2017 Apr 1 [cited 2023 May 1];17(2):397–414. Available from: https://onlinelibrary-wiley.ez31.periodicos.capes.gov.br/doi/full/10.1111/joac.12206</w:t>
      </w:r>
    </w:p>
    <w:p w14:paraId="230EC74A"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69. </w:t>
      </w:r>
      <w:r w:rsidRPr="00BB0A35">
        <w:rPr>
          <w:rFonts w:ascii="Calibri" w:hAnsi="Calibri" w:cs="Calibri"/>
          <w:noProof/>
          <w:kern w:val="0"/>
          <w:sz w:val="22"/>
          <w:szCs w:val="22"/>
        </w:rPr>
        <w:tab/>
        <w:t xml:space="preserve">Santos ADG dos, Silva DV da, Maciel KN. A campanha publicitária “Agro é tech, agro é pop, agro é tudo”, da Rede Globo de Televisão, como difusora da propaganda sobre o agronegócio no Brasil. </w:t>
      </w:r>
      <w:r w:rsidRPr="00BB0A35">
        <w:rPr>
          <w:rFonts w:ascii="Calibri" w:hAnsi="Calibri" w:cs="Calibri"/>
          <w:noProof/>
          <w:kern w:val="0"/>
          <w:sz w:val="22"/>
          <w:szCs w:val="22"/>
          <w:lang w:val="en-US"/>
        </w:rPr>
        <w:t>Rev Eptic [Internet]. 2019 Mar 18 [cited 2023 May 1];21(1):46–61. Available from: https://seer.ufs.br/index.php/eptic/article/view/10910</w:t>
      </w:r>
    </w:p>
    <w:p w14:paraId="09002B51"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70. </w:t>
      </w:r>
      <w:r w:rsidRPr="00BB0A35">
        <w:rPr>
          <w:rFonts w:ascii="Calibri" w:hAnsi="Calibri" w:cs="Calibri"/>
          <w:noProof/>
          <w:kern w:val="0"/>
          <w:sz w:val="22"/>
          <w:szCs w:val="22"/>
          <w:lang w:val="en-US"/>
        </w:rPr>
        <w:tab/>
        <w:t>Borras SM. Agrarian social movements: The absurdly difficult but not impossible agenda of defeating right-wing populism and exploring a socialist future. J Agrar Chang [Internet]. 2020 Jan 21 [cited 2023 Mar 21];20(1):3–36. Available from: https://onlinelibrary.wiley.com/doi/full/10.1111/joac.12311</w:t>
      </w:r>
    </w:p>
    <w:p w14:paraId="668A7633"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71. </w:t>
      </w:r>
      <w:r w:rsidRPr="00BB0A35">
        <w:rPr>
          <w:rFonts w:ascii="Calibri" w:hAnsi="Calibri" w:cs="Calibri"/>
          <w:noProof/>
          <w:kern w:val="0"/>
          <w:sz w:val="22"/>
          <w:szCs w:val="22"/>
          <w:lang w:val="en-US"/>
        </w:rPr>
        <w:tab/>
        <w:t>Bertuzzi N. Becoming hegemony: The case for the (Italian) animal advocacy and veganwashing operations. J Consum Cult [Internet]. 2022 Feb 6 [cited 2023 May 2];22(1):207–26. Available from: http://journals.sagepub.com/doi/10.1177/1469540520926234</w:t>
      </w:r>
    </w:p>
    <w:p w14:paraId="68E5701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72. </w:t>
      </w:r>
      <w:r w:rsidRPr="00BB0A35">
        <w:rPr>
          <w:rFonts w:ascii="Calibri" w:hAnsi="Calibri" w:cs="Calibri"/>
          <w:noProof/>
          <w:kern w:val="0"/>
          <w:sz w:val="22"/>
          <w:szCs w:val="22"/>
          <w:lang w:val="en-US"/>
        </w:rPr>
        <w:tab/>
        <w:t>Haas T. Comparing energy transitions in Germany and Spain using a political economy perspective. Environ Innov Soc Transitions [Internet]. 2019 Jun [cited 2023 May 5];31:200–10. Available from: https://doi.org/10.1016/j.eist.2018.11.004</w:t>
      </w:r>
    </w:p>
    <w:p w14:paraId="450951CF"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73. </w:t>
      </w:r>
      <w:r w:rsidRPr="00BB0A35">
        <w:rPr>
          <w:rFonts w:ascii="Calibri" w:hAnsi="Calibri" w:cs="Calibri"/>
          <w:noProof/>
          <w:kern w:val="0"/>
          <w:sz w:val="22"/>
          <w:szCs w:val="22"/>
          <w:lang w:val="en-US"/>
        </w:rPr>
        <w:tab/>
        <w:t>Szabo J. Energy transition or transformation? Power and politics in the European natural gas industry’s trasformismo. Energy Res Soc Sci [Internet]. 2022 Feb 1 [cited 2023 May 5];84:102391. Available from: https://linkinghub.elsevier.com/retrieve/pii/S2214629621004795</w:t>
      </w:r>
    </w:p>
    <w:p w14:paraId="119441ED"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74. </w:t>
      </w:r>
      <w:r w:rsidRPr="00BB0A35">
        <w:rPr>
          <w:rFonts w:ascii="Calibri" w:hAnsi="Calibri" w:cs="Calibri"/>
          <w:noProof/>
          <w:kern w:val="0"/>
          <w:sz w:val="22"/>
          <w:szCs w:val="22"/>
          <w:lang w:val="en-US"/>
        </w:rPr>
        <w:tab/>
        <w:t>Clapp J, Noyes I, Grant Z. The Food Systems Summit’s Failure to Address Corporate Power. Dev [Internet]. 2021 Oct 11 [cited 2022 Jun 3];64(3–4):192–8. Available from: https://link-springer-com.ez31.periodicos.capes.gov.br/article/10.1057/s41301-021-00303-2</w:t>
      </w:r>
    </w:p>
    <w:p w14:paraId="7FB1DEC3"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75. </w:t>
      </w:r>
      <w:r w:rsidRPr="00BB0A35">
        <w:rPr>
          <w:rFonts w:ascii="Calibri" w:hAnsi="Calibri" w:cs="Calibri"/>
          <w:noProof/>
          <w:kern w:val="0"/>
          <w:sz w:val="22"/>
          <w:szCs w:val="22"/>
          <w:lang w:val="en-US"/>
        </w:rPr>
        <w:tab/>
        <w:t xml:space="preserve">IDS, IPES-Food. Agroecology, regenerative agriculture, and nature-based solutions: Competing framings of food system sustainability in global policy and funding spaces. 2022. </w:t>
      </w:r>
    </w:p>
    <w:p w14:paraId="65BBCB7C"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76. </w:t>
      </w:r>
      <w:r w:rsidRPr="00BB0A35">
        <w:rPr>
          <w:rFonts w:ascii="Calibri" w:hAnsi="Calibri" w:cs="Calibri"/>
          <w:noProof/>
          <w:kern w:val="0"/>
          <w:sz w:val="22"/>
          <w:szCs w:val="22"/>
          <w:lang w:val="en-US"/>
        </w:rPr>
        <w:tab/>
        <w:t>Rivera-Ferre MG. The resignification process of Agroecology: Competing narratives from governments, civil society and intergovernmental organizations. Agroecol Sustain Food Syst [Internet]. 2018 Jul 3;42(6):666–85. Available from: https://www.tandfonline.com/doi/full/10.1080/21683565.2018.1437498</w:t>
      </w:r>
    </w:p>
    <w:p w14:paraId="707A3C9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77. </w:t>
      </w:r>
      <w:r w:rsidRPr="00BB0A35">
        <w:rPr>
          <w:rFonts w:ascii="Calibri" w:hAnsi="Calibri" w:cs="Calibri"/>
          <w:noProof/>
          <w:kern w:val="0"/>
          <w:sz w:val="22"/>
          <w:szCs w:val="22"/>
          <w:lang w:val="en-US"/>
        </w:rPr>
        <w:tab/>
        <w:t>Giraldo OF, Rosset PM. Agroecology as a territory in dispute: between institutionality and social movements. J Peasant Stud [Internet]. 2018 Mar 19;45(3):545–64. Available from: https://doi.org/10.1080/03066150.2017.1353496</w:t>
      </w:r>
    </w:p>
    <w:p w14:paraId="1C7295CB"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rPr>
        <w:t xml:space="preserve">78. </w:t>
      </w:r>
      <w:r w:rsidRPr="00BB0A35">
        <w:rPr>
          <w:rFonts w:ascii="Calibri" w:hAnsi="Calibri" w:cs="Calibri"/>
          <w:noProof/>
          <w:kern w:val="0"/>
          <w:sz w:val="22"/>
          <w:szCs w:val="22"/>
        </w:rPr>
        <w:tab/>
        <w:t xml:space="preserve">Martins MF. Gramsci, os intelectuais e suas funções científico-filosófica, educativo-cultural e política. </w:t>
      </w:r>
      <w:r w:rsidRPr="00BB0A35">
        <w:rPr>
          <w:rFonts w:ascii="Calibri" w:hAnsi="Calibri" w:cs="Calibri"/>
          <w:noProof/>
          <w:kern w:val="0"/>
          <w:sz w:val="22"/>
          <w:szCs w:val="22"/>
          <w:lang w:val="en-US"/>
        </w:rPr>
        <w:t>Pro-Posições [Internet]. 2011 Dec [cited 2023 May 8];22(3):131–48. Available from: http://www.scielo.br/j/pp/a/FKsBMn3N4njmwQvYW6C3Z5k/?lang=pt</w:t>
      </w:r>
    </w:p>
    <w:p w14:paraId="72E93DD2"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79. </w:t>
      </w:r>
      <w:r w:rsidRPr="00BB0A35">
        <w:rPr>
          <w:rFonts w:ascii="Calibri" w:hAnsi="Calibri" w:cs="Calibri"/>
          <w:noProof/>
          <w:kern w:val="0"/>
          <w:sz w:val="22"/>
          <w:szCs w:val="22"/>
          <w:lang w:val="en-US"/>
        </w:rPr>
        <w:tab/>
        <w:t xml:space="preserve">Meek D, Simonian LTL. Transforming space and society? The political ecology of education in the Brazilian Landless Workers’ Movement’s Jornada de Agroecologa. Environ Plan D Soc Sp. 2017;35(3):513–32. </w:t>
      </w:r>
    </w:p>
    <w:p w14:paraId="78F5A084" w14:textId="77777777" w:rsidR="00BB0A35" w:rsidRPr="00BB0A35" w:rsidRDefault="00BB0A35" w:rsidP="00BB0A35">
      <w:pPr>
        <w:widowControl w:val="0"/>
        <w:autoSpaceDE w:val="0"/>
        <w:autoSpaceDN w:val="0"/>
        <w:adjustRightInd w:val="0"/>
        <w:ind w:left="-709" w:hanging="425"/>
        <w:rPr>
          <w:rFonts w:ascii="Calibri" w:hAnsi="Calibri" w:cs="Calibri"/>
          <w:noProof/>
          <w:kern w:val="0"/>
          <w:sz w:val="22"/>
          <w:szCs w:val="22"/>
          <w:lang w:val="en-US"/>
        </w:rPr>
      </w:pPr>
      <w:r w:rsidRPr="00BB0A35">
        <w:rPr>
          <w:rFonts w:ascii="Calibri" w:hAnsi="Calibri" w:cs="Calibri"/>
          <w:noProof/>
          <w:kern w:val="0"/>
          <w:sz w:val="22"/>
          <w:szCs w:val="22"/>
          <w:lang w:val="en-US"/>
        </w:rPr>
        <w:t xml:space="preserve">80. </w:t>
      </w:r>
      <w:r w:rsidRPr="00BB0A35">
        <w:rPr>
          <w:rFonts w:ascii="Calibri" w:hAnsi="Calibri" w:cs="Calibri"/>
          <w:noProof/>
          <w:kern w:val="0"/>
          <w:sz w:val="22"/>
          <w:szCs w:val="22"/>
          <w:lang w:val="en-US"/>
        </w:rPr>
        <w:tab/>
        <w:t>Robinson WI. Global Capitalism and its Anti-’Human Face’: Organic Intellectuals and Interpretations of the Crisis. Globalizations [Internet]. 2013 Oct [cited 2023 May 8];10(5):659–71. Available from: https://www-tandfonline.ez31.periodicos.capes.gov.br/doi/abs/10.1080/14747731.2013.828966</w:t>
      </w:r>
    </w:p>
    <w:p w14:paraId="021BD248" w14:textId="77777777" w:rsidR="00BB0A35" w:rsidRPr="00BB0A35" w:rsidRDefault="00BB0A35" w:rsidP="00BB0A35">
      <w:pPr>
        <w:widowControl w:val="0"/>
        <w:autoSpaceDE w:val="0"/>
        <w:autoSpaceDN w:val="0"/>
        <w:adjustRightInd w:val="0"/>
        <w:ind w:left="-709" w:hanging="425"/>
        <w:rPr>
          <w:rFonts w:ascii="Calibri" w:hAnsi="Calibri" w:cs="Calibri"/>
          <w:noProof/>
          <w:sz w:val="22"/>
          <w:szCs w:val="22"/>
        </w:rPr>
      </w:pPr>
      <w:r w:rsidRPr="00BB0A35">
        <w:rPr>
          <w:rFonts w:ascii="Calibri" w:hAnsi="Calibri" w:cs="Calibri"/>
          <w:noProof/>
          <w:kern w:val="0"/>
          <w:sz w:val="22"/>
          <w:szCs w:val="22"/>
          <w:lang w:val="en-US"/>
        </w:rPr>
        <w:t xml:space="preserve">81. </w:t>
      </w:r>
      <w:r w:rsidRPr="00BB0A35">
        <w:rPr>
          <w:rFonts w:ascii="Calibri" w:hAnsi="Calibri" w:cs="Calibri"/>
          <w:noProof/>
          <w:kern w:val="0"/>
          <w:sz w:val="22"/>
          <w:szCs w:val="22"/>
          <w:lang w:val="en-US"/>
        </w:rPr>
        <w:tab/>
        <w:t xml:space="preserve">Meek D. Learning as territoriality: the political ecology of education in the Brazilian landless workers’ movement. </w:t>
      </w:r>
      <w:r w:rsidRPr="00BB0A35">
        <w:rPr>
          <w:rFonts w:ascii="Calibri" w:hAnsi="Calibri" w:cs="Calibri"/>
          <w:noProof/>
          <w:kern w:val="0"/>
          <w:sz w:val="22"/>
          <w:szCs w:val="22"/>
        </w:rPr>
        <w:t xml:space="preserve">J Peasant Stud. 2015;42(6):1179–200. </w:t>
      </w:r>
    </w:p>
    <w:p w14:paraId="14EAB092" w14:textId="005EBE0C" w:rsidR="00216EFF" w:rsidRPr="00216EFF" w:rsidRDefault="00BB0A35" w:rsidP="00BB0A35">
      <w:pPr>
        <w:spacing w:line="360" w:lineRule="auto"/>
        <w:ind w:left="-709" w:hanging="425"/>
        <w:rPr>
          <w:rFonts w:eastAsia="Arial" w:cs="Arial"/>
          <w:color w:val="FF0000"/>
        </w:rPr>
      </w:pPr>
      <w:r w:rsidRPr="00BB0A35">
        <w:rPr>
          <w:sz w:val="22"/>
          <w:szCs w:val="22"/>
        </w:rPr>
        <w:fldChar w:fldCharType="end"/>
      </w:r>
    </w:p>
    <w:sectPr w:rsidR="00216EFF" w:rsidRPr="00216EFF"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B6B27" w14:textId="77777777" w:rsidR="00680A10" w:rsidRDefault="00680A10" w:rsidP="0027518C">
      <w:r>
        <w:separator/>
      </w:r>
    </w:p>
  </w:endnote>
  <w:endnote w:type="continuationSeparator" w:id="0">
    <w:p w14:paraId="00AE2690" w14:textId="77777777" w:rsidR="00680A10" w:rsidRDefault="00680A10"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Footer"/>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C7CBD" w14:textId="77777777" w:rsidR="00680A10" w:rsidRDefault="00680A10" w:rsidP="0027518C">
      <w:r>
        <w:separator/>
      </w:r>
    </w:p>
  </w:footnote>
  <w:footnote w:type="continuationSeparator" w:id="0">
    <w:p w14:paraId="567B1F28" w14:textId="77777777" w:rsidR="00680A10" w:rsidRDefault="00680A10" w:rsidP="0027518C">
      <w:r>
        <w:continuationSeparator/>
      </w:r>
    </w:p>
  </w:footnote>
  <w:footnote w:id="1">
    <w:p w14:paraId="6DBA78B4" w14:textId="66DE9A05" w:rsidR="00216EFF" w:rsidRPr="0018293E" w:rsidRDefault="00216EFF" w:rsidP="00216EFF">
      <w:pPr>
        <w:pStyle w:val="FootnoteText"/>
        <w:rPr>
          <w:rFonts w:ascii="Avenir Book" w:hAnsi="Avenir Book"/>
          <w:lang w:val="pt-BR"/>
        </w:rPr>
      </w:pPr>
      <w:r w:rsidRPr="0018293E">
        <w:rPr>
          <w:rStyle w:val="FootnoteReference"/>
          <w:rFonts w:ascii="Avenir Book" w:hAnsi="Avenir Book"/>
        </w:rPr>
        <w:footnoteRef/>
      </w:r>
      <w:r w:rsidRPr="0018293E">
        <w:rPr>
          <w:rFonts w:ascii="Avenir Book" w:hAnsi="Avenir Book"/>
        </w:rPr>
        <w:t xml:space="preserve"> </w:t>
      </w:r>
      <w:r w:rsidR="00E02178">
        <w:rPr>
          <w:rFonts w:ascii="Avenir Book" w:eastAsia="Arial" w:hAnsi="Avenir Book" w:cs="Arial"/>
        </w:rPr>
        <w:t>Universidade Federal de São Carlos - UFSCar</w:t>
      </w:r>
      <w:r w:rsidRPr="0018293E">
        <w:rPr>
          <w:rFonts w:ascii="Avenir Book" w:eastAsia="Arial" w:hAnsi="Avenir Book" w:cs="Arial"/>
        </w:rPr>
        <w:t xml:space="preserve">, </w:t>
      </w:r>
      <w:r w:rsidR="00E02178">
        <w:rPr>
          <w:rFonts w:ascii="Avenir Book" w:eastAsia="Arial" w:hAnsi="Avenir Book" w:cs="Arial"/>
        </w:rPr>
        <w:t>ricardo.borsatto@ufscar.br</w:t>
      </w:r>
    </w:p>
  </w:footnote>
  <w:footnote w:id="2">
    <w:p w14:paraId="25B57293" w14:textId="5FA0AE6B" w:rsidR="00216EFF" w:rsidRPr="0018293E" w:rsidRDefault="00216EFF" w:rsidP="00216EFF">
      <w:pPr>
        <w:pStyle w:val="FootnoteText"/>
        <w:rPr>
          <w:rFonts w:ascii="Avenir Book" w:hAnsi="Avenir Book"/>
          <w:lang w:val="pt-BR"/>
        </w:rPr>
      </w:pPr>
      <w:r w:rsidRPr="0018293E">
        <w:rPr>
          <w:rStyle w:val="FootnoteReference"/>
          <w:rFonts w:ascii="Avenir Book" w:hAnsi="Avenir Book"/>
        </w:rPr>
        <w:footnoteRef/>
      </w:r>
      <w:r w:rsidRPr="0018293E">
        <w:rPr>
          <w:rFonts w:ascii="Avenir Book" w:hAnsi="Avenir Book"/>
        </w:rPr>
        <w:t xml:space="preserve"> </w:t>
      </w:r>
      <w:proofErr w:type="spellStart"/>
      <w:r w:rsidR="00E02178">
        <w:rPr>
          <w:rFonts w:ascii="Avenir Book" w:eastAsia="Arial" w:hAnsi="Avenir Book" w:cs="Arial"/>
        </w:rPr>
        <w:t>Universitá</w:t>
      </w:r>
      <w:proofErr w:type="spellEnd"/>
      <w:r w:rsidR="00E02178">
        <w:rPr>
          <w:rFonts w:ascii="Avenir Book" w:eastAsia="Arial" w:hAnsi="Avenir Book" w:cs="Arial"/>
        </w:rPr>
        <w:t xml:space="preserve"> </w:t>
      </w:r>
      <w:proofErr w:type="spellStart"/>
      <w:r w:rsidR="00E02178">
        <w:rPr>
          <w:rFonts w:ascii="Avenir Book" w:eastAsia="Arial" w:hAnsi="Avenir Book" w:cs="Arial"/>
        </w:rPr>
        <w:t>di</w:t>
      </w:r>
      <w:proofErr w:type="spellEnd"/>
      <w:r w:rsidR="00E02178">
        <w:rPr>
          <w:rFonts w:ascii="Avenir Book" w:eastAsia="Arial" w:hAnsi="Avenir Book" w:cs="Arial"/>
        </w:rPr>
        <w:t xml:space="preserve"> Pisa</w:t>
      </w:r>
      <w:r w:rsidRPr="0018293E">
        <w:rPr>
          <w:rFonts w:ascii="Avenir Book" w:eastAsia="Arial" w:hAnsi="Avenir Book" w:cs="Arial"/>
        </w:rPr>
        <w:t>.</w:t>
      </w:r>
    </w:p>
  </w:footnote>
  <w:footnote w:id="3">
    <w:p w14:paraId="6EF9B17D" w14:textId="74380075" w:rsidR="00E02178" w:rsidRPr="00E02178" w:rsidRDefault="00E02178">
      <w:pPr>
        <w:pStyle w:val="FootnoteText"/>
        <w:rPr>
          <w:lang w:val="pt-BR"/>
        </w:rPr>
      </w:pPr>
      <w:r>
        <w:rPr>
          <w:rStyle w:val="FootnoteReference"/>
        </w:rPr>
        <w:footnoteRef/>
      </w:r>
      <w:r>
        <w:t xml:space="preserve"> Universidade Federal de Goiás - UFG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A018B"/>
    <w:multiLevelType w:val="multilevel"/>
    <w:tmpl w:val="9EC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C6522"/>
    <w:multiLevelType w:val="multilevel"/>
    <w:tmpl w:val="4664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166F9"/>
    <w:multiLevelType w:val="multilevel"/>
    <w:tmpl w:val="3F84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9D73ED"/>
    <w:multiLevelType w:val="multilevel"/>
    <w:tmpl w:val="5162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65C35"/>
    <w:multiLevelType w:val="multilevel"/>
    <w:tmpl w:val="59C4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6679B"/>
    <w:multiLevelType w:val="multilevel"/>
    <w:tmpl w:val="D52E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6206580">
    <w:abstractNumId w:val="3"/>
  </w:num>
  <w:num w:numId="2" w16cid:durableId="1644694404">
    <w:abstractNumId w:val="0"/>
  </w:num>
  <w:num w:numId="3" w16cid:durableId="38214496">
    <w:abstractNumId w:val="5"/>
  </w:num>
  <w:num w:numId="4" w16cid:durableId="597101283">
    <w:abstractNumId w:val="2"/>
  </w:num>
  <w:num w:numId="5" w16cid:durableId="443968037">
    <w:abstractNumId w:val="1"/>
  </w:num>
  <w:num w:numId="6" w16cid:durableId="1341157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1A1335"/>
    <w:rsid w:val="00206750"/>
    <w:rsid w:val="00216EFF"/>
    <w:rsid w:val="0027518C"/>
    <w:rsid w:val="00295FBE"/>
    <w:rsid w:val="002B2423"/>
    <w:rsid w:val="0032592C"/>
    <w:rsid w:val="0032757F"/>
    <w:rsid w:val="004906DE"/>
    <w:rsid w:val="00507B98"/>
    <w:rsid w:val="0053021A"/>
    <w:rsid w:val="00634370"/>
    <w:rsid w:val="00680A10"/>
    <w:rsid w:val="00692EEB"/>
    <w:rsid w:val="006D5773"/>
    <w:rsid w:val="00733AFB"/>
    <w:rsid w:val="00757F24"/>
    <w:rsid w:val="007E1A52"/>
    <w:rsid w:val="007F6FCF"/>
    <w:rsid w:val="008E7A76"/>
    <w:rsid w:val="009C0A24"/>
    <w:rsid w:val="00A333F2"/>
    <w:rsid w:val="00B61734"/>
    <w:rsid w:val="00BB0A35"/>
    <w:rsid w:val="00D31A9F"/>
    <w:rsid w:val="00D46408"/>
    <w:rsid w:val="00DC033E"/>
    <w:rsid w:val="00E021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Heading1">
    <w:name w:val="heading 1"/>
    <w:basedOn w:val="Normal"/>
    <w:next w:val="Normal"/>
    <w:link w:val="Heading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link w:val="Heading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Heading3">
    <w:name w:val="heading 3"/>
    <w:basedOn w:val="Normal"/>
    <w:next w:val="Normal"/>
    <w:link w:val="Heading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6408"/>
    <w:rPr>
      <w:rFonts w:ascii="Times New Roman" w:eastAsia="Times New Roman" w:hAnsi="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customStyle="1" w:styleId="Heading1Char">
    <w:name w:val="Heading 1 Char"/>
    <w:basedOn w:val="DefaultParagraphFont"/>
    <w:link w:val="Heading1"/>
    <w:uiPriority w:val="9"/>
    <w:rsid w:val="00733AF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33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AFB"/>
    <w:rPr>
      <w:rFonts w:eastAsiaTheme="majorEastAsia" w:cstheme="majorBidi"/>
      <w:color w:val="272727" w:themeColor="text1" w:themeTint="D8"/>
    </w:rPr>
  </w:style>
  <w:style w:type="paragraph" w:styleId="Title">
    <w:name w:val="Title"/>
    <w:basedOn w:val="Normal"/>
    <w:next w:val="Normal"/>
    <w:link w:val="Title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A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AFB"/>
    <w:rPr>
      <w:i/>
      <w:iCs/>
      <w:color w:val="404040" w:themeColor="text1" w:themeTint="BF"/>
    </w:rPr>
  </w:style>
  <w:style w:type="paragraph" w:styleId="ListParagraph">
    <w:name w:val="List Paragraph"/>
    <w:basedOn w:val="Normal"/>
    <w:uiPriority w:val="34"/>
    <w:qFormat/>
    <w:rsid w:val="00733AFB"/>
    <w:pPr>
      <w:ind w:left="720"/>
      <w:contextualSpacing/>
    </w:pPr>
  </w:style>
  <w:style w:type="character" w:styleId="IntenseEmphasis">
    <w:name w:val="Intense Emphasis"/>
    <w:basedOn w:val="DefaultParagraphFont"/>
    <w:uiPriority w:val="21"/>
    <w:qFormat/>
    <w:rsid w:val="00733AFB"/>
    <w:rPr>
      <w:i/>
      <w:iCs/>
      <w:color w:val="0F4761" w:themeColor="accent1" w:themeShade="BF"/>
    </w:rPr>
  </w:style>
  <w:style w:type="paragraph" w:styleId="IntenseQuote">
    <w:name w:val="Intense Quote"/>
    <w:basedOn w:val="Normal"/>
    <w:next w:val="Normal"/>
    <w:link w:val="IntenseQuote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paragraph" w:styleId="Revision">
    <w:name w:val="Revision"/>
    <w:hidden/>
    <w:uiPriority w:val="99"/>
    <w:semiHidden/>
    <w:rsid w:val="00733AFB"/>
  </w:style>
  <w:style w:type="paragraph" w:styleId="NoSpacing">
    <w:name w:val="No Spacing"/>
    <w:link w:val="NoSpacingChar"/>
    <w:uiPriority w:val="1"/>
    <w:qFormat/>
    <w:rsid w:val="0053021A"/>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3021A"/>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27518C"/>
    <w:pPr>
      <w:tabs>
        <w:tab w:val="center" w:pos="4252"/>
        <w:tab w:val="right" w:pos="8504"/>
      </w:tabs>
    </w:pPr>
  </w:style>
  <w:style w:type="character" w:customStyle="1" w:styleId="HeaderChar">
    <w:name w:val="Header Char"/>
    <w:basedOn w:val="DefaultParagraphFont"/>
    <w:link w:val="Header"/>
    <w:uiPriority w:val="99"/>
    <w:rsid w:val="0027518C"/>
  </w:style>
  <w:style w:type="paragraph" w:styleId="Footer">
    <w:name w:val="footer"/>
    <w:basedOn w:val="Normal"/>
    <w:link w:val="FooterChar"/>
    <w:uiPriority w:val="99"/>
    <w:unhideWhenUsed/>
    <w:rsid w:val="0027518C"/>
    <w:pPr>
      <w:tabs>
        <w:tab w:val="center" w:pos="4252"/>
        <w:tab w:val="right" w:pos="8504"/>
      </w:tabs>
    </w:pPr>
  </w:style>
  <w:style w:type="character" w:customStyle="1" w:styleId="FooterChar">
    <w:name w:val="Footer Char"/>
    <w:basedOn w:val="DefaultParagraphFont"/>
    <w:link w:val="Footer"/>
    <w:uiPriority w:val="99"/>
    <w:rsid w:val="0027518C"/>
  </w:style>
  <w:style w:type="paragraph" w:styleId="FootnoteText">
    <w:name w:val="footnote text"/>
    <w:basedOn w:val="Normal"/>
    <w:link w:val="FootnoteText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FootnoteTextChar">
    <w:name w:val="Footnote Text Char"/>
    <w:basedOn w:val="DefaultParagraphFont"/>
    <w:link w:val="FootnoteText"/>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FootnoteReference">
    <w:name w:val="footnote reference"/>
    <w:basedOn w:val="DefaultParagraphFont"/>
    <w:uiPriority w:val="99"/>
    <w:semiHidden/>
    <w:unhideWhenUsed/>
    <w:rsid w:val="00216EFF"/>
    <w:rPr>
      <w:vertAlign w:val="superscript"/>
    </w:rPr>
  </w:style>
  <w:style w:type="character" w:styleId="Hyperlink">
    <w:name w:val="Hyperlink"/>
    <w:basedOn w:val="DefaultParagraphFont"/>
    <w:uiPriority w:val="99"/>
    <w:unhideWhenUsed/>
    <w:rsid w:val="00E02178"/>
    <w:rPr>
      <w:color w:val="467886" w:themeColor="hyperlink"/>
      <w:u w:val="single"/>
    </w:rPr>
  </w:style>
  <w:style w:type="character" w:styleId="UnresolvedMention">
    <w:name w:val="Unresolved Mention"/>
    <w:basedOn w:val="DefaultParagraphFont"/>
    <w:uiPriority w:val="99"/>
    <w:semiHidden/>
    <w:unhideWhenUsed/>
    <w:rsid w:val="00E02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3115">
      <w:bodyDiv w:val="1"/>
      <w:marLeft w:val="0"/>
      <w:marRight w:val="0"/>
      <w:marTop w:val="0"/>
      <w:marBottom w:val="0"/>
      <w:divBdr>
        <w:top w:val="none" w:sz="0" w:space="0" w:color="auto"/>
        <w:left w:val="none" w:sz="0" w:space="0" w:color="auto"/>
        <w:bottom w:val="none" w:sz="0" w:space="0" w:color="auto"/>
        <w:right w:val="none" w:sz="0" w:space="0" w:color="auto"/>
      </w:divBdr>
    </w:div>
    <w:div w:id="112864667">
      <w:bodyDiv w:val="1"/>
      <w:marLeft w:val="0"/>
      <w:marRight w:val="0"/>
      <w:marTop w:val="0"/>
      <w:marBottom w:val="0"/>
      <w:divBdr>
        <w:top w:val="none" w:sz="0" w:space="0" w:color="auto"/>
        <w:left w:val="none" w:sz="0" w:space="0" w:color="auto"/>
        <w:bottom w:val="none" w:sz="0" w:space="0" w:color="auto"/>
        <w:right w:val="none" w:sz="0" w:space="0" w:color="auto"/>
      </w:divBdr>
    </w:div>
    <w:div w:id="137890363">
      <w:bodyDiv w:val="1"/>
      <w:marLeft w:val="0"/>
      <w:marRight w:val="0"/>
      <w:marTop w:val="0"/>
      <w:marBottom w:val="0"/>
      <w:divBdr>
        <w:top w:val="none" w:sz="0" w:space="0" w:color="auto"/>
        <w:left w:val="none" w:sz="0" w:space="0" w:color="auto"/>
        <w:bottom w:val="none" w:sz="0" w:space="0" w:color="auto"/>
        <w:right w:val="none" w:sz="0" w:space="0" w:color="auto"/>
      </w:divBdr>
    </w:div>
    <w:div w:id="170726257">
      <w:bodyDiv w:val="1"/>
      <w:marLeft w:val="0"/>
      <w:marRight w:val="0"/>
      <w:marTop w:val="0"/>
      <w:marBottom w:val="0"/>
      <w:divBdr>
        <w:top w:val="none" w:sz="0" w:space="0" w:color="auto"/>
        <w:left w:val="none" w:sz="0" w:space="0" w:color="auto"/>
        <w:bottom w:val="none" w:sz="0" w:space="0" w:color="auto"/>
        <w:right w:val="none" w:sz="0" w:space="0" w:color="auto"/>
      </w:divBdr>
    </w:div>
    <w:div w:id="176889708">
      <w:bodyDiv w:val="1"/>
      <w:marLeft w:val="0"/>
      <w:marRight w:val="0"/>
      <w:marTop w:val="0"/>
      <w:marBottom w:val="0"/>
      <w:divBdr>
        <w:top w:val="none" w:sz="0" w:space="0" w:color="auto"/>
        <w:left w:val="none" w:sz="0" w:space="0" w:color="auto"/>
        <w:bottom w:val="none" w:sz="0" w:space="0" w:color="auto"/>
        <w:right w:val="none" w:sz="0" w:space="0" w:color="auto"/>
      </w:divBdr>
    </w:div>
    <w:div w:id="304630789">
      <w:bodyDiv w:val="1"/>
      <w:marLeft w:val="0"/>
      <w:marRight w:val="0"/>
      <w:marTop w:val="0"/>
      <w:marBottom w:val="0"/>
      <w:divBdr>
        <w:top w:val="none" w:sz="0" w:space="0" w:color="auto"/>
        <w:left w:val="none" w:sz="0" w:space="0" w:color="auto"/>
        <w:bottom w:val="none" w:sz="0" w:space="0" w:color="auto"/>
        <w:right w:val="none" w:sz="0" w:space="0" w:color="auto"/>
      </w:divBdr>
    </w:div>
    <w:div w:id="325328858">
      <w:bodyDiv w:val="1"/>
      <w:marLeft w:val="0"/>
      <w:marRight w:val="0"/>
      <w:marTop w:val="0"/>
      <w:marBottom w:val="0"/>
      <w:divBdr>
        <w:top w:val="none" w:sz="0" w:space="0" w:color="auto"/>
        <w:left w:val="none" w:sz="0" w:space="0" w:color="auto"/>
        <w:bottom w:val="none" w:sz="0" w:space="0" w:color="auto"/>
        <w:right w:val="none" w:sz="0" w:space="0" w:color="auto"/>
      </w:divBdr>
    </w:div>
    <w:div w:id="421880844">
      <w:bodyDiv w:val="1"/>
      <w:marLeft w:val="0"/>
      <w:marRight w:val="0"/>
      <w:marTop w:val="0"/>
      <w:marBottom w:val="0"/>
      <w:divBdr>
        <w:top w:val="none" w:sz="0" w:space="0" w:color="auto"/>
        <w:left w:val="none" w:sz="0" w:space="0" w:color="auto"/>
        <w:bottom w:val="none" w:sz="0" w:space="0" w:color="auto"/>
        <w:right w:val="none" w:sz="0" w:space="0" w:color="auto"/>
      </w:divBdr>
    </w:div>
    <w:div w:id="463887918">
      <w:bodyDiv w:val="1"/>
      <w:marLeft w:val="0"/>
      <w:marRight w:val="0"/>
      <w:marTop w:val="0"/>
      <w:marBottom w:val="0"/>
      <w:divBdr>
        <w:top w:val="none" w:sz="0" w:space="0" w:color="auto"/>
        <w:left w:val="none" w:sz="0" w:space="0" w:color="auto"/>
        <w:bottom w:val="none" w:sz="0" w:space="0" w:color="auto"/>
        <w:right w:val="none" w:sz="0" w:space="0" w:color="auto"/>
      </w:divBdr>
      <w:divsChild>
        <w:div w:id="1064179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9892889">
      <w:bodyDiv w:val="1"/>
      <w:marLeft w:val="0"/>
      <w:marRight w:val="0"/>
      <w:marTop w:val="0"/>
      <w:marBottom w:val="0"/>
      <w:divBdr>
        <w:top w:val="none" w:sz="0" w:space="0" w:color="auto"/>
        <w:left w:val="none" w:sz="0" w:space="0" w:color="auto"/>
        <w:bottom w:val="none" w:sz="0" w:space="0" w:color="auto"/>
        <w:right w:val="none" w:sz="0" w:space="0" w:color="auto"/>
      </w:divBdr>
    </w:div>
    <w:div w:id="909654161">
      <w:bodyDiv w:val="1"/>
      <w:marLeft w:val="0"/>
      <w:marRight w:val="0"/>
      <w:marTop w:val="0"/>
      <w:marBottom w:val="0"/>
      <w:divBdr>
        <w:top w:val="none" w:sz="0" w:space="0" w:color="auto"/>
        <w:left w:val="none" w:sz="0" w:space="0" w:color="auto"/>
        <w:bottom w:val="none" w:sz="0" w:space="0" w:color="auto"/>
        <w:right w:val="none" w:sz="0" w:space="0" w:color="auto"/>
      </w:divBdr>
    </w:div>
    <w:div w:id="920795253">
      <w:bodyDiv w:val="1"/>
      <w:marLeft w:val="0"/>
      <w:marRight w:val="0"/>
      <w:marTop w:val="0"/>
      <w:marBottom w:val="0"/>
      <w:divBdr>
        <w:top w:val="none" w:sz="0" w:space="0" w:color="auto"/>
        <w:left w:val="none" w:sz="0" w:space="0" w:color="auto"/>
        <w:bottom w:val="none" w:sz="0" w:space="0" w:color="auto"/>
        <w:right w:val="none" w:sz="0" w:space="0" w:color="auto"/>
      </w:divBdr>
    </w:div>
    <w:div w:id="941301882">
      <w:bodyDiv w:val="1"/>
      <w:marLeft w:val="0"/>
      <w:marRight w:val="0"/>
      <w:marTop w:val="0"/>
      <w:marBottom w:val="0"/>
      <w:divBdr>
        <w:top w:val="none" w:sz="0" w:space="0" w:color="auto"/>
        <w:left w:val="none" w:sz="0" w:space="0" w:color="auto"/>
        <w:bottom w:val="none" w:sz="0" w:space="0" w:color="auto"/>
        <w:right w:val="none" w:sz="0" w:space="0" w:color="auto"/>
      </w:divBdr>
    </w:div>
    <w:div w:id="1037193914">
      <w:bodyDiv w:val="1"/>
      <w:marLeft w:val="0"/>
      <w:marRight w:val="0"/>
      <w:marTop w:val="0"/>
      <w:marBottom w:val="0"/>
      <w:divBdr>
        <w:top w:val="none" w:sz="0" w:space="0" w:color="auto"/>
        <w:left w:val="none" w:sz="0" w:space="0" w:color="auto"/>
        <w:bottom w:val="none" w:sz="0" w:space="0" w:color="auto"/>
        <w:right w:val="none" w:sz="0" w:space="0" w:color="auto"/>
      </w:divBdr>
    </w:div>
    <w:div w:id="1111246679">
      <w:bodyDiv w:val="1"/>
      <w:marLeft w:val="0"/>
      <w:marRight w:val="0"/>
      <w:marTop w:val="0"/>
      <w:marBottom w:val="0"/>
      <w:divBdr>
        <w:top w:val="none" w:sz="0" w:space="0" w:color="auto"/>
        <w:left w:val="none" w:sz="0" w:space="0" w:color="auto"/>
        <w:bottom w:val="none" w:sz="0" w:space="0" w:color="auto"/>
        <w:right w:val="none" w:sz="0" w:space="0" w:color="auto"/>
      </w:divBdr>
    </w:div>
    <w:div w:id="1137839366">
      <w:bodyDiv w:val="1"/>
      <w:marLeft w:val="0"/>
      <w:marRight w:val="0"/>
      <w:marTop w:val="0"/>
      <w:marBottom w:val="0"/>
      <w:divBdr>
        <w:top w:val="none" w:sz="0" w:space="0" w:color="auto"/>
        <w:left w:val="none" w:sz="0" w:space="0" w:color="auto"/>
        <w:bottom w:val="none" w:sz="0" w:space="0" w:color="auto"/>
        <w:right w:val="none" w:sz="0" w:space="0" w:color="auto"/>
      </w:divBdr>
    </w:div>
    <w:div w:id="1154687148">
      <w:bodyDiv w:val="1"/>
      <w:marLeft w:val="0"/>
      <w:marRight w:val="0"/>
      <w:marTop w:val="0"/>
      <w:marBottom w:val="0"/>
      <w:divBdr>
        <w:top w:val="none" w:sz="0" w:space="0" w:color="auto"/>
        <w:left w:val="none" w:sz="0" w:space="0" w:color="auto"/>
        <w:bottom w:val="none" w:sz="0" w:space="0" w:color="auto"/>
        <w:right w:val="none" w:sz="0" w:space="0" w:color="auto"/>
      </w:divBdr>
    </w:div>
    <w:div w:id="1244729544">
      <w:bodyDiv w:val="1"/>
      <w:marLeft w:val="0"/>
      <w:marRight w:val="0"/>
      <w:marTop w:val="0"/>
      <w:marBottom w:val="0"/>
      <w:divBdr>
        <w:top w:val="none" w:sz="0" w:space="0" w:color="auto"/>
        <w:left w:val="none" w:sz="0" w:space="0" w:color="auto"/>
        <w:bottom w:val="none" w:sz="0" w:space="0" w:color="auto"/>
        <w:right w:val="none" w:sz="0" w:space="0" w:color="auto"/>
      </w:divBdr>
    </w:div>
    <w:div w:id="1280991074">
      <w:bodyDiv w:val="1"/>
      <w:marLeft w:val="0"/>
      <w:marRight w:val="0"/>
      <w:marTop w:val="0"/>
      <w:marBottom w:val="0"/>
      <w:divBdr>
        <w:top w:val="none" w:sz="0" w:space="0" w:color="auto"/>
        <w:left w:val="none" w:sz="0" w:space="0" w:color="auto"/>
        <w:bottom w:val="none" w:sz="0" w:space="0" w:color="auto"/>
        <w:right w:val="none" w:sz="0" w:space="0" w:color="auto"/>
      </w:divBdr>
    </w:div>
    <w:div w:id="1329866006">
      <w:bodyDiv w:val="1"/>
      <w:marLeft w:val="0"/>
      <w:marRight w:val="0"/>
      <w:marTop w:val="0"/>
      <w:marBottom w:val="0"/>
      <w:divBdr>
        <w:top w:val="none" w:sz="0" w:space="0" w:color="auto"/>
        <w:left w:val="none" w:sz="0" w:space="0" w:color="auto"/>
        <w:bottom w:val="none" w:sz="0" w:space="0" w:color="auto"/>
        <w:right w:val="none" w:sz="0" w:space="0" w:color="auto"/>
      </w:divBdr>
    </w:div>
    <w:div w:id="1449818717">
      <w:bodyDiv w:val="1"/>
      <w:marLeft w:val="0"/>
      <w:marRight w:val="0"/>
      <w:marTop w:val="0"/>
      <w:marBottom w:val="0"/>
      <w:divBdr>
        <w:top w:val="none" w:sz="0" w:space="0" w:color="auto"/>
        <w:left w:val="none" w:sz="0" w:space="0" w:color="auto"/>
        <w:bottom w:val="none" w:sz="0" w:space="0" w:color="auto"/>
        <w:right w:val="none" w:sz="0" w:space="0" w:color="auto"/>
      </w:divBdr>
    </w:div>
    <w:div w:id="1462960519">
      <w:bodyDiv w:val="1"/>
      <w:marLeft w:val="0"/>
      <w:marRight w:val="0"/>
      <w:marTop w:val="0"/>
      <w:marBottom w:val="0"/>
      <w:divBdr>
        <w:top w:val="none" w:sz="0" w:space="0" w:color="auto"/>
        <w:left w:val="none" w:sz="0" w:space="0" w:color="auto"/>
        <w:bottom w:val="none" w:sz="0" w:space="0" w:color="auto"/>
        <w:right w:val="none" w:sz="0" w:space="0" w:color="auto"/>
      </w:divBdr>
    </w:div>
    <w:div w:id="1598250282">
      <w:bodyDiv w:val="1"/>
      <w:marLeft w:val="0"/>
      <w:marRight w:val="0"/>
      <w:marTop w:val="0"/>
      <w:marBottom w:val="0"/>
      <w:divBdr>
        <w:top w:val="none" w:sz="0" w:space="0" w:color="auto"/>
        <w:left w:val="none" w:sz="0" w:space="0" w:color="auto"/>
        <w:bottom w:val="none" w:sz="0" w:space="0" w:color="auto"/>
        <w:right w:val="none" w:sz="0" w:space="0" w:color="auto"/>
      </w:divBdr>
    </w:div>
    <w:div w:id="1638298217">
      <w:bodyDiv w:val="1"/>
      <w:marLeft w:val="0"/>
      <w:marRight w:val="0"/>
      <w:marTop w:val="0"/>
      <w:marBottom w:val="0"/>
      <w:divBdr>
        <w:top w:val="none" w:sz="0" w:space="0" w:color="auto"/>
        <w:left w:val="none" w:sz="0" w:space="0" w:color="auto"/>
        <w:bottom w:val="none" w:sz="0" w:space="0" w:color="auto"/>
        <w:right w:val="none" w:sz="0" w:space="0" w:color="auto"/>
      </w:divBdr>
      <w:divsChild>
        <w:div w:id="201788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30898">
      <w:bodyDiv w:val="1"/>
      <w:marLeft w:val="0"/>
      <w:marRight w:val="0"/>
      <w:marTop w:val="0"/>
      <w:marBottom w:val="0"/>
      <w:divBdr>
        <w:top w:val="none" w:sz="0" w:space="0" w:color="auto"/>
        <w:left w:val="none" w:sz="0" w:space="0" w:color="auto"/>
        <w:bottom w:val="none" w:sz="0" w:space="0" w:color="auto"/>
        <w:right w:val="none" w:sz="0" w:space="0" w:color="auto"/>
      </w:divBdr>
    </w:div>
    <w:div w:id="2011592055">
      <w:bodyDiv w:val="1"/>
      <w:marLeft w:val="0"/>
      <w:marRight w:val="0"/>
      <w:marTop w:val="0"/>
      <w:marBottom w:val="0"/>
      <w:divBdr>
        <w:top w:val="none" w:sz="0" w:space="0" w:color="auto"/>
        <w:left w:val="none" w:sz="0" w:space="0" w:color="auto"/>
        <w:bottom w:val="none" w:sz="0" w:space="0" w:color="auto"/>
        <w:right w:val="none" w:sz="0" w:space="0" w:color="auto"/>
      </w:divBdr>
    </w:div>
    <w:div w:id="2142729493">
      <w:bodyDiv w:val="1"/>
      <w:marLeft w:val="0"/>
      <w:marRight w:val="0"/>
      <w:marTop w:val="0"/>
      <w:marBottom w:val="0"/>
      <w:divBdr>
        <w:top w:val="none" w:sz="0" w:space="0" w:color="auto"/>
        <w:left w:val="none" w:sz="0" w:space="0" w:color="auto"/>
        <w:bottom w:val="none" w:sz="0" w:space="0" w:color="auto"/>
        <w:right w:val="none" w:sz="0" w:space="0" w:color="auto"/>
      </w:divBdr>
    </w:div>
    <w:div w:id="214535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7052</Words>
  <Characters>45760</Characters>
  <Application>Microsoft Office Word</Application>
  <DocSecurity>0</DocSecurity>
  <Lines>739</Lines>
  <Paragraphs>165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Estúdio Cori</Company>
  <LinksUpToDate>false</LinksUpToDate>
  <CharactersWithSpaces>52523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Ricardo Borsatto</cp:lastModifiedBy>
  <cp:revision>3</cp:revision>
  <dcterms:created xsi:type="dcterms:W3CDTF">2025-05-13T02:21:00Z</dcterms:created>
  <dcterms:modified xsi:type="dcterms:W3CDTF">2025-05-13T02:22:00Z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2cb20c98-405b-4136-b330-bf525a8bd3ca</vt:lpwstr>
  </property>
</Properties>
</file>