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F589" w14:textId="77777777" w:rsidR="00844E01" w:rsidRDefault="00844E01">
      <w:pPr>
        <w:jc w:val="both"/>
        <w:rPr>
          <w:rFonts w:ascii="Calibri" w:eastAsia="Calibri" w:hAnsi="Calibri" w:cs="Calibri"/>
          <w:color w:val="000000"/>
        </w:rPr>
      </w:pPr>
    </w:p>
    <w:p w14:paraId="3CBC77BD" w14:textId="77777777" w:rsidR="00844E01" w:rsidRDefault="00844E01">
      <w:pPr>
        <w:jc w:val="both"/>
        <w:rPr>
          <w:rFonts w:ascii="Calibri" w:eastAsia="Calibri" w:hAnsi="Calibri" w:cs="Calibri"/>
          <w:color w:val="000000"/>
        </w:rPr>
      </w:pPr>
    </w:p>
    <w:p w14:paraId="254A67E0" w14:textId="77777777" w:rsidR="00844E01" w:rsidRDefault="00000000">
      <w:pPr>
        <w:spacing w:after="120"/>
        <w:ind w:right="66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APLICAÇÃO DA TÉCNICA FALAR-MOSTRAR-FAZER NO TRATAMENTO ODONTOLÓGICO DE CRIANÇA</w:t>
      </w:r>
      <w:r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footnoteReference w:id="1"/>
      </w:r>
    </w:p>
    <w:p w14:paraId="327FCA87" w14:textId="77777777" w:rsidR="00844E01" w:rsidRDefault="00844E01">
      <w:pPr>
        <w:ind w:right="660"/>
        <w:jc w:val="right"/>
        <w:rPr>
          <w:rFonts w:ascii="Cambria" w:eastAsia="Cambria" w:hAnsi="Cambria" w:cs="Cambria"/>
          <w:sz w:val="22"/>
          <w:szCs w:val="22"/>
        </w:rPr>
      </w:pPr>
    </w:p>
    <w:p w14:paraId="6B8961D3" w14:textId="77777777" w:rsidR="00844E01" w:rsidRDefault="00000000">
      <w:pPr>
        <w:ind w:right="660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Ana Victória Ribeiro de SOUSA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14:paraId="107AD21E" w14:textId="77777777" w:rsidR="00844E01" w:rsidRDefault="00000000">
      <w:pPr>
        <w:ind w:right="660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Ousanas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Wesllen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Macedo da COSTA</w:t>
      </w:r>
      <w:r>
        <w:rPr>
          <w:rFonts w:ascii="Calibri" w:eastAsia="Calibri" w:hAnsi="Calibri" w:cs="Calibri"/>
          <w:sz w:val="22"/>
          <w:szCs w:val="22"/>
          <w:vertAlign w:val="superscript"/>
        </w:rPr>
        <w:t>2</w:t>
      </w:r>
    </w:p>
    <w:p w14:paraId="52DB831E" w14:textId="77777777" w:rsidR="00844E01" w:rsidRDefault="00000000">
      <w:pPr>
        <w:ind w:right="660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Ricele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Chrystie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Costa ALVES</w:t>
      </w:r>
      <w:r>
        <w:rPr>
          <w:rFonts w:ascii="Calibri" w:eastAsia="Calibri" w:hAnsi="Calibri" w:cs="Calibri"/>
          <w:sz w:val="22"/>
          <w:szCs w:val="22"/>
          <w:vertAlign w:val="superscript"/>
        </w:rPr>
        <w:t>2</w:t>
      </w:r>
    </w:p>
    <w:p w14:paraId="4A41F4E8" w14:textId="77777777" w:rsidR="00844E01" w:rsidRDefault="00000000">
      <w:pPr>
        <w:ind w:right="660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Guilherme Porfírio Franco Araújo de SOUSA</w:t>
      </w:r>
      <w:r>
        <w:rPr>
          <w:rFonts w:ascii="Calibri" w:eastAsia="Calibri" w:hAnsi="Calibri" w:cs="Calibri"/>
          <w:sz w:val="22"/>
          <w:szCs w:val="22"/>
          <w:vertAlign w:val="superscript"/>
        </w:rPr>
        <w:t>2</w:t>
      </w:r>
    </w:p>
    <w:p w14:paraId="5F5D4E68" w14:textId="77777777" w:rsidR="00844E01" w:rsidRDefault="00000000">
      <w:pPr>
        <w:ind w:right="660"/>
        <w:jc w:val="right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b/>
          <w:sz w:val="22"/>
          <w:szCs w:val="22"/>
        </w:rPr>
        <w:t>Emanuele Maria Alves MADEIRA</w:t>
      </w:r>
      <w:r>
        <w:rPr>
          <w:rFonts w:ascii="Calibri" w:eastAsia="Calibri" w:hAnsi="Calibri" w:cs="Calibri"/>
          <w:sz w:val="22"/>
          <w:szCs w:val="22"/>
          <w:vertAlign w:val="superscript"/>
        </w:rPr>
        <w:t>2</w:t>
      </w:r>
    </w:p>
    <w:p w14:paraId="1995DBBA" w14:textId="77777777" w:rsidR="00844E01" w:rsidRDefault="00000000">
      <w:pPr>
        <w:ind w:right="660"/>
        <w:jc w:val="right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Wanderson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Aldimar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Alves MORAES</w:t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t xml:space="preserve"> </w:t>
      </w:r>
      <w:r>
        <w:rPr>
          <w:rFonts w:ascii="Calibri" w:eastAsia="Calibri" w:hAnsi="Calibri" w:cs="Calibri"/>
          <w:sz w:val="22"/>
          <w:szCs w:val="22"/>
          <w:vertAlign w:val="superscript"/>
        </w:rPr>
        <w:t>2</w:t>
      </w:r>
    </w:p>
    <w:p w14:paraId="251B3049" w14:textId="77777777" w:rsidR="00844E01" w:rsidRDefault="00000000">
      <w:pPr>
        <w:ind w:right="660"/>
        <w:jc w:val="right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Isabela FLORIANO</w:t>
      </w:r>
      <w:r>
        <w:rPr>
          <w:rFonts w:ascii="Calibri" w:eastAsia="Calibri" w:hAnsi="Calibri" w:cs="Calibri"/>
          <w:sz w:val="22"/>
          <w:szCs w:val="22"/>
          <w:vertAlign w:val="superscript"/>
        </w:rPr>
        <w:t>3</w:t>
      </w:r>
    </w:p>
    <w:p w14:paraId="1F181F76" w14:textId="77777777" w:rsidR="00844E01" w:rsidRDefault="00844E01">
      <w:pPr>
        <w:spacing w:after="120"/>
        <w:ind w:right="660"/>
        <w:jc w:val="center"/>
        <w:rPr>
          <w:rFonts w:ascii="Calibri" w:eastAsia="Calibri" w:hAnsi="Calibri" w:cs="Calibri"/>
        </w:rPr>
      </w:pPr>
    </w:p>
    <w:p w14:paraId="7B7BBB85" w14:textId="77777777" w:rsidR="00844E01" w:rsidRDefault="00000000">
      <w:pPr>
        <w:spacing w:after="120"/>
        <w:ind w:right="6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RESUMO</w:t>
      </w:r>
    </w:p>
    <w:p w14:paraId="54D5CC5C" w14:textId="77777777" w:rsidR="00844E01" w:rsidRDefault="00000000">
      <w:pPr>
        <w:spacing w:after="120"/>
        <w:ind w:right="660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b/>
        </w:rPr>
        <w:t>INTRODUÇÃO</w:t>
      </w:r>
      <w:r>
        <w:rPr>
          <w:rFonts w:ascii="Calibri" w:eastAsia="Calibri" w:hAnsi="Calibri" w:cs="Calibri"/>
        </w:rPr>
        <w:t xml:space="preserve">: Entre as técnicas não farmacológicas de manejo comportamental, destaca-se a falar-mostrar-fazer, na qual se realiza a explicação verbal do procedimento, seguida da demonstração tátil e visual dos materiais e posterior execução. Essa abordagem visa promover compreensão, previsibilidade e aceitação por parte da criança. </w:t>
      </w:r>
      <w:r>
        <w:rPr>
          <w:rFonts w:ascii="Calibri" w:eastAsia="Calibri" w:hAnsi="Calibri" w:cs="Calibri"/>
          <w:b/>
        </w:rPr>
        <w:t>RELATO DE CASO</w:t>
      </w:r>
      <w:r>
        <w:rPr>
          <w:rFonts w:ascii="Calibri" w:eastAsia="Calibri" w:hAnsi="Calibri" w:cs="Calibri"/>
        </w:rPr>
        <w:t xml:space="preserve">: Paciente de 9 anos, sexo masculino, apresentou-se na clínica de odontopediatria do Serviço-Escola Carolina de Freitas Lira acompanhado da sua mãe, queixando-se de desconforto ao mastigar e beber gelado. Ao exame clínico foi observado capuz gengival edemaciado na região distal do primeiro molar superior direito e lesão de cárie severa ativa. O exame radiográfico confirmou a lesão e mostrou ausência de envolvimento pulpar. Realizou-se, então, o procedimento de cunha distal e restauração classe ocluso-distal com resina composta no dente 16. Antes de iniciar o procedimento foi empregada a técnica falar-mostrar-fazer, que permitiu a familiarização e interação da criança com os instrumentos e materiais utilizados. </w:t>
      </w:r>
      <w:r>
        <w:rPr>
          <w:rFonts w:ascii="Calibri" w:eastAsia="Calibri" w:hAnsi="Calibri" w:cs="Calibri"/>
          <w:b/>
        </w:rPr>
        <w:t>CONSIDERAÇÕES FINAIS</w:t>
      </w:r>
      <w:r>
        <w:rPr>
          <w:rFonts w:ascii="Calibri" w:eastAsia="Calibri" w:hAnsi="Calibri" w:cs="Calibri"/>
        </w:rPr>
        <w:t xml:space="preserve">: O emprego da técnica falar-mostrar-fazer tranquilizou o paciente durante o tratamento, que pôde ser realizado com sucesso. </w:t>
      </w:r>
    </w:p>
    <w:p w14:paraId="290DC6C1" w14:textId="77777777" w:rsidR="00844E01" w:rsidRDefault="00000000">
      <w:pPr>
        <w:spacing w:after="120"/>
        <w:ind w:right="6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Descritores</w:t>
      </w:r>
      <w:r>
        <w:rPr>
          <w:rFonts w:ascii="Calibri" w:eastAsia="Calibri" w:hAnsi="Calibri" w:cs="Calibri"/>
        </w:rPr>
        <w:t>: Condicionamento Psicológico. Odontopediatria. Restauração Dentária Permanente.</w:t>
      </w:r>
    </w:p>
    <w:sectPr w:rsidR="00844E01">
      <w:headerReference w:type="default" r:id="rId7"/>
      <w:footerReference w:type="default" r:id="rId8"/>
      <w:headerReference w:type="first" r:id="rId9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2BBD" w14:textId="77777777" w:rsidR="00D75FC2" w:rsidRDefault="00D75FC2">
      <w:r>
        <w:separator/>
      </w:r>
    </w:p>
  </w:endnote>
  <w:endnote w:type="continuationSeparator" w:id="0">
    <w:p w14:paraId="2866CA7F" w14:textId="77777777" w:rsidR="00D75FC2" w:rsidRDefault="00D7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975A" w14:textId="77777777" w:rsidR="00844E01" w:rsidRDefault="00844E0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844E01" w14:paraId="31EEE5F3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105547B7" w14:textId="77777777" w:rsidR="00844E01" w:rsidRDefault="00844E01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32AD003D" w14:textId="77777777" w:rsidR="00844E01" w:rsidRDefault="0000000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34F86130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8020" w14:textId="77777777" w:rsidR="00D75FC2" w:rsidRDefault="00D75FC2">
      <w:r>
        <w:separator/>
      </w:r>
    </w:p>
  </w:footnote>
  <w:footnote w:type="continuationSeparator" w:id="0">
    <w:p w14:paraId="0A705B53" w14:textId="77777777" w:rsidR="00D75FC2" w:rsidRDefault="00D75FC2">
      <w:r>
        <w:continuationSeparator/>
      </w:r>
    </w:p>
  </w:footnote>
  <w:footnote w:id="1">
    <w:p w14:paraId="07268A87" w14:textId="77777777" w:rsidR="00844E0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6C9D02E1" w14:textId="77777777" w:rsidR="00844E01" w:rsidRDefault="00000000">
      <w:pPr>
        <w:pBdr>
          <w:top w:val="nil"/>
          <w:left w:val="nil"/>
          <w:bottom w:val="nil"/>
          <w:right w:val="nil"/>
          <w:between w:val="nil"/>
        </w:pBdr>
        <w:ind w:right="574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</w:t>
      </w:r>
    </w:p>
    <w:p w14:paraId="5E846786" w14:textId="77777777" w:rsidR="00844E01" w:rsidRDefault="00000000">
      <w:pPr>
        <w:pBdr>
          <w:top w:val="nil"/>
          <w:left w:val="nil"/>
          <w:bottom w:val="nil"/>
          <w:right w:val="nil"/>
          <w:between w:val="nil"/>
        </w:pBdr>
        <w:ind w:right="574"/>
        <w:jc w:val="both"/>
        <w:rPr>
          <w:sz w:val="20"/>
          <w:szCs w:val="20"/>
        </w:rPr>
      </w:pPr>
      <w:r>
        <w:rPr>
          <w:sz w:val="20"/>
          <w:szCs w:val="20"/>
        </w:rPr>
        <w:t>3 Graduada em Odontologia pela Universidade Federal do Piauí (2009). Mestre em Ciências Odontológicas - Odontopediatria pela Universidade de São Paulo (2014) e Doutora em Odontopediatria pela Universidade de São Paulo (2017). 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5DE9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7EFA4CB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0F91A2F7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7A083" w14:textId="77777777" w:rsidR="00844E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8E7288" wp14:editId="7ECC8566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F59F3F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5EB3609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B84E4BD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4480F0A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2B75A716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B97B029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54E056F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D336CC8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8E11F5B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2F7CB2B6" w14:textId="77777777" w:rsidR="00844E01" w:rsidRDefault="00844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DE0C2FD" w14:textId="77777777" w:rsidR="00844E01" w:rsidRDefault="0000000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01"/>
    <w:rsid w:val="00844E01"/>
    <w:rsid w:val="00854AB4"/>
    <w:rsid w:val="00D75FC2"/>
    <w:rsid w:val="00E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3120"/>
  <w15:docId w15:val="{DB2DB4CC-1EBC-429B-816A-A820C57B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uiPriority w:val="9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709F7"/>
    <w:pPr>
      <w:spacing w:line="360" w:lineRule="auto"/>
      <w:jc w:val="center"/>
    </w:pPr>
    <w:rPr>
      <w:szCs w:val="20"/>
    </w:r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LrIfVbz/D41AazeYgpOIliJdg==">CgMxLjA4AHIhMWJQRlE3TDl3MFIxSXBqQVBoT3o5S2ZDVXBQZk02NjBq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cp:lastModifiedBy>ana vitoria ribeiro</cp:lastModifiedBy>
  <cp:revision>2</cp:revision>
  <dcterms:created xsi:type="dcterms:W3CDTF">2025-05-18T14:58:00Z</dcterms:created>
  <dcterms:modified xsi:type="dcterms:W3CDTF">2025-05-18T14:58:00Z</dcterms:modified>
</cp:coreProperties>
</file>