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5B1B051" w14:textId="77777777" w:rsidR="00662D7A" w:rsidRDefault="00662D7A">
      <w:pPr>
        <w:spacing w:before="240"/>
        <w:jc w:val="center"/>
        <w:rPr>
          <w:b/>
          <w:sz w:val="24"/>
          <w:szCs w:val="24"/>
        </w:rPr>
      </w:pPr>
      <w:r w:rsidRPr="00662D7A">
        <w:rPr>
          <w:b/>
          <w:sz w:val="24"/>
          <w:szCs w:val="24"/>
        </w:rPr>
        <w:t>SHARENTING E A VIOLAÇÃO AO DIREITO À PRIVACIDADE DO FILHO MENOR</w:t>
      </w:r>
    </w:p>
    <w:p w14:paraId="00000004" w14:textId="3006888F" w:rsidR="00172207" w:rsidRDefault="002F0D7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43F6745C" w:rsidR="00172207" w:rsidRDefault="00662D7A" w:rsidP="00662D7A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Fernanda Dornelas Panarelli Antonio</w:t>
      </w:r>
      <w:r>
        <w:rPr>
          <w:sz w:val="24"/>
          <w:szCs w:val="24"/>
          <w:vertAlign w:val="superscript"/>
        </w:rPr>
        <w:t>1</w:t>
      </w:r>
    </w:p>
    <w:p w14:paraId="27705E0C" w14:textId="7EC1368B" w:rsidR="00292C63" w:rsidRDefault="00292C63" w:rsidP="00292C63">
      <w:pPr>
        <w:spacing w:before="240"/>
        <w:jc w:val="center"/>
        <w:rPr>
          <w:sz w:val="24"/>
          <w:szCs w:val="24"/>
          <w:vertAlign w:val="superscript"/>
        </w:rPr>
      </w:pPr>
      <w:bookmarkStart w:id="0" w:name="_GoBack"/>
      <w:r w:rsidRPr="00292C63">
        <w:rPr>
          <w:sz w:val="24"/>
          <w:szCs w:val="24"/>
        </w:rPr>
        <w:t xml:space="preserve">Kelly Isabel Rezende Peres Bernardes </w:t>
      </w:r>
      <w:bookmarkEnd w:id="0"/>
      <w:r>
        <w:rPr>
          <w:sz w:val="24"/>
          <w:szCs w:val="24"/>
          <w:vertAlign w:val="superscript"/>
        </w:rPr>
        <w:t>2</w:t>
      </w:r>
    </w:p>
    <w:p w14:paraId="00000008" w14:textId="270B13AD" w:rsidR="00172207" w:rsidRDefault="002F0D7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662D7A">
        <w:rPr>
          <w:sz w:val="24"/>
          <w:szCs w:val="24"/>
        </w:rPr>
        <w:t>fernandapanarelli@hotmail.com</w:t>
      </w:r>
    </w:p>
    <w:p w14:paraId="00000009" w14:textId="77777777" w:rsidR="00172207" w:rsidRDefault="002F0D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679786" w14:textId="646E63A4" w:rsidR="00292C63" w:rsidRDefault="002F0D74" w:rsidP="00292C63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662D7A" w:rsidRPr="00662D7A">
        <w:rPr>
          <w:sz w:val="20"/>
          <w:szCs w:val="20"/>
        </w:rPr>
        <w:t>Graduanda, Centro Universitário do Cerrado Patrocínio, Direito, Brasil;</w:t>
      </w:r>
      <w:r w:rsidR="00292C63" w:rsidRPr="00292C63">
        <w:rPr>
          <w:sz w:val="34"/>
          <w:szCs w:val="34"/>
          <w:vertAlign w:val="superscript"/>
        </w:rPr>
        <w:t xml:space="preserve"> </w:t>
      </w:r>
      <w:r w:rsidR="00292C63">
        <w:rPr>
          <w:sz w:val="34"/>
          <w:szCs w:val="34"/>
          <w:vertAlign w:val="superscript"/>
        </w:rPr>
        <w:t xml:space="preserve">2 </w:t>
      </w:r>
      <w:r w:rsidR="00292C63">
        <w:rPr>
          <w:sz w:val="20"/>
          <w:szCs w:val="20"/>
        </w:rPr>
        <w:t>Professora, Especialista</w:t>
      </w:r>
      <w:r w:rsidR="00292C63" w:rsidRPr="00662D7A">
        <w:rPr>
          <w:sz w:val="20"/>
          <w:szCs w:val="20"/>
        </w:rPr>
        <w:t>, Centro Universitário do Cerrado Patrocínio, Brasil;</w:t>
      </w:r>
    </w:p>
    <w:p w14:paraId="0000000A" w14:textId="202CA614" w:rsidR="00172207" w:rsidRDefault="00172207">
      <w:pPr>
        <w:spacing w:before="240"/>
        <w:jc w:val="both"/>
        <w:rPr>
          <w:sz w:val="20"/>
          <w:szCs w:val="20"/>
        </w:rPr>
      </w:pPr>
    </w:p>
    <w:p w14:paraId="0000000B" w14:textId="77777777" w:rsidR="00172207" w:rsidRDefault="002F0D7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06092E2A" w:rsidR="00172207" w:rsidRDefault="002F0D74" w:rsidP="00662D7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 xml:space="preserve">É nítida a importância do debate acerca da prática do neologismo </w:t>
      </w:r>
      <w:proofErr w:type="spellStart"/>
      <w:r w:rsidR="00662D7A" w:rsidRPr="00662D7A">
        <w:rPr>
          <w:rFonts w:ascii="Calibri" w:eastAsia="Calibri" w:hAnsi="Calibri" w:cs="Calibri"/>
          <w:i/>
          <w:iCs/>
        </w:rPr>
        <w:t>sharenting</w:t>
      </w:r>
      <w:proofErr w:type="spellEnd"/>
      <w:r w:rsidR="00662D7A" w:rsidRPr="00662D7A">
        <w:rPr>
          <w:rFonts w:ascii="Calibri" w:eastAsia="Calibri" w:hAnsi="Calibri" w:cs="Calibri"/>
        </w:rPr>
        <w:t>, que consiste na divulgação exagerada de informações sobre os filhos menores na internet, buscando examinar a exposição feita por parte dos pais, de conteúdos privados dos filhos nas redes sociais e como isto pode caracterizar uma ameaça aos seus direitos. Analisar o instituto do poder familiar, bem como os direitos da privacidade, à imagem e ao livre desenvolvimento da personalidade dos infantes e jovens, e perceber até que momento o poder familiar/ autoridade parental se sobressai aos direitos a privacidade do filho menor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 xml:space="preserve">Serão utilizados objetos de investigação, buscando analisar os riscos que permeiam o </w:t>
      </w:r>
      <w:proofErr w:type="spellStart"/>
      <w:r w:rsidR="00662D7A" w:rsidRPr="00662D7A">
        <w:rPr>
          <w:rFonts w:ascii="Calibri" w:eastAsia="Calibri" w:hAnsi="Calibri" w:cs="Calibri"/>
          <w:i/>
          <w:iCs/>
        </w:rPr>
        <w:t>sharenting</w:t>
      </w:r>
      <w:proofErr w:type="spellEnd"/>
      <w:r w:rsidR="00662D7A" w:rsidRPr="00662D7A">
        <w:rPr>
          <w:rFonts w:ascii="Calibri" w:eastAsia="Calibri" w:hAnsi="Calibri" w:cs="Calibri"/>
        </w:rPr>
        <w:t xml:space="preserve"> e as demais consequências da exposição, bem como explorar os compartilhamentos feitos por pais com informações pessoais dos filhos na Internet e buscar entender quais seriam os riscos dessa prática, estudando a questão das celebridades mirins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Para atender a este trabalho, será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utilizada a metodologia de pesquisa bibliográfica tendo cunho dedutivo, com base em artigos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acadêmicos, livros, com foco específico no Estatuto da Criança e do Adolescente e no Código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Civil Brasileiro, legislação brasileira em geral, monografias, publicações revistas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especializadas, por meio de consulta à internet em base de dados.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Serão analisados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julgados acerca do tema, bem como casos em alta na mídia, buscando demonstrar os perigos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frente a superexposição dos menores na internet, e os malefícios advindos de tal prática, como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também a responsabilização dos genitores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Desta forma, o presente artigo analisou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 xml:space="preserve">e discutiu o </w:t>
      </w:r>
      <w:proofErr w:type="spellStart"/>
      <w:r w:rsidR="00662D7A" w:rsidRPr="00662D7A">
        <w:rPr>
          <w:rFonts w:ascii="Calibri" w:eastAsia="Calibri" w:hAnsi="Calibri" w:cs="Calibri"/>
          <w:i/>
          <w:iCs/>
        </w:rPr>
        <w:t>Sharenting</w:t>
      </w:r>
      <w:proofErr w:type="spellEnd"/>
      <w:r w:rsidR="00662D7A" w:rsidRPr="00662D7A">
        <w:rPr>
          <w:rFonts w:ascii="Calibri" w:eastAsia="Calibri" w:hAnsi="Calibri" w:cs="Calibri"/>
        </w:rPr>
        <w:t xml:space="preserve"> de forma aberta e não-hegemônica, focando-se nos direitos da criança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e do adolescente, e na autoridade parental, concluindo assim que esta exposição feita pelos pais</w:t>
      </w:r>
      <w:r w:rsidR="00662D7A">
        <w:rPr>
          <w:rFonts w:ascii="Calibri" w:eastAsia="Calibri" w:hAnsi="Calibri" w:cs="Calibri"/>
        </w:rPr>
        <w:t xml:space="preserve"> </w:t>
      </w:r>
      <w:r w:rsidR="00662D7A" w:rsidRPr="00662D7A">
        <w:rPr>
          <w:rFonts w:ascii="Calibri" w:eastAsia="Calibri" w:hAnsi="Calibri" w:cs="Calibri"/>
        </w:rPr>
        <w:t>dos menores ainda deve ser analisada antes de gerar uma responsabilização judicial.</w:t>
      </w:r>
    </w:p>
    <w:p w14:paraId="0000000D" w14:textId="3CD3D724" w:rsidR="00172207" w:rsidRDefault="002F0D74" w:rsidP="00662D7A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662D7A" w:rsidRPr="00662D7A">
        <w:rPr>
          <w:sz w:val="24"/>
          <w:szCs w:val="24"/>
        </w:rPr>
        <w:t>Autoridade Parental. Direito a Personalidade. Superexposição. Liberdade de</w:t>
      </w:r>
      <w:r w:rsidR="00662D7A">
        <w:rPr>
          <w:sz w:val="24"/>
          <w:szCs w:val="24"/>
        </w:rPr>
        <w:t xml:space="preserve"> </w:t>
      </w:r>
      <w:r w:rsidR="00662D7A" w:rsidRPr="00662D7A">
        <w:rPr>
          <w:sz w:val="24"/>
          <w:szCs w:val="24"/>
        </w:rPr>
        <w:t>Expressão.</w:t>
      </w:r>
    </w:p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B0203" w14:textId="77777777" w:rsidR="002F0D74" w:rsidRDefault="002F0D74">
      <w:pPr>
        <w:spacing w:line="240" w:lineRule="auto"/>
      </w:pPr>
      <w:r>
        <w:separator/>
      </w:r>
    </w:p>
  </w:endnote>
  <w:endnote w:type="continuationSeparator" w:id="0">
    <w:p w14:paraId="7D9B1732" w14:textId="77777777" w:rsidR="002F0D74" w:rsidRDefault="002F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A6449" w14:textId="77777777" w:rsidR="002F0D74" w:rsidRDefault="002F0D74">
      <w:pPr>
        <w:spacing w:line="240" w:lineRule="auto"/>
      </w:pPr>
      <w:r>
        <w:separator/>
      </w:r>
    </w:p>
  </w:footnote>
  <w:footnote w:type="continuationSeparator" w:id="0">
    <w:p w14:paraId="25E98D91" w14:textId="77777777" w:rsidR="002F0D74" w:rsidRDefault="002F0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172207" w:rsidRDefault="002F0D74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292C63"/>
    <w:rsid w:val="002F0D74"/>
    <w:rsid w:val="00375DBC"/>
    <w:rsid w:val="00662D7A"/>
    <w:rsid w:val="00910982"/>
    <w:rsid w:val="00C524DD"/>
    <w:rsid w:val="00C90F3F"/>
    <w:rsid w:val="00C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4B73D8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Samir Daura</cp:lastModifiedBy>
  <cp:revision>2</cp:revision>
  <cp:lastPrinted>2023-10-31T11:46:00Z</cp:lastPrinted>
  <dcterms:created xsi:type="dcterms:W3CDTF">2023-11-13T23:13:00Z</dcterms:created>
  <dcterms:modified xsi:type="dcterms:W3CDTF">2023-11-13T23:13:00Z</dcterms:modified>
</cp:coreProperties>
</file>