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6642C" w14:textId="44673B35" w:rsidR="00D40B49" w:rsidRDefault="00030F3D" w:rsidP="00D40B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777E">
        <w:rPr>
          <w:rFonts w:ascii="Times New Roman" w:hAnsi="Times New Roman"/>
          <w:b/>
          <w:bCs/>
          <w:sz w:val="24"/>
          <w:szCs w:val="24"/>
        </w:rPr>
        <w:t>ENSAIO COOPERATIVO: EFICIÊNCIA DE FUNGICIDAS QUANDO APLICADOS NO ESTÁDIO VEGETATIVO PARA O CONTROLE DO COMPLEXO DE DOENÇAS NA CULTURA DA SOJA</w:t>
      </w:r>
    </w:p>
    <w:p w14:paraId="1C4665CD" w14:textId="77777777" w:rsidR="00A3703A" w:rsidRPr="00A3703A" w:rsidRDefault="00A3703A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BDDD21" w14:textId="6F12892B" w:rsidR="00D40B49" w:rsidRDefault="00030F3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Augusto Jorge Cardozo Caetano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75D8F91A" w14:textId="3525297D" w:rsidR="00D40B49" w:rsidRPr="00907BD3" w:rsidRDefault="00030F3D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Ângela Bernardino Barbosa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1FD94A8A" w14:textId="6DB573CE" w:rsidR="00D40B49" w:rsidRPr="00907BD3" w:rsidRDefault="00030F3D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Gilvan Rodrigues da Silva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14:paraId="6E0D5FC7" w14:textId="1CE0F870" w:rsidR="00D40B49" w:rsidRPr="00907BD3" w:rsidRDefault="003171C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Marco Antonio Tamai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14:paraId="122058B8" w14:textId="6528860B" w:rsidR="00D40B49" w:rsidRDefault="003171C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Monica Cagnin Martins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14:paraId="7220A61C" w14:textId="77777777" w:rsidR="003171C4" w:rsidRDefault="003171C4" w:rsidP="0031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76B37" w14:textId="29FC1954" w:rsidR="00030F3D" w:rsidRDefault="00DC44BF" w:rsidP="00030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o</w:t>
      </w:r>
      <w:r w:rsidR="00030F3D" w:rsidRPr="009A547C">
        <w:rPr>
          <w:rFonts w:ascii="Times New Roman" w:hAnsi="Times New Roman"/>
          <w:sz w:val="24"/>
          <w:szCs w:val="24"/>
        </w:rPr>
        <w:t xml:space="preserve"> objetivo </w:t>
      </w:r>
      <w:r>
        <w:rPr>
          <w:rFonts w:ascii="Times New Roman" w:hAnsi="Times New Roman"/>
          <w:sz w:val="24"/>
          <w:szCs w:val="24"/>
        </w:rPr>
        <w:t xml:space="preserve">de </w:t>
      </w:r>
      <w:r w:rsidR="00030F3D" w:rsidRPr="009A547C">
        <w:rPr>
          <w:rFonts w:ascii="Times New Roman" w:hAnsi="Times New Roman"/>
          <w:sz w:val="24"/>
          <w:szCs w:val="24"/>
        </w:rPr>
        <w:t xml:space="preserve">avaliar a eficiência de fungicidas no controle do complexo de doenças na cultura da soja, </w:t>
      </w:r>
      <w:r>
        <w:rPr>
          <w:rFonts w:ascii="Times New Roman" w:hAnsi="Times New Roman"/>
          <w:sz w:val="24"/>
          <w:szCs w:val="24"/>
        </w:rPr>
        <w:t xml:space="preserve">foi </w:t>
      </w:r>
      <w:r w:rsidR="00030F3D" w:rsidRPr="009A547C">
        <w:rPr>
          <w:rFonts w:ascii="Times New Roman" w:hAnsi="Times New Roman"/>
          <w:sz w:val="24"/>
          <w:szCs w:val="24"/>
        </w:rPr>
        <w:t xml:space="preserve">conduzido </w:t>
      </w:r>
      <w:r>
        <w:rPr>
          <w:rFonts w:ascii="Times New Roman" w:hAnsi="Times New Roman"/>
          <w:sz w:val="24"/>
          <w:szCs w:val="24"/>
        </w:rPr>
        <w:t xml:space="preserve">um ensaio </w:t>
      </w:r>
      <w:r w:rsidR="00030F3D" w:rsidRPr="009A547C">
        <w:rPr>
          <w:rFonts w:ascii="Times New Roman" w:hAnsi="Times New Roman"/>
          <w:sz w:val="24"/>
          <w:szCs w:val="24"/>
        </w:rPr>
        <w:t>na Estação Experimental da Círculo Verde Assessoria Agronômica &amp; Pesquisa, em Luís Eduardo Magalhães/BA, na safra 2019/2020, utilizando a cultivar M9144 RR semeada em 30/11</w:t>
      </w:r>
      <w:r w:rsidR="000E64FC">
        <w:rPr>
          <w:rFonts w:ascii="Times New Roman" w:hAnsi="Times New Roman"/>
          <w:sz w:val="24"/>
          <w:szCs w:val="24"/>
        </w:rPr>
        <w:t>/2019</w:t>
      </w:r>
      <w:r w:rsidR="00030F3D" w:rsidRPr="009A547C">
        <w:rPr>
          <w:rFonts w:ascii="Times New Roman" w:hAnsi="Times New Roman"/>
          <w:sz w:val="24"/>
          <w:szCs w:val="24"/>
        </w:rPr>
        <w:t>. Adotou-se o delineamento de blocos casualizados com oito tratamentos e quatro repetições. Os tratamentos constaram de quatro aplicações de fungicidas nos estádios fenológicos V5, R1, R3 e R5.1,</w:t>
      </w:r>
      <w:r w:rsidR="00030F3D">
        <w:rPr>
          <w:rFonts w:ascii="Times New Roman" w:hAnsi="Times New Roman"/>
          <w:sz w:val="24"/>
          <w:szCs w:val="24"/>
        </w:rPr>
        <w:t xml:space="preserve"> sendo</w:t>
      </w:r>
      <w:r w:rsidR="00030F3D" w:rsidRPr="009A547C">
        <w:rPr>
          <w:rFonts w:ascii="Times New Roman" w:hAnsi="Times New Roman"/>
          <w:sz w:val="24"/>
          <w:szCs w:val="24"/>
        </w:rPr>
        <w:t>: T1) Testemunha Absoluta= sem aplicação de fungicidas; T2) Testemunha= sem aplicação de fungicidas no estádio vegetativo; T3) d</w:t>
      </w:r>
      <w:r w:rsidR="00030F3D" w:rsidRPr="009A547C">
        <w:rPr>
          <w:rFonts w:ascii="Times New Roman" w:hAnsi="Times New Roman"/>
          <w:color w:val="000000"/>
          <w:sz w:val="24"/>
          <w:szCs w:val="24"/>
        </w:rPr>
        <w:t>ifenoconazol</w:t>
      </w:r>
      <w:r w:rsidR="00030F3D" w:rsidRPr="009A547C">
        <w:rPr>
          <w:rFonts w:ascii="Times New Roman" w:hAnsi="Times New Roman"/>
          <w:sz w:val="24"/>
          <w:szCs w:val="24"/>
        </w:rPr>
        <w:t xml:space="preserve"> (Prisma Plus); T4) UPL 2173 FP + UPL 2172 FP + UPL 2171 FP (UPL 2000); T5) </w:t>
      </w:r>
      <w:r w:rsidR="00030F3D" w:rsidRPr="009A547C">
        <w:rPr>
          <w:rFonts w:ascii="Times New Roman" w:hAnsi="Times New Roman"/>
          <w:color w:val="000000"/>
          <w:sz w:val="24"/>
          <w:szCs w:val="24"/>
        </w:rPr>
        <w:t>propiconazol + difenoconazol (Score</w:t>
      </w:r>
      <w:r w:rsidR="00030F3D" w:rsidRPr="009A547C">
        <w:rPr>
          <w:rFonts w:ascii="Times New Roman" w:hAnsi="Times New Roman"/>
          <w:sz w:val="24"/>
          <w:szCs w:val="24"/>
          <w:vertAlign w:val="superscript"/>
        </w:rPr>
        <w:t>®</w:t>
      </w:r>
      <w:r w:rsidR="00030F3D" w:rsidRPr="009A547C">
        <w:rPr>
          <w:rFonts w:ascii="Times New Roman" w:hAnsi="Times New Roman"/>
          <w:color w:val="000000"/>
          <w:sz w:val="24"/>
          <w:szCs w:val="24"/>
        </w:rPr>
        <w:t xml:space="preserve"> Flexi); T6) difenoconazol + ciproconazol (Cypress</w:t>
      </w:r>
      <w:r w:rsidR="00030F3D" w:rsidRPr="009A547C">
        <w:rPr>
          <w:rFonts w:ascii="Times New Roman" w:hAnsi="Times New Roman"/>
          <w:sz w:val="24"/>
          <w:szCs w:val="24"/>
          <w:vertAlign w:val="superscript"/>
        </w:rPr>
        <w:t>®</w:t>
      </w:r>
      <w:r w:rsidR="00030F3D" w:rsidRPr="009A547C">
        <w:rPr>
          <w:rFonts w:ascii="Times New Roman" w:hAnsi="Times New Roman"/>
          <w:color w:val="000000"/>
          <w:sz w:val="24"/>
          <w:szCs w:val="24"/>
        </w:rPr>
        <w:t xml:space="preserve"> 400EC); T7) </w:t>
      </w:r>
      <w:r w:rsidR="00030F3D" w:rsidRPr="009A547C">
        <w:rPr>
          <w:rFonts w:ascii="Times New Roman" w:hAnsi="Times New Roman"/>
          <w:sz w:val="24"/>
          <w:szCs w:val="24"/>
        </w:rPr>
        <w:t xml:space="preserve">mancozebe + difenoconazol + </w:t>
      </w:r>
      <w:proofErr w:type="spellStart"/>
      <w:r w:rsidR="00030F3D" w:rsidRPr="009A547C">
        <w:rPr>
          <w:rFonts w:ascii="Times New Roman" w:hAnsi="Times New Roman"/>
          <w:sz w:val="24"/>
          <w:szCs w:val="24"/>
        </w:rPr>
        <w:t>ciproconazol</w:t>
      </w:r>
      <w:proofErr w:type="spellEnd"/>
      <w:r w:rsidR="00030F3D" w:rsidRPr="009A547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030F3D" w:rsidRPr="009A547C">
        <w:rPr>
          <w:rFonts w:ascii="Times New Roman" w:hAnsi="Times New Roman"/>
          <w:color w:val="000000"/>
          <w:sz w:val="24"/>
          <w:szCs w:val="24"/>
        </w:rPr>
        <w:t>Savate</w:t>
      </w:r>
      <w:proofErr w:type="spellEnd"/>
      <w:r w:rsidR="00030F3D" w:rsidRPr="009A547C">
        <w:rPr>
          <w:rFonts w:ascii="Times New Roman" w:hAnsi="Times New Roman"/>
          <w:color w:val="000000"/>
          <w:sz w:val="24"/>
          <w:szCs w:val="24"/>
        </w:rPr>
        <w:t xml:space="preserve">) e T8) </w:t>
      </w:r>
      <w:proofErr w:type="spellStart"/>
      <w:r w:rsidR="00030F3D" w:rsidRPr="009A547C">
        <w:rPr>
          <w:rFonts w:ascii="Times New Roman" w:hAnsi="Times New Roman"/>
          <w:sz w:val="24"/>
          <w:szCs w:val="24"/>
        </w:rPr>
        <w:t>m</w:t>
      </w:r>
      <w:r w:rsidR="00030F3D" w:rsidRPr="009A547C">
        <w:rPr>
          <w:rFonts w:ascii="Times New Roman" w:eastAsiaTheme="minorHAnsi" w:hAnsi="Times New Roman"/>
          <w:sz w:val="24"/>
          <w:szCs w:val="24"/>
        </w:rPr>
        <w:t>ancozebe</w:t>
      </w:r>
      <w:proofErr w:type="spellEnd"/>
      <w:r w:rsidR="00030F3D" w:rsidRPr="009A547C">
        <w:rPr>
          <w:rFonts w:ascii="Times New Roman" w:eastAsiaTheme="minorHAnsi" w:hAnsi="Times New Roman"/>
          <w:sz w:val="24"/>
          <w:szCs w:val="24"/>
        </w:rPr>
        <w:t xml:space="preserve"> + protioconazol (</w:t>
      </w:r>
      <w:r w:rsidR="00030F3D" w:rsidRPr="009A547C">
        <w:rPr>
          <w:rFonts w:ascii="Times New Roman" w:hAnsi="Times New Roman"/>
          <w:color w:val="000000"/>
          <w:sz w:val="24"/>
          <w:szCs w:val="24"/>
        </w:rPr>
        <w:t xml:space="preserve">ADA FF 0090/16), sendo estes produtos utilizados apenas na primeira aplicação, enquanto </w:t>
      </w:r>
      <w:r w:rsidR="00030F3D" w:rsidRPr="00315E32">
        <w:rPr>
          <w:rFonts w:ascii="Times New Roman" w:hAnsi="Times New Roman"/>
          <w:color w:val="000000"/>
          <w:sz w:val="24"/>
          <w:szCs w:val="24"/>
        </w:rPr>
        <w:t xml:space="preserve">nos tratamentos de T2 a T8 foi utilizado na segunda aplicação </w:t>
      </w:r>
      <w:r w:rsidR="00030F3D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030F3D" w:rsidRPr="00315E32">
        <w:rPr>
          <w:rFonts w:ascii="Times New Roman" w:hAnsi="Times New Roman"/>
          <w:color w:val="000000"/>
          <w:sz w:val="24"/>
          <w:szCs w:val="24"/>
        </w:rPr>
        <w:t>bixafen + protioconazol + trifloxistrobina</w:t>
      </w:r>
      <w:r w:rsidR="00030F3D" w:rsidRPr="00315E32">
        <w:rPr>
          <w:rFonts w:ascii="Times New Roman" w:hAnsi="Times New Roman"/>
          <w:sz w:val="24"/>
          <w:szCs w:val="24"/>
        </w:rPr>
        <w:t xml:space="preserve"> (Fox</w:t>
      </w:r>
      <w:r w:rsidR="00030F3D" w:rsidRPr="00315E32">
        <w:rPr>
          <w:rFonts w:ascii="Times New Roman" w:hAnsi="Times New Roman"/>
          <w:sz w:val="24"/>
          <w:szCs w:val="24"/>
          <w:vertAlign w:val="superscript"/>
        </w:rPr>
        <w:t>®</w:t>
      </w:r>
      <w:r w:rsidR="00030F3D" w:rsidRPr="00315E32">
        <w:rPr>
          <w:rFonts w:ascii="Times New Roman" w:hAnsi="Times New Roman"/>
          <w:sz w:val="24"/>
          <w:szCs w:val="24"/>
        </w:rPr>
        <w:t xml:space="preserve"> Xpro), na terceira</w:t>
      </w:r>
      <w:r w:rsidR="00030F3D">
        <w:rPr>
          <w:rFonts w:ascii="Times New Roman" w:hAnsi="Times New Roman"/>
          <w:sz w:val="24"/>
          <w:szCs w:val="24"/>
        </w:rPr>
        <w:t xml:space="preserve"> aplicação o</w:t>
      </w:r>
      <w:r w:rsidR="00030F3D" w:rsidRPr="00315E32">
        <w:rPr>
          <w:rFonts w:ascii="Times New Roman" w:hAnsi="Times New Roman"/>
          <w:sz w:val="24"/>
          <w:szCs w:val="24"/>
        </w:rPr>
        <w:t xml:space="preserve"> epoxiconazol + fluxapiroxade + piraclostrobina (Ativum</w:t>
      </w:r>
      <w:r w:rsidR="00030F3D" w:rsidRPr="00315E32">
        <w:rPr>
          <w:rFonts w:ascii="Times New Roman" w:hAnsi="Times New Roman"/>
          <w:sz w:val="24"/>
          <w:szCs w:val="24"/>
          <w:vertAlign w:val="superscript"/>
        </w:rPr>
        <w:t>®</w:t>
      </w:r>
      <w:r w:rsidR="00030F3D" w:rsidRPr="00315E32">
        <w:rPr>
          <w:rFonts w:ascii="Times New Roman" w:hAnsi="Times New Roman"/>
          <w:sz w:val="24"/>
          <w:szCs w:val="24"/>
        </w:rPr>
        <w:t>) e na quarta aplicação</w:t>
      </w:r>
      <w:r w:rsidR="00030F3D">
        <w:rPr>
          <w:rFonts w:ascii="Times New Roman" w:hAnsi="Times New Roman"/>
          <w:sz w:val="24"/>
          <w:szCs w:val="24"/>
        </w:rPr>
        <w:t xml:space="preserve"> a</w:t>
      </w:r>
      <w:r w:rsidR="00030F3D" w:rsidRPr="00315E32">
        <w:rPr>
          <w:rFonts w:ascii="Times New Roman" w:hAnsi="Times New Roman"/>
          <w:sz w:val="24"/>
          <w:szCs w:val="24"/>
        </w:rPr>
        <w:t xml:space="preserve"> trifloxistrobina + ciproconazol associado ao clorotalonil (Sphere Max</w:t>
      </w:r>
      <w:r w:rsidR="00030F3D" w:rsidRPr="00315E32">
        <w:rPr>
          <w:rFonts w:ascii="Times New Roman" w:hAnsi="Times New Roman"/>
          <w:sz w:val="24"/>
          <w:szCs w:val="24"/>
          <w:vertAlign w:val="superscript"/>
        </w:rPr>
        <w:t>®</w:t>
      </w:r>
      <w:r w:rsidR="00030F3D" w:rsidRPr="00315E32">
        <w:rPr>
          <w:rFonts w:ascii="Times New Roman" w:hAnsi="Times New Roman"/>
          <w:sz w:val="24"/>
          <w:szCs w:val="24"/>
        </w:rPr>
        <w:t xml:space="preserve"> + Previnil</w:t>
      </w:r>
      <w:r w:rsidR="00030F3D" w:rsidRPr="00315E32">
        <w:rPr>
          <w:rFonts w:ascii="Times New Roman" w:hAnsi="Times New Roman"/>
          <w:sz w:val="24"/>
          <w:szCs w:val="24"/>
          <w:vertAlign w:val="superscript"/>
        </w:rPr>
        <w:t>®</w:t>
      </w:r>
      <w:r w:rsidR="00030F3D" w:rsidRPr="00315E32">
        <w:rPr>
          <w:rFonts w:ascii="Times New Roman" w:hAnsi="Times New Roman"/>
          <w:sz w:val="24"/>
          <w:szCs w:val="24"/>
        </w:rPr>
        <w:t xml:space="preserve">). Foram avaliados: a) </w:t>
      </w:r>
      <w:r w:rsidR="00030F3D" w:rsidRPr="00B54E1D">
        <w:rPr>
          <w:rFonts w:ascii="Times New Roman" w:hAnsi="Times New Roman"/>
          <w:sz w:val="24"/>
          <w:szCs w:val="24"/>
          <w:u w:val="single"/>
        </w:rPr>
        <w:t>severidade das doenças</w:t>
      </w:r>
      <w:r w:rsidR="00030F3D" w:rsidRPr="00315E32">
        <w:rPr>
          <w:rFonts w:ascii="Times New Roman" w:hAnsi="Times New Roman"/>
          <w:sz w:val="24"/>
          <w:szCs w:val="24"/>
        </w:rPr>
        <w:t xml:space="preserve">: estimativa da porcentagem de doenças em 10 folíolos coletados aleatoriamente em plantas da área útil da parcela, com auxílio das escalas de Martins et al. (2004) para as </w:t>
      </w:r>
      <w:proofErr w:type="spellStart"/>
      <w:r w:rsidR="00030F3D" w:rsidRPr="00315E32">
        <w:rPr>
          <w:rFonts w:ascii="Times New Roman" w:hAnsi="Times New Roman"/>
          <w:sz w:val="24"/>
          <w:szCs w:val="24"/>
        </w:rPr>
        <w:t>DFC’s</w:t>
      </w:r>
      <w:proofErr w:type="spellEnd"/>
      <w:r w:rsidR="00030F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30F3D" w:rsidRPr="00766054">
        <w:rPr>
          <w:rFonts w:ascii="Times New Roman" w:hAnsi="Times New Roman"/>
          <w:i/>
          <w:iCs/>
          <w:sz w:val="24"/>
          <w:szCs w:val="24"/>
        </w:rPr>
        <w:t>Septoria</w:t>
      </w:r>
      <w:proofErr w:type="spellEnd"/>
      <w:r w:rsidR="00030F3D" w:rsidRPr="007660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30F3D" w:rsidRPr="00766054">
        <w:rPr>
          <w:rFonts w:ascii="Times New Roman" w:hAnsi="Times New Roman"/>
          <w:i/>
          <w:iCs/>
          <w:sz w:val="24"/>
          <w:szCs w:val="24"/>
        </w:rPr>
        <w:t>glycines</w:t>
      </w:r>
      <w:proofErr w:type="spellEnd"/>
      <w:r w:rsidR="00030F3D">
        <w:rPr>
          <w:rFonts w:ascii="Times New Roman" w:hAnsi="Times New Roman"/>
          <w:sz w:val="24"/>
          <w:szCs w:val="24"/>
        </w:rPr>
        <w:t xml:space="preserve"> </w:t>
      </w:r>
      <w:r w:rsidR="00030F3D" w:rsidRPr="00766054">
        <w:rPr>
          <w:rFonts w:ascii="Times New Roman" w:hAnsi="Times New Roman"/>
          <w:i/>
          <w:iCs/>
          <w:sz w:val="24"/>
          <w:szCs w:val="24"/>
        </w:rPr>
        <w:t>e Cercospora kikuchii</w:t>
      </w:r>
      <w:r w:rsidR="00030F3D">
        <w:rPr>
          <w:rFonts w:ascii="Times New Roman" w:hAnsi="Times New Roman"/>
          <w:sz w:val="24"/>
          <w:szCs w:val="24"/>
        </w:rPr>
        <w:t>)</w:t>
      </w:r>
      <w:r w:rsidR="00030F3D" w:rsidRPr="00315E32">
        <w:rPr>
          <w:rFonts w:ascii="Times New Roman" w:hAnsi="Times New Roman"/>
          <w:sz w:val="24"/>
          <w:szCs w:val="24"/>
        </w:rPr>
        <w:t>, de Soares et al. (2009) para a mancha alvo, de Canteri e Godoy (2003) para a ferrugem e de Mattiazzi (2003) para o oídio. As avaliações foram realizadas em pré-spray e aos 10 dias após a última</w:t>
      </w:r>
      <w:r w:rsidR="00B54E1D">
        <w:rPr>
          <w:rFonts w:ascii="Times New Roman" w:hAnsi="Times New Roman"/>
          <w:sz w:val="24"/>
          <w:szCs w:val="24"/>
        </w:rPr>
        <w:t xml:space="preserve"> aplicação</w:t>
      </w:r>
      <w:r w:rsidR="00030F3D" w:rsidRPr="00315E32">
        <w:rPr>
          <w:rFonts w:ascii="Times New Roman" w:hAnsi="Times New Roman"/>
          <w:sz w:val="24"/>
          <w:szCs w:val="24"/>
        </w:rPr>
        <w:t xml:space="preserve">; b) </w:t>
      </w:r>
      <w:r w:rsidR="00030F3D" w:rsidRPr="00B54E1D">
        <w:rPr>
          <w:rFonts w:ascii="Times New Roman" w:hAnsi="Times New Roman"/>
          <w:sz w:val="24"/>
          <w:szCs w:val="24"/>
          <w:u w:val="single"/>
        </w:rPr>
        <w:t>desfolha</w:t>
      </w:r>
      <w:r w:rsidR="00030F3D" w:rsidRPr="00315E32">
        <w:rPr>
          <w:rFonts w:ascii="Times New Roman" w:hAnsi="Times New Roman"/>
          <w:sz w:val="24"/>
          <w:szCs w:val="24"/>
        </w:rPr>
        <w:t xml:space="preserve">: estimativa na parcela no estádio R6, com auxílio da escala de </w:t>
      </w:r>
      <w:proofErr w:type="spellStart"/>
      <w:r w:rsidR="00030F3D" w:rsidRPr="00315E32">
        <w:rPr>
          <w:rFonts w:ascii="Times New Roman" w:hAnsi="Times New Roman"/>
          <w:sz w:val="24"/>
          <w:szCs w:val="24"/>
        </w:rPr>
        <w:t>Hirano</w:t>
      </w:r>
      <w:proofErr w:type="spellEnd"/>
      <w:r w:rsidR="00030F3D" w:rsidRPr="00315E32">
        <w:rPr>
          <w:rFonts w:ascii="Times New Roman" w:hAnsi="Times New Roman"/>
          <w:sz w:val="24"/>
          <w:szCs w:val="24"/>
        </w:rPr>
        <w:t xml:space="preserve"> et al. (2010); c) </w:t>
      </w:r>
      <w:r w:rsidR="00030F3D" w:rsidRPr="00B54E1D">
        <w:rPr>
          <w:rFonts w:ascii="Times New Roman" w:hAnsi="Times New Roman"/>
          <w:sz w:val="24"/>
          <w:szCs w:val="24"/>
          <w:u w:val="single"/>
        </w:rPr>
        <w:t>massa de 1000 grãos</w:t>
      </w:r>
      <w:r w:rsidR="00030F3D" w:rsidRPr="00315E32">
        <w:rPr>
          <w:rFonts w:ascii="Times New Roman" w:hAnsi="Times New Roman"/>
          <w:sz w:val="24"/>
          <w:szCs w:val="24"/>
        </w:rPr>
        <w:t xml:space="preserve">: pesagem de quatro amostras de 100 sementes/parcela e correção da umidade para 13% e d) </w:t>
      </w:r>
      <w:r w:rsidR="00030F3D" w:rsidRPr="00B54E1D">
        <w:rPr>
          <w:rFonts w:ascii="Times New Roman" w:hAnsi="Times New Roman"/>
          <w:sz w:val="24"/>
          <w:szCs w:val="24"/>
          <w:u w:val="single"/>
        </w:rPr>
        <w:t>produtividade</w:t>
      </w:r>
      <w:r w:rsidR="00030F3D" w:rsidRPr="00315E32">
        <w:rPr>
          <w:rFonts w:ascii="Times New Roman" w:hAnsi="Times New Roman"/>
          <w:sz w:val="24"/>
          <w:szCs w:val="24"/>
        </w:rPr>
        <w:t xml:space="preserve">: pesagem das sementes provenientes das plantas da área útil da parcela e, correção da umidade para 13%. </w:t>
      </w:r>
      <w:r w:rsidR="00B54E1D" w:rsidRPr="004C7CA2">
        <w:rPr>
          <w:rFonts w:ascii="Times New Roman" w:hAnsi="Times New Roman"/>
          <w:sz w:val="24"/>
          <w:szCs w:val="24"/>
        </w:rPr>
        <w:t>Os dados foram submetidos a Anova e comparação de médias pelo Teste de Scott-Knott a 5% de significância.</w:t>
      </w:r>
      <w:r w:rsidR="00030F3D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030F3D">
        <w:rPr>
          <w:rFonts w:ascii="Times New Roman" w:hAnsi="Times New Roman"/>
          <w:sz w:val="24"/>
          <w:szCs w:val="24"/>
        </w:rPr>
        <w:t>DFC’s</w:t>
      </w:r>
      <w:proofErr w:type="spellEnd"/>
      <w:r w:rsidR="00030F3D">
        <w:rPr>
          <w:rFonts w:ascii="Times New Roman" w:hAnsi="Times New Roman"/>
          <w:sz w:val="24"/>
          <w:szCs w:val="24"/>
        </w:rPr>
        <w:t xml:space="preserve"> estiveram presentes no ensaio desde a primeira </w:t>
      </w:r>
      <w:r w:rsidR="00030F3D" w:rsidRPr="00923C3B">
        <w:rPr>
          <w:rFonts w:ascii="Times New Roman" w:hAnsi="Times New Roman"/>
          <w:sz w:val="24"/>
          <w:szCs w:val="24"/>
        </w:rPr>
        <w:t xml:space="preserve">aplicação dos tratamentos, mas, em baixa severidade até a sua finalização, sendo a doença em maior severidade a mancha alvo, confirmando a suscetibilidade desta cultivar a esta doença. A ferrugem e o oídio foram constatados apenas no final do ciclo da cultura e em baixa </w:t>
      </w:r>
      <w:r w:rsidR="00030F3D" w:rsidRPr="00923C3B">
        <w:rPr>
          <w:rFonts w:ascii="Times New Roman" w:hAnsi="Times New Roman"/>
          <w:sz w:val="24"/>
          <w:szCs w:val="24"/>
        </w:rPr>
        <w:lastRenderedPageBreak/>
        <w:t>severidade. Entre os tratamentos, houve diferenças estatísticas na severidade da mancha alvo (menor</w:t>
      </w:r>
      <w:r w:rsidR="00030F3D">
        <w:rPr>
          <w:rFonts w:ascii="Times New Roman" w:hAnsi="Times New Roman"/>
          <w:sz w:val="24"/>
          <w:szCs w:val="24"/>
        </w:rPr>
        <w:t xml:space="preserve"> severidade= T2 a T8), na</w:t>
      </w:r>
      <w:r w:rsidR="00030F3D" w:rsidRPr="00CC0C17">
        <w:rPr>
          <w:rFonts w:ascii="Times New Roman" w:hAnsi="Times New Roman"/>
          <w:sz w:val="24"/>
          <w:szCs w:val="24"/>
        </w:rPr>
        <w:t xml:space="preserve"> </w:t>
      </w:r>
      <w:r w:rsidR="00030F3D">
        <w:rPr>
          <w:rFonts w:ascii="Times New Roman" w:hAnsi="Times New Roman"/>
          <w:sz w:val="24"/>
          <w:szCs w:val="24"/>
        </w:rPr>
        <w:t xml:space="preserve">desfolha das plantas (menor desfolha= T2, T4, T6, T7 e T8), na massa de 1000 grãos (maior massa= T2, T3, T6, T7 e T8) e na </w:t>
      </w:r>
      <w:r w:rsidR="00030F3D" w:rsidRPr="00CC0C17">
        <w:rPr>
          <w:rFonts w:ascii="Times New Roman" w:hAnsi="Times New Roman"/>
          <w:sz w:val="24"/>
          <w:szCs w:val="24"/>
        </w:rPr>
        <w:t>produtividade</w:t>
      </w:r>
      <w:r w:rsidR="00030F3D">
        <w:rPr>
          <w:rFonts w:ascii="Times New Roman" w:hAnsi="Times New Roman"/>
          <w:sz w:val="24"/>
          <w:szCs w:val="24"/>
        </w:rPr>
        <w:t xml:space="preserve"> (maior produtividade= T3, T4, T6, T7 e T8)</w:t>
      </w:r>
      <w:r w:rsidR="00030F3D" w:rsidRPr="00CC0C17">
        <w:rPr>
          <w:rFonts w:ascii="Times New Roman" w:hAnsi="Times New Roman"/>
          <w:sz w:val="24"/>
          <w:szCs w:val="24"/>
        </w:rPr>
        <w:t>.</w:t>
      </w:r>
      <w:r w:rsidR="00030F3D">
        <w:rPr>
          <w:rFonts w:ascii="Times New Roman" w:hAnsi="Times New Roman"/>
          <w:sz w:val="24"/>
          <w:szCs w:val="24"/>
        </w:rPr>
        <w:t xml:space="preserve"> Conclui-se que a aplicação de fungicidas iniciada em V5 se assemelha as aplicações iniciadas em R1 para esses parâmetros avaliados, exceto para a produtividade, que é superior quando se realiza aplicações de alguns fungicidas neste estádio (T3, T4, T6, T7 e T8). </w:t>
      </w:r>
    </w:p>
    <w:p w14:paraId="0348DD46" w14:textId="77777777" w:rsidR="00030F3D" w:rsidRPr="00C3125C" w:rsidRDefault="00030F3D" w:rsidP="00030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BFC7" w14:textId="6CC9EEC5" w:rsidR="003171C4" w:rsidRPr="00871BA6" w:rsidRDefault="00030F3D" w:rsidP="00030F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1BA6">
        <w:rPr>
          <w:rFonts w:ascii="Times New Roman" w:hAnsi="Times New Roman"/>
          <w:b/>
          <w:sz w:val="24"/>
          <w:szCs w:val="24"/>
        </w:rPr>
        <w:t>Palavras-chave:</w:t>
      </w:r>
      <w:r w:rsidRPr="00871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BA6">
        <w:rPr>
          <w:rFonts w:ascii="Times New Roman" w:hAnsi="Times New Roman"/>
          <w:i/>
          <w:iCs/>
          <w:sz w:val="24"/>
          <w:szCs w:val="24"/>
        </w:rPr>
        <w:t>Glycine</w:t>
      </w:r>
      <w:proofErr w:type="spellEnd"/>
      <w:r w:rsidRPr="00871B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1BA6">
        <w:rPr>
          <w:rFonts w:ascii="Times New Roman" w:hAnsi="Times New Roman"/>
          <w:i/>
          <w:iCs/>
          <w:sz w:val="24"/>
          <w:szCs w:val="24"/>
        </w:rPr>
        <w:t>max</w:t>
      </w:r>
      <w:proofErr w:type="spellEnd"/>
      <w:r w:rsidRPr="00871BA6">
        <w:rPr>
          <w:rFonts w:ascii="Times New Roman" w:hAnsi="Times New Roman"/>
          <w:sz w:val="24"/>
          <w:szCs w:val="24"/>
        </w:rPr>
        <w:t xml:space="preserve">, severidade, </w:t>
      </w:r>
      <w:proofErr w:type="spellStart"/>
      <w:r w:rsidRPr="00871BA6">
        <w:rPr>
          <w:rFonts w:ascii="Times New Roman" w:hAnsi="Times New Roman"/>
          <w:sz w:val="24"/>
          <w:szCs w:val="24"/>
        </w:rPr>
        <w:t>DFC’s</w:t>
      </w:r>
      <w:proofErr w:type="spellEnd"/>
      <w:r w:rsidRPr="00871BA6">
        <w:rPr>
          <w:rFonts w:ascii="Times New Roman" w:hAnsi="Times New Roman"/>
          <w:sz w:val="24"/>
          <w:szCs w:val="24"/>
        </w:rPr>
        <w:t>, mancha alvo, produtividade.</w:t>
      </w:r>
    </w:p>
    <w:sectPr w:rsidR="003171C4" w:rsidRPr="00871BA6" w:rsidSect="00A3703A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361E" w14:textId="77777777" w:rsidR="00557CF3" w:rsidRDefault="00557CF3" w:rsidP="00D40B49">
      <w:pPr>
        <w:spacing w:after="0" w:line="240" w:lineRule="auto"/>
      </w:pPr>
      <w:r>
        <w:separator/>
      </w:r>
    </w:p>
  </w:endnote>
  <w:endnote w:type="continuationSeparator" w:id="0">
    <w:p w14:paraId="4374F856" w14:textId="77777777" w:rsidR="00557CF3" w:rsidRDefault="00557CF3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008D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31085706" wp14:editId="27FF55DA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CF7EB" w14:textId="77777777" w:rsidR="009239A9" w:rsidRDefault="00557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CE8E" w14:textId="77777777" w:rsidR="00557CF3" w:rsidRDefault="00557CF3" w:rsidP="00D40B49">
      <w:pPr>
        <w:spacing w:after="0" w:line="240" w:lineRule="auto"/>
      </w:pPr>
      <w:r>
        <w:separator/>
      </w:r>
    </w:p>
  </w:footnote>
  <w:footnote w:type="continuationSeparator" w:id="0">
    <w:p w14:paraId="6C7463D2" w14:textId="77777777" w:rsidR="00557CF3" w:rsidRDefault="00557CF3" w:rsidP="00D40B49">
      <w:pPr>
        <w:spacing w:after="0" w:line="240" w:lineRule="auto"/>
      </w:pPr>
      <w:r>
        <w:continuationSeparator/>
      </w:r>
    </w:p>
  </w:footnote>
  <w:footnote w:id="1">
    <w:p w14:paraId="098D496A" w14:textId="1649810D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680019">
        <w:rPr>
          <w:rFonts w:ascii="Times New Roman" w:hAnsi="Times New Roman"/>
        </w:rPr>
        <w:t xml:space="preserve"> </w:t>
      </w:r>
      <w:r w:rsidR="00030F3D">
        <w:rPr>
          <w:rFonts w:ascii="Times New Roman" w:hAnsi="Times New Roman"/>
        </w:rPr>
        <w:t>Aluno da UNIFAAHF; Curso de Agronomia</w:t>
      </w:r>
      <w:r w:rsidR="006375B3">
        <w:rPr>
          <w:rFonts w:ascii="Times New Roman" w:hAnsi="Times New Roman"/>
        </w:rPr>
        <w:t>. augusto.cardozo@circuloverde.com.br</w:t>
      </w:r>
    </w:p>
  </w:footnote>
  <w:footnote w:id="2">
    <w:p w14:paraId="0C462A59" w14:textId="1AAE2209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030F3D">
        <w:rPr>
          <w:rFonts w:ascii="Times New Roman" w:hAnsi="Times New Roman"/>
        </w:rPr>
        <w:t>Engenheira Agrônoma; Círculo Verde Assessoria Agronômica e Pesquisa</w:t>
      </w:r>
    </w:p>
  </w:footnote>
  <w:footnote w:id="3">
    <w:p w14:paraId="7AD34CB4" w14:textId="21E93FA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3171C4">
        <w:rPr>
          <w:rFonts w:ascii="Times New Roman" w:hAnsi="Times New Roman"/>
        </w:rPr>
        <w:t xml:space="preserve"> </w:t>
      </w:r>
      <w:r w:rsidR="00030F3D">
        <w:rPr>
          <w:rFonts w:ascii="Times New Roman" w:hAnsi="Times New Roman"/>
        </w:rPr>
        <w:t>Engenheiro Agrônomo; Círculo Verde Assessoria Agronômica e Pesquisa.</w:t>
      </w:r>
    </w:p>
  </w:footnote>
  <w:footnote w:id="4">
    <w:p w14:paraId="17329452" w14:textId="6313A33B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Engenheiro Agrônomo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</w:t>
      </w:r>
      <w:r w:rsidR="003171C4" w:rsidRPr="00671461">
        <w:rPr>
          <w:rFonts w:ascii="Times New Roman" w:hAnsi="Times New Roman"/>
        </w:rPr>
        <w:t>.</w:t>
      </w:r>
      <w:r w:rsidR="003171C4">
        <w:rPr>
          <w:rFonts w:ascii="Times New Roman" w:hAnsi="Times New Roman"/>
        </w:rPr>
        <w:t xml:space="preserve"> Docente da UNEB/ Campus IX</w:t>
      </w:r>
      <w:r w:rsidRPr="00671461">
        <w:rPr>
          <w:rFonts w:ascii="Times New Roman" w:hAnsi="Times New Roman"/>
        </w:rPr>
        <w:t>.</w:t>
      </w:r>
      <w:r w:rsidR="00030F3D">
        <w:rPr>
          <w:rFonts w:ascii="Times New Roman" w:hAnsi="Times New Roman"/>
        </w:rPr>
        <w:t xml:space="preserve"> Agronomia</w:t>
      </w:r>
    </w:p>
  </w:footnote>
  <w:footnote w:id="5">
    <w:p w14:paraId="0A70DC3E" w14:textId="3166FD5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Engenheira Agrônoma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Doutora. Docente da UNIFAAHF</w:t>
      </w:r>
      <w:r w:rsidRPr="00671461">
        <w:rPr>
          <w:rFonts w:ascii="Times New Roman" w:hAnsi="Times New Roman"/>
        </w:rPr>
        <w:t xml:space="preserve">. </w:t>
      </w:r>
      <w:r w:rsidR="00030F3D">
        <w:rPr>
          <w:rFonts w:ascii="Times New Roman" w:hAnsi="Times New Roman"/>
        </w:rPr>
        <w:t>Agronomia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83B6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5D7A66" wp14:editId="3A2D6143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F928BE" wp14:editId="669D065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57FF99F5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30F3D"/>
    <w:rsid w:val="00037407"/>
    <w:rsid w:val="000E64FC"/>
    <w:rsid w:val="00101B45"/>
    <w:rsid w:val="00102B9F"/>
    <w:rsid w:val="003171C4"/>
    <w:rsid w:val="004C3139"/>
    <w:rsid w:val="00557CF3"/>
    <w:rsid w:val="00625DBC"/>
    <w:rsid w:val="006375B3"/>
    <w:rsid w:val="00680019"/>
    <w:rsid w:val="00871BA6"/>
    <w:rsid w:val="0087761D"/>
    <w:rsid w:val="0093310E"/>
    <w:rsid w:val="00A3703A"/>
    <w:rsid w:val="00AA7DEC"/>
    <w:rsid w:val="00B54E1D"/>
    <w:rsid w:val="00C43FB7"/>
    <w:rsid w:val="00C62C7A"/>
    <w:rsid w:val="00C7349E"/>
    <w:rsid w:val="00CF08F2"/>
    <w:rsid w:val="00D40B49"/>
    <w:rsid w:val="00D94B74"/>
    <w:rsid w:val="00DC44BF"/>
    <w:rsid w:val="00DD6BC6"/>
    <w:rsid w:val="00DE0B50"/>
    <w:rsid w:val="00F94A75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EAED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Augusto Cardozo</cp:lastModifiedBy>
  <cp:revision>2</cp:revision>
  <dcterms:created xsi:type="dcterms:W3CDTF">2020-10-14T20:12:00Z</dcterms:created>
  <dcterms:modified xsi:type="dcterms:W3CDTF">2020-10-14T20:12:00Z</dcterms:modified>
</cp:coreProperties>
</file>