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7C0E" w14:textId="463F93B8" w:rsidR="007071D9" w:rsidRDefault="009C5609">
      <w:pPr>
        <w:spacing w:after="0" w:line="240" w:lineRule="auto"/>
        <w:jc w:val="center"/>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POLÍTICAS PÚBLICAS EDUCACIONAIS E CAPITAL: A INFLUÊNCIA DO NEOLIBERALISMO NA EDUCAÇÃO</w:t>
      </w:r>
    </w:p>
    <w:p w14:paraId="113D04CF" w14:textId="77777777" w:rsidR="007071D9" w:rsidRDefault="007071D9">
      <w:pPr>
        <w:spacing w:after="0" w:line="240" w:lineRule="auto"/>
        <w:jc w:val="right"/>
        <w:rPr>
          <w:rFonts w:ascii="Times New Roman" w:eastAsia="Times New Roman" w:hAnsi="Times New Roman" w:cs="Times New Roman"/>
          <w:bCs/>
          <w:sz w:val="24"/>
          <w:szCs w:val="24"/>
          <w:lang w:eastAsia="pt-BR"/>
        </w:rPr>
      </w:pPr>
    </w:p>
    <w:p w14:paraId="6CEE4194" w14:textId="493317ED" w:rsidR="008F24BA" w:rsidRPr="008F24BA" w:rsidRDefault="00542F8C" w:rsidP="008F24BA">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 xml:space="preserve">Igo </w:t>
      </w:r>
      <w:proofErr w:type="spellStart"/>
      <w:r>
        <w:rPr>
          <w:rFonts w:ascii="Times New Roman" w:eastAsia="Times New Roman" w:hAnsi="Times New Roman" w:cs="Times New Roman"/>
          <w:bCs/>
          <w:sz w:val="24"/>
          <w:szCs w:val="24"/>
          <w:lang w:eastAsia="pt-BR"/>
        </w:rPr>
        <w:t>Helveccio</w:t>
      </w:r>
      <w:proofErr w:type="spellEnd"/>
      <w:r>
        <w:rPr>
          <w:rFonts w:ascii="Times New Roman" w:eastAsia="Times New Roman" w:hAnsi="Times New Roman" w:cs="Times New Roman"/>
          <w:bCs/>
          <w:sz w:val="24"/>
          <w:szCs w:val="24"/>
          <w:lang w:eastAsia="pt-BR"/>
        </w:rPr>
        <w:t xml:space="preserve"> Silva Rosa</w:t>
      </w:r>
    </w:p>
    <w:p w14:paraId="0B56B671" w14:textId="77777777" w:rsidR="008F24BA" w:rsidRDefault="008F24BA" w:rsidP="008F24BA">
      <w:pPr>
        <w:spacing w:after="0" w:line="240" w:lineRule="auto"/>
        <w:jc w:val="right"/>
        <w:rPr>
          <w:rFonts w:ascii="Times New Roman" w:eastAsia="Times New Roman" w:hAnsi="Times New Roman" w:cs="Times New Roman"/>
          <w:bCs/>
          <w:sz w:val="24"/>
          <w:szCs w:val="24"/>
          <w:lang w:eastAsia="pt-BR"/>
        </w:rPr>
      </w:pPr>
      <w:r w:rsidRPr="008F24BA">
        <w:rPr>
          <w:rFonts w:ascii="Times New Roman" w:eastAsia="Times New Roman" w:hAnsi="Times New Roman" w:cs="Times New Roman"/>
          <w:bCs/>
          <w:sz w:val="24"/>
          <w:szCs w:val="24"/>
          <w:lang w:eastAsia="pt-BR"/>
        </w:rPr>
        <w:t>Universidade Estadual de Montes Claros</w:t>
      </w:r>
    </w:p>
    <w:p w14:paraId="18A1C147" w14:textId="38DEE941" w:rsidR="007071D9" w:rsidRDefault="00542F8C" w:rsidP="00542F8C">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igohelveccio@gmail.com</w:t>
      </w:r>
      <w:r w:rsidR="008F24BA">
        <w:rPr>
          <w:rFonts w:ascii="Times New Roman" w:eastAsia="Times New Roman" w:hAnsi="Times New Roman" w:cs="Times New Roman"/>
          <w:bCs/>
          <w:sz w:val="24"/>
          <w:szCs w:val="24"/>
          <w:lang w:eastAsia="pt-BR"/>
        </w:rPr>
        <w:t xml:space="preserve"> </w:t>
      </w:r>
      <w:r w:rsidR="008F24BA" w:rsidRPr="008F24BA">
        <w:rPr>
          <w:rFonts w:ascii="Times New Roman" w:eastAsia="Times New Roman" w:hAnsi="Times New Roman" w:cs="Times New Roman"/>
          <w:bCs/>
          <w:sz w:val="24"/>
          <w:szCs w:val="24"/>
          <w:lang w:eastAsia="pt-BR"/>
        </w:rPr>
        <w:t xml:space="preserve"> </w:t>
      </w:r>
      <w:r w:rsidR="008F24BA">
        <w:rPr>
          <w:rFonts w:ascii="Times New Roman" w:eastAsia="Times New Roman" w:hAnsi="Times New Roman" w:cs="Times New Roman"/>
          <w:bCs/>
          <w:sz w:val="24"/>
          <w:szCs w:val="24"/>
          <w:lang w:eastAsia="pt-BR"/>
        </w:rPr>
        <w:t xml:space="preserve"> </w:t>
      </w:r>
      <w:r w:rsidR="0022620C">
        <w:rPr>
          <w:rFonts w:ascii="Times New Roman" w:eastAsia="Times New Roman" w:hAnsi="Times New Roman" w:cs="Times New Roman"/>
          <w:bCs/>
          <w:sz w:val="24"/>
          <w:szCs w:val="24"/>
          <w:lang w:eastAsia="pt-BR"/>
        </w:rPr>
        <w:t xml:space="preserve"> </w:t>
      </w:r>
    </w:p>
    <w:p w14:paraId="10808B6D" w14:textId="77777777" w:rsidR="0022620C" w:rsidRDefault="0022620C" w:rsidP="0022620C">
      <w:pPr>
        <w:spacing w:after="0" w:line="240" w:lineRule="auto"/>
        <w:jc w:val="right"/>
        <w:rPr>
          <w:rFonts w:ascii="Times New Roman" w:eastAsia="Times New Roman" w:hAnsi="Times New Roman" w:cs="Times New Roman"/>
          <w:sz w:val="24"/>
          <w:szCs w:val="24"/>
          <w:lang w:eastAsia="pt-BR"/>
        </w:rPr>
      </w:pPr>
    </w:p>
    <w:p w14:paraId="6B3EF30C" w14:textId="77777777" w:rsidR="0022620C" w:rsidRDefault="0022620C" w:rsidP="0022620C">
      <w:pPr>
        <w:spacing w:after="0" w:line="240" w:lineRule="auto"/>
        <w:jc w:val="right"/>
        <w:rPr>
          <w:rFonts w:ascii="Times New Roman" w:eastAsia="Times New Roman" w:hAnsi="Times New Roman" w:cs="Times New Roman"/>
          <w:sz w:val="24"/>
          <w:szCs w:val="24"/>
          <w:lang w:eastAsia="pt-BR"/>
        </w:rPr>
      </w:pPr>
    </w:p>
    <w:p w14:paraId="52E0ACE3" w14:textId="201224E3" w:rsidR="00AA273C" w:rsidRDefault="00ED1BDE" w:rsidP="00AA273C">
      <w:pPr>
        <w:spacing w:after="0" w:line="240" w:lineRule="auto"/>
        <w:jc w:val="right"/>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Eixo</w:t>
      </w:r>
      <w:r w:rsidRPr="0022620C">
        <w:rPr>
          <w:rFonts w:ascii="Times New Roman" w:eastAsia="Times New Roman" w:hAnsi="Times New Roman" w:cs="Times New Roman"/>
          <w:b/>
          <w:bCs/>
          <w:sz w:val="24"/>
          <w:szCs w:val="24"/>
          <w:lang w:eastAsia="pt-BR"/>
        </w:rPr>
        <w:t>:</w:t>
      </w:r>
      <w:r w:rsidR="0022620C">
        <w:rPr>
          <w:rFonts w:ascii="Times New Roman" w:eastAsia="Times New Roman" w:hAnsi="Times New Roman" w:cs="Times New Roman"/>
          <w:b/>
          <w:bCs/>
          <w:sz w:val="24"/>
          <w:szCs w:val="24"/>
          <w:lang w:eastAsia="pt-BR"/>
        </w:rPr>
        <w:t xml:space="preserve"> </w:t>
      </w:r>
      <w:r w:rsidR="00AA273C" w:rsidRPr="00337DFD">
        <w:rPr>
          <w:rFonts w:ascii="Times New Roman" w:eastAsia="Times New Roman" w:hAnsi="Times New Roman" w:cs="Times New Roman"/>
          <w:sz w:val="24"/>
          <w:szCs w:val="24"/>
          <w:lang w:eastAsia="pt-BR"/>
        </w:rPr>
        <w:t>Políticas Públicas e Gestão da Educação</w:t>
      </w:r>
    </w:p>
    <w:p w14:paraId="68FF06F9" w14:textId="10556E17" w:rsidR="007071D9" w:rsidRDefault="007071D9">
      <w:pPr>
        <w:wordWrap w:val="0"/>
        <w:spacing w:after="0" w:line="240" w:lineRule="auto"/>
        <w:jc w:val="right"/>
        <w:rPr>
          <w:rFonts w:ascii="Times New Roman" w:eastAsia="Times New Roman" w:hAnsi="Times New Roman" w:cs="Times New Roman"/>
          <w:b/>
          <w:bCs/>
          <w:sz w:val="24"/>
          <w:szCs w:val="24"/>
          <w:lang w:eastAsia="pt-BR"/>
        </w:rPr>
      </w:pPr>
    </w:p>
    <w:p w14:paraId="1ABB62CA" w14:textId="77777777" w:rsidR="0022620C" w:rsidRPr="0022620C" w:rsidRDefault="0022620C">
      <w:pPr>
        <w:wordWrap w:val="0"/>
        <w:spacing w:after="0" w:line="240" w:lineRule="auto"/>
        <w:jc w:val="right"/>
        <w:rPr>
          <w:rFonts w:ascii="Times New Roman" w:eastAsia="Times New Roman" w:hAnsi="Times New Roman" w:cs="Times New Roman"/>
          <w:b/>
          <w:bCs/>
          <w:sz w:val="24"/>
          <w:szCs w:val="24"/>
          <w:lang w:eastAsia="pt-BR"/>
        </w:rPr>
      </w:pPr>
    </w:p>
    <w:p w14:paraId="21C99B2E" w14:textId="59F9EB60" w:rsidR="007071D9" w:rsidRPr="0022620C" w:rsidRDefault="00ED1BDE" w:rsidP="0022620C">
      <w:pPr>
        <w:spacing w:after="0" w:line="240" w:lineRule="auto"/>
        <w:jc w:val="right"/>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Palavras-chave:</w:t>
      </w:r>
      <w:r w:rsidR="0022620C">
        <w:rPr>
          <w:rFonts w:ascii="Times New Roman" w:eastAsia="Times New Roman" w:hAnsi="Times New Roman" w:cs="Times New Roman"/>
          <w:b/>
          <w:sz w:val="24"/>
          <w:szCs w:val="24"/>
          <w:lang w:eastAsia="pt-BR"/>
        </w:rPr>
        <w:t xml:space="preserve"> </w:t>
      </w:r>
      <w:r w:rsidR="008F24BA" w:rsidRPr="008F24BA">
        <w:rPr>
          <w:rFonts w:ascii="Times New Roman" w:eastAsia="Times New Roman" w:hAnsi="Times New Roman" w:cs="Times New Roman"/>
          <w:b/>
          <w:sz w:val="24"/>
          <w:szCs w:val="24"/>
          <w:lang w:eastAsia="pt-BR"/>
        </w:rPr>
        <w:t>P</w:t>
      </w:r>
      <w:r w:rsidR="00AA273C">
        <w:rPr>
          <w:rFonts w:ascii="Times New Roman" w:eastAsia="Times New Roman" w:hAnsi="Times New Roman" w:cs="Times New Roman"/>
          <w:b/>
          <w:sz w:val="24"/>
          <w:szCs w:val="24"/>
          <w:lang w:eastAsia="pt-BR"/>
        </w:rPr>
        <w:t>olíticas Públicas</w:t>
      </w:r>
      <w:r w:rsidR="008F24BA" w:rsidRPr="008F24BA">
        <w:rPr>
          <w:rFonts w:ascii="Times New Roman" w:eastAsia="Times New Roman" w:hAnsi="Times New Roman" w:cs="Times New Roman"/>
          <w:b/>
          <w:sz w:val="24"/>
          <w:szCs w:val="24"/>
          <w:lang w:eastAsia="pt-BR"/>
        </w:rPr>
        <w:t xml:space="preserve">; </w:t>
      </w:r>
      <w:r w:rsidR="00AA273C">
        <w:rPr>
          <w:rFonts w:ascii="Times New Roman" w:eastAsia="Times New Roman" w:hAnsi="Times New Roman" w:cs="Times New Roman"/>
          <w:b/>
          <w:sz w:val="24"/>
          <w:szCs w:val="24"/>
          <w:lang w:eastAsia="pt-BR"/>
        </w:rPr>
        <w:t>Reforma do Estado</w:t>
      </w:r>
      <w:r w:rsidR="008F24BA">
        <w:rPr>
          <w:rFonts w:ascii="Times New Roman" w:eastAsia="Times New Roman" w:hAnsi="Times New Roman" w:cs="Times New Roman"/>
          <w:b/>
          <w:sz w:val="24"/>
          <w:szCs w:val="24"/>
          <w:lang w:eastAsia="pt-BR"/>
        </w:rPr>
        <w:t xml:space="preserve">; </w:t>
      </w:r>
      <w:r w:rsidR="00AA273C">
        <w:rPr>
          <w:rFonts w:ascii="Times New Roman" w:eastAsia="Times New Roman" w:hAnsi="Times New Roman" w:cs="Times New Roman"/>
          <w:b/>
          <w:sz w:val="24"/>
          <w:szCs w:val="24"/>
          <w:lang w:eastAsia="pt-BR"/>
        </w:rPr>
        <w:t>Neoliberalismo</w:t>
      </w:r>
      <w:r w:rsidR="0022620C">
        <w:rPr>
          <w:rFonts w:ascii="Times New Roman" w:eastAsia="Times New Roman" w:hAnsi="Times New Roman" w:cs="Times New Roman"/>
          <w:b/>
          <w:sz w:val="24"/>
          <w:szCs w:val="24"/>
          <w:lang w:eastAsia="pt-BR"/>
        </w:rPr>
        <w:t>.</w:t>
      </w:r>
    </w:p>
    <w:p w14:paraId="4E52E53D" w14:textId="77777777" w:rsidR="007071D9" w:rsidRDefault="007071D9">
      <w:pPr>
        <w:spacing w:after="0" w:line="240" w:lineRule="auto"/>
        <w:rPr>
          <w:rFonts w:ascii="Times New Roman" w:hAnsi="Times New Roman" w:cs="Times New Roman"/>
          <w:b/>
          <w:sz w:val="24"/>
          <w:szCs w:val="24"/>
        </w:rPr>
      </w:pPr>
    </w:p>
    <w:p w14:paraId="5D313178" w14:textId="77777777" w:rsidR="007071D9" w:rsidRDefault="00ED1BDE">
      <w:pPr>
        <w:spacing w:after="0" w:line="240" w:lineRule="auto"/>
        <w:rPr>
          <w:rFonts w:ascii="Times New Roman" w:hAnsi="Times New Roman" w:cs="Times New Roman"/>
          <w:b/>
          <w:sz w:val="24"/>
          <w:szCs w:val="24"/>
        </w:rPr>
      </w:pPr>
      <w:r>
        <w:rPr>
          <w:rFonts w:ascii="Times New Roman" w:hAnsi="Times New Roman" w:cs="Times New Roman"/>
          <w:b/>
          <w:sz w:val="24"/>
          <w:szCs w:val="24"/>
        </w:rPr>
        <w:t>Relato de Experiência</w:t>
      </w:r>
    </w:p>
    <w:p w14:paraId="4343C067" w14:textId="77777777" w:rsidR="00D7498D" w:rsidRDefault="00D7498D">
      <w:pPr>
        <w:spacing w:after="0" w:line="240" w:lineRule="auto"/>
        <w:rPr>
          <w:rFonts w:ascii="Times New Roman" w:hAnsi="Times New Roman" w:cs="Times New Roman"/>
          <w:b/>
          <w:sz w:val="24"/>
          <w:szCs w:val="24"/>
        </w:rPr>
      </w:pPr>
    </w:p>
    <w:p w14:paraId="19391A45" w14:textId="77777777" w:rsidR="007071D9" w:rsidRDefault="00ED1BDE">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Contextualização e justificativa da prática desenvolvida</w:t>
      </w:r>
    </w:p>
    <w:p w14:paraId="3EB17D4B" w14:textId="77777777" w:rsidR="007071D9" w:rsidRDefault="007071D9">
      <w:pPr>
        <w:spacing w:after="0" w:line="240" w:lineRule="auto"/>
        <w:jc w:val="both"/>
        <w:rPr>
          <w:rFonts w:ascii="Times New Roman" w:eastAsia="Times New Roman" w:hAnsi="Times New Roman" w:cs="Times New Roman"/>
          <w:b/>
          <w:sz w:val="24"/>
          <w:szCs w:val="24"/>
          <w:lang w:eastAsia="pt-BR"/>
        </w:rPr>
      </w:pPr>
    </w:p>
    <w:p w14:paraId="00405C8F" w14:textId="04B3502B" w:rsidR="00D73A15" w:rsidRDefault="00E97C27" w:rsidP="00D73A15">
      <w:pPr>
        <w:spacing w:after="0" w:line="240" w:lineRule="auto"/>
        <w:ind w:firstLine="709"/>
        <w:jc w:val="both"/>
      </w:pPr>
      <w:r w:rsidRPr="00FC0F98">
        <w:rPr>
          <w:rFonts w:ascii="Times New Roman" w:hAnsi="Times New Roman" w:cs="Times New Roman"/>
          <w:sz w:val="24"/>
          <w:szCs w:val="24"/>
        </w:rPr>
        <w:t>Este relato resulta de um</w:t>
      </w:r>
      <w:r w:rsidR="00AA273C" w:rsidRPr="00FC0F98">
        <w:rPr>
          <w:rFonts w:ascii="Times New Roman" w:hAnsi="Times New Roman" w:cs="Times New Roman"/>
          <w:sz w:val="24"/>
          <w:szCs w:val="24"/>
        </w:rPr>
        <w:t xml:space="preserve">a experiencia pedagógica realizada </w:t>
      </w:r>
      <w:r w:rsidRPr="00FC0F98">
        <w:rPr>
          <w:rFonts w:ascii="Times New Roman" w:hAnsi="Times New Roman" w:cs="Times New Roman"/>
          <w:sz w:val="24"/>
          <w:szCs w:val="24"/>
        </w:rPr>
        <w:t xml:space="preserve">na disciplina de </w:t>
      </w:r>
      <w:r w:rsidR="00AA273C" w:rsidRPr="00FC0F98">
        <w:rPr>
          <w:rFonts w:ascii="Times New Roman" w:hAnsi="Times New Roman" w:cs="Times New Roman"/>
          <w:sz w:val="24"/>
          <w:szCs w:val="24"/>
        </w:rPr>
        <w:t>Políticas Públicas Educacionais</w:t>
      </w:r>
      <w:r w:rsidRPr="00FC0F98">
        <w:rPr>
          <w:rFonts w:ascii="Times New Roman" w:hAnsi="Times New Roman" w:cs="Times New Roman"/>
          <w:sz w:val="24"/>
          <w:szCs w:val="24"/>
        </w:rPr>
        <w:t>, do Mestrado em Educação da Universidade Estad</w:t>
      </w:r>
      <w:r w:rsidR="006C4177" w:rsidRPr="00FC0F98">
        <w:rPr>
          <w:rFonts w:ascii="Times New Roman" w:hAnsi="Times New Roman" w:cs="Times New Roman"/>
          <w:sz w:val="24"/>
          <w:szCs w:val="24"/>
        </w:rPr>
        <w:t>ual de Montes Claros</w:t>
      </w:r>
      <w:r w:rsidRPr="00FC0F98">
        <w:rPr>
          <w:rFonts w:ascii="Times New Roman" w:hAnsi="Times New Roman" w:cs="Times New Roman"/>
          <w:sz w:val="24"/>
          <w:szCs w:val="24"/>
        </w:rPr>
        <w:t xml:space="preserve">, fundamentado na leitura da obra organizada por </w:t>
      </w:r>
      <w:r w:rsidR="00AA273C" w:rsidRPr="00FC0F98">
        <w:rPr>
          <w:rFonts w:ascii="Times New Roman" w:hAnsi="Times New Roman" w:cs="Times New Roman"/>
          <w:sz w:val="24"/>
          <w:szCs w:val="24"/>
        </w:rPr>
        <w:t xml:space="preserve">Pereira e </w:t>
      </w:r>
      <w:proofErr w:type="spellStart"/>
      <w:r w:rsidR="00AA273C" w:rsidRPr="00FC0F98">
        <w:rPr>
          <w:rFonts w:ascii="Times New Roman" w:hAnsi="Times New Roman" w:cs="Times New Roman"/>
          <w:sz w:val="24"/>
          <w:szCs w:val="24"/>
        </w:rPr>
        <w:t>Pronko</w:t>
      </w:r>
      <w:proofErr w:type="spellEnd"/>
      <w:r w:rsidR="00AA273C" w:rsidRPr="00FC0F98">
        <w:rPr>
          <w:rFonts w:ascii="Times New Roman" w:hAnsi="Times New Roman" w:cs="Times New Roman"/>
          <w:sz w:val="24"/>
          <w:szCs w:val="24"/>
        </w:rPr>
        <w:t xml:space="preserve"> (201</w:t>
      </w:r>
      <w:r w:rsidR="003071EA">
        <w:rPr>
          <w:rFonts w:ascii="Times New Roman" w:hAnsi="Times New Roman" w:cs="Times New Roman"/>
          <w:sz w:val="24"/>
          <w:szCs w:val="24"/>
        </w:rPr>
        <w:t>4</w:t>
      </w:r>
      <w:r w:rsidR="00AA273C" w:rsidRPr="00FC0F98">
        <w:rPr>
          <w:rFonts w:ascii="Times New Roman" w:hAnsi="Times New Roman" w:cs="Times New Roman"/>
          <w:sz w:val="24"/>
          <w:szCs w:val="24"/>
        </w:rPr>
        <w:t>)</w:t>
      </w:r>
      <w:r w:rsidR="00AA273C" w:rsidRPr="00FC0F98">
        <w:rPr>
          <w:rFonts w:ascii="Times New Roman" w:hAnsi="Times New Roman" w:cs="Times New Roman"/>
          <w:sz w:val="24"/>
          <w:szCs w:val="24"/>
        </w:rPr>
        <w:t xml:space="preserve">, intitulada </w:t>
      </w:r>
      <w:r w:rsidR="00D73A15">
        <w:rPr>
          <w:rFonts w:ascii="Times New Roman" w:hAnsi="Times New Roman" w:cs="Times New Roman"/>
          <w:sz w:val="24"/>
          <w:szCs w:val="24"/>
        </w:rPr>
        <w:t>“</w:t>
      </w:r>
      <w:r w:rsidR="00AA273C" w:rsidRPr="00FC0F98">
        <w:rPr>
          <w:rFonts w:ascii="Times New Roman" w:hAnsi="Times New Roman" w:cs="Times New Roman"/>
          <w:sz w:val="24"/>
          <w:szCs w:val="24"/>
        </w:rPr>
        <w:t>A Demolição de Direitos: um exame das políticas do Banco Mundial para a educação e a saúde (</w:t>
      </w:r>
      <w:r w:rsidR="00AA273C" w:rsidRPr="00D73A15">
        <w:rPr>
          <w:rFonts w:ascii="Times New Roman" w:hAnsi="Times New Roman" w:cs="Times New Roman"/>
          <w:sz w:val="24"/>
          <w:szCs w:val="24"/>
        </w:rPr>
        <w:t>1980-2013)"</w:t>
      </w:r>
      <w:r w:rsidR="00AA273C" w:rsidRPr="00D73A15">
        <w:rPr>
          <w:rFonts w:ascii="Times New Roman" w:hAnsi="Times New Roman" w:cs="Times New Roman"/>
          <w:sz w:val="24"/>
          <w:szCs w:val="24"/>
        </w:rPr>
        <w:t xml:space="preserve">, </w:t>
      </w:r>
      <w:r w:rsidR="00D73A15" w:rsidRPr="00D73A15">
        <w:rPr>
          <w:rFonts w:ascii="Times New Roman" w:hAnsi="Times New Roman" w:cs="Times New Roman"/>
          <w:sz w:val="24"/>
          <w:szCs w:val="24"/>
        </w:rPr>
        <w:t>cuja</w:t>
      </w:r>
      <w:r w:rsidR="00AA273C" w:rsidRPr="00D73A15">
        <w:rPr>
          <w:rFonts w:ascii="Times New Roman" w:hAnsi="Times New Roman" w:cs="Times New Roman"/>
          <w:sz w:val="24"/>
          <w:szCs w:val="24"/>
        </w:rPr>
        <w:t xml:space="preserve"> discussão centrou-se </w:t>
      </w:r>
      <w:r w:rsidR="00AA273C" w:rsidRPr="00D73A15">
        <w:rPr>
          <w:rFonts w:ascii="Times New Roman" w:hAnsi="Times New Roman" w:cs="Times New Roman"/>
          <w:sz w:val="24"/>
          <w:szCs w:val="24"/>
        </w:rPr>
        <w:t>na análise crítica da influência do capital internacional e do Banco Mundial na configuração da educação básica brasileira contemporânea.</w:t>
      </w:r>
      <w:r w:rsidR="00D73A15" w:rsidRPr="00D73A15">
        <w:rPr>
          <w:rFonts w:ascii="Times New Roman" w:hAnsi="Times New Roman" w:cs="Times New Roman"/>
          <w:sz w:val="24"/>
          <w:szCs w:val="24"/>
        </w:rPr>
        <w:t xml:space="preserve"> </w:t>
      </w:r>
      <w:r w:rsidR="00FC0F98" w:rsidRPr="00D73A15">
        <w:rPr>
          <w:rFonts w:ascii="Times New Roman" w:hAnsi="Times New Roman" w:cs="Times New Roman"/>
          <w:sz w:val="24"/>
          <w:szCs w:val="24"/>
        </w:rPr>
        <w:t>A justificativa para tal abordagem reside na necessidade de superar uma visão puramente administrativa ou jurídica das políticas educacionais, inserindo-as no contexto da acumulação capitalista e da hegemonia neoliberal.</w:t>
      </w:r>
      <w:r w:rsidR="00FC0F98">
        <w:t xml:space="preserve"> </w:t>
      </w:r>
    </w:p>
    <w:p w14:paraId="099717EC" w14:textId="77777777" w:rsidR="0099277A" w:rsidRDefault="0099277A">
      <w:pPr>
        <w:spacing w:after="0" w:line="240" w:lineRule="auto"/>
        <w:jc w:val="both"/>
        <w:rPr>
          <w:rFonts w:ascii="Times New Roman" w:eastAsia="Times New Roman" w:hAnsi="Times New Roman" w:cs="Times New Roman"/>
          <w:b/>
          <w:sz w:val="24"/>
          <w:szCs w:val="24"/>
          <w:lang w:eastAsia="pt-BR"/>
        </w:rPr>
      </w:pPr>
    </w:p>
    <w:p w14:paraId="047D6459" w14:textId="77777777" w:rsidR="007071D9" w:rsidRDefault="00ED1BDE">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Problema norteador e objetivos</w:t>
      </w:r>
    </w:p>
    <w:p w14:paraId="597F52DE" w14:textId="77777777" w:rsidR="007071D9" w:rsidRDefault="007071D9">
      <w:pPr>
        <w:spacing w:after="0" w:line="240" w:lineRule="auto"/>
        <w:jc w:val="both"/>
        <w:rPr>
          <w:rFonts w:ascii="Times New Roman" w:eastAsia="Times New Roman" w:hAnsi="Times New Roman" w:cs="Times New Roman"/>
          <w:b/>
          <w:sz w:val="24"/>
          <w:szCs w:val="24"/>
          <w:lang w:eastAsia="pt-BR"/>
        </w:rPr>
      </w:pPr>
    </w:p>
    <w:p w14:paraId="5F6EB573" w14:textId="77777777" w:rsidR="00D73A15" w:rsidRPr="00D73A15" w:rsidRDefault="00FC0F98" w:rsidP="0099277A">
      <w:pPr>
        <w:spacing w:after="0" w:line="240" w:lineRule="auto"/>
        <w:ind w:firstLine="709"/>
        <w:jc w:val="both"/>
        <w:rPr>
          <w:rFonts w:ascii="Times New Roman" w:hAnsi="Times New Roman" w:cs="Times New Roman"/>
          <w:sz w:val="24"/>
          <w:szCs w:val="24"/>
        </w:rPr>
      </w:pPr>
      <w:r w:rsidRPr="00D73A15">
        <w:rPr>
          <w:rFonts w:ascii="Times New Roman" w:hAnsi="Times New Roman" w:cs="Times New Roman"/>
          <w:sz w:val="24"/>
          <w:szCs w:val="24"/>
        </w:rPr>
        <w:t xml:space="preserve">O problema central que norteou a experiência foi: de que maneira as políticas públicas educacionais brasileiras são atravessadas pelas lógicas do capital internacional e como os estudantes podem identificar criticamente as agendas do Banco Mundial na educação básica? A partir dessa indagação, estabeleceu-se como </w:t>
      </w:r>
      <w:r w:rsidRPr="00D73A15">
        <w:rPr>
          <w:rStyle w:val="font-semibold"/>
          <w:rFonts w:ascii="Times New Roman" w:hAnsi="Times New Roman" w:cs="Times New Roman"/>
          <w:sz w:val="24"/>
          <w:szCs w:val="24"/>
        </w:rPr>
        <w:t>objetivo geral</w:t>
      </w:r>
      <w:r w:rsidRPr="00D73A15">
        <w:rPr>
          <w:rFonts w:ascii="Times New Roman" w:hAnsi="Times New Roman" w:cs="Times New Roman"/>
          <w:sz w:val="24"/>
          <w:szCs w:val="24"/>
        </w:rPr>
        <w:t xml:space="preserve"> desenvolver uma análise crítica sobre a influência de organismos internacionais na formulação e implementação das políticas educacionais no Brasil. </w:t>
      </w:r>
    </w:p>
    <w:p w14:paraId="475FA35D" w14:textId="77777777" w:rsidR="0099277A" w:rsidRDefault="0099277A">
      <w:pPr>
        <w:spacing w:after="0" w:line="240" w:lineRule="auto"/>
        <w:jc w:val="both"/>
        <w:rPr>
          <w:rFonts w:ascii="Times New Roman" w:eastAsia="Times New Roman" w:hAnsi="Times New Roman" w:cs="Times New Roman"/>
          <w:b/>
          <w:sz w:val="24"/>
          <w:szCs w:val="24"/>
          <w:lang w:eastAsia="pt-BR"/>
        </w:rPr>
      </w:pPr>
    </w:p>
    <w:p w14:paraId="3B0B0B0A" w14:textId="77777777" w:rsidR="007071D9" w:rsidRDefault="00ED1BDE">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Procedimentos e/ou estratégias metodológicas</w:t>
      </w:r>
    </w:p>
    <w:p w14:paraId="31B359D2" w14:textId="77777777" w:rsidR="0099277A" w:rsidRDefault="0099277A">
      <w:pPr>
        <w:spacing w:after="0" w:line="240" w:lineRule="auto"/>
        <w:jc w:val="both"/>
        <w:rPr>
          <w:rFonts w:ascii="Times New Roman" w:eastAsia="Times New Roman" w:hAnsi="Times New Roman" w:cs="Times New Roman"/>
          <w:b/>
          <w:sz w:val="24"/>
          <w:szCs w:val="24"/>
          <w:lang w:eastAsia="pt-BR"/>
        </w:rPr>
      </w:pPr>
    </w:p>
    <w:p w14:paraId="6B54611F" w14:textId="0796A551" w:rsidR="00D73A15" w:rsidRPr="00D73A15" w:rsidRDefault="00D73A15" w:rsidP="0099277A">
      <w:pPr>
        <w:spacing w:after="0" w:line="240" w:lineRule="auto"/>
        <w:ind w:firstLine="709"/>
        <w:jc w:val="both"/>
        <w:rPr>
          <w:rFonts w:ascii="Times New Roman" w:eastAsia="Times New Roman" w:hAnsi="Times New Roman" w:cs="Times New Roman"/>
          <w:sz w:val="24"/>
          <w:szCs w:val="24"/>
          <w:lang w:eastAsia="pt-BR"/>
        </w:rPr>
      </w:pPr>
      <w:r w:rsidRPr="00D73A15">
        <w:rPr>
          <w:rFonts w:ascii="Times New Roman" w:eastAsia="Times New Roman" w:hAnsi="Times New Roman" w:cs="Times New Roman"/>
          <w:sz w:val="24"/>
          <w:szCs w:val="24"/>
          <w:lang w:eastAsia="pt-BR"/>
        </w:rPr>
        <w:t xml:space="preserve">A experiência foi organizada em dois momentos. Inicialmente, os mestrandos realizaram a leitura </w:t>
      </w:r>
      <w:r w:rsidRPr="00D73A15">
        <w:rPr>
          <w:rFonts w:ascii="Times New Roman" w:eastAsia="Times New Roman" w:hAnsi="Times New Roman" w:cs="Times New Roman"/>
          <w:sz w:val="24"/>
          <w:szCs w:val="24"/>
          <w:lang w:eastAsia="pt-BR"/>
        </w:rPr>
        <w:t xml:space="preserve">orientada </w:t>
      </w:r>
      <w:r w:rsidRPr="00D73A15">
        <w:rPr>
          <w:rFonts w:ascii="Times New Roman" w:eastAsia="Times New Roman" w:hAnsi="Times New Roman" w:cs="Times New Roman"/>
          <w:sz w:val="24"/>
          <w:szCs w:val="24"/>
          <w:lang w:eastAsia="pt-BR"/>
        </w:rPr>
        <w:t>da obra</w:t>
      </w:r>
      <w:r w:rsidRPr="00D73A15">
        <w:rPr>
          <w:rFonts w:ascii="Times New Roman" w:eastAsia="Times New Roman" w:hAnsi="Times New Roman" w:cs="Times New Roman"/>
          <w:sz w:val="24"/>
          <w:szCs w:val="24"/>
          <w:lang w:eastAsia="pt-BR"/>
        </w:rPr>
        <w:t xml:space="preserve"> </w:t>
      </w:r>
      <w:r w:rsidRPr="00D73A15">
        <w:rPr>
          <w:rFonts w:ascii="Times New Roman" w:hAnsi="Times New Roman" w:cs="Times New Roman"/>
          <w:sz w:val="24"/>
          <w:szCs w:val="24"/>
        </w:rPr>
        <w:t>com foco na trajetória histórica do Banco Mundial e sua inserção no campo educacional</w:t>
      </w:r>
      <w:r w:rsidRPr="00D73A15">
        <w:rPr>
          <w:rFonts w:ascii="Times New Roman" w:eastAsia="Times New Roman" w:hAnsi="Times New Roman" w:cs="Times New Roman"/>
          <w:sz w:val="24"/>
          <w:szCs w:val="24"/>
          <w:lang w:eastAsia="pt-BR"/>
        </w:rPr>
        <w:t xml:space="preserve">. Em seguida, ocorreu uma roda de conversa mediada pela professora da disciplina, na qual questões orientadoras favoreceram o diálogo coletivo sobre </w:t>
      </w:r>
      <w:r w:rsidRPr="00D73A15">
        <w:rPr>
          <w:rFonts w:ascii="Times New Roman" w:eastAsia="Times New Roman" w:hAnsi="Times New Roman" w:cs="Times New Roman"/>
          <w:sz w:val="24"/>
          <w:szCs w:val="24"/>
          <w:lang w:eastAsia="pt-BR"/>
        </w:rPr>
        <w:t>a compreensão de forma concreta da instrumentalização das políticas neoliberais na</w:t>
      </w:r>
      <w:r>
        <w:rPr>
          <w:rFonts w:ascii="Times New Roman" w:eastAsia="Times New Roman" w:hAnsi="Times New Roman" w:cs="Times New Roman"/>
          <w:sz w:val="24"/>
          <w:szCs w:val="24"/>
          <w:lang w:eastAsia="pt-BR"/>
        </w:rPr>
        <w:t xml:space="preserve"> educação a </w:t>
      </w:r>
      <w:proofErr w:type="spellStart"/>
      <w:r w:rsidR="00BC76A7">
        <w:rPr>
          <w:rFonts w:ascii="Times New Roman" w:eastAsia="Times New Roman" w:hAnsi="Times New Roman" w:cs="Times New Roman"/>
          <w:sz w:val="24"/>
          <w:szCs w:val="24"/>
          <w:lang w:eastAsia="pt-BR"/>
        </w:rPr>
        <w:t>a</w:t>
      </w:r>
      <w:proofErr w:type="spellEnd"/>
      <w:r w:rsidR="00BC76A7">
        <w:rPr>
          <w:rFonts w:ascii="Times New Roman" w:eastAsia="Times New Roman" w:hAnsi="Times New Roman" w:cs="Times New Roman"/>
          <w:sz w:val="24"/>
          <w:szCs w:val="24"/>
          <w:lang w:eastAsia="pt-BR"/>
        </w:rPr>
        <w:t xml:space="preserve"> partir </w:t>
      </w:r>
      <w:r w:rsidRPr="00D73A15">
        <w:rPr>
          <w:rFonts w:ascii="Times New Roman" w:hAnsi="Times New Roman" w:cs="Times New Roman"/>
          <w:sz w:val="24"/>
          <w:szCs w:val="24"/>
        </w:rPr>
        <w:t>da política educacional brasileira recente, como a BNCC e a Reforma do Ensino Médio</w:t>
      </w:r>
      <w:r w:rsidR="00BC76A7">
        <w:rPr>
          <w:rFonts w:ascii="Times New Roman" w:hAnsi="Times New Roman" w:cs="Times New Roman"/>
          <w:sz w:val="24"/>
          <w:szCs w:val="24"/>
        </w:rPr>
        <w:t>.</w:t>
      </w:r>
    </w:p>
    <w:p w14:paraId="7A1D17DD" w14:textId="77777777" w:rsidR="00D73A15" w:rsidRDefault="00D73A15" w:rsidP="0099277A">
      <w:pPr>
        <w:spacing w:after="0" w:line="240" w:lineRule="auto"/>
        <w:ind w:firstLine="709"/>
        <w:jc w:val="both"/>
        <w:rPr>
          <w:rFonts w:ascii="Times New Roman" w:eastAsia="Times New Roman" w:hAnsi="Times New Roman" w:cs="Times New Roman"/>
          <w:sz w:val="24"/>
          <w:szCs w:val="24"/>
          <w:lang w:eastAsia="pt-BR"/>
        </w:rPr>
      </w:pPr>
    </w:p>
    <w:p w14:paraId="6430CAE8" w14:textId="77777777" w:rsidR="007071D9" w:rsidRDefault="007071D9">
      <w:pPr>
        <w:spacing w:after="0" w:line="240" w:lineRule="auto"/>
        <w:jc w:val="both"/>
        <w:rPr>
          <w:rFonts w:ascii="Times New Roman" w:eastAsia="Times New Roman" w:hAnsi="Times New Roman" w:cs="Times New Roman"/>
          <w:b/>
          <w:sz w:val="24"/>
          <w:szCs w:val="24"/>
          <w:lang w:eastAsia="pt-BR"/>
        </w:rPr>
      </w:pPr>
    </w:p>
    <w:p w14:paraId="3EE5219D" w14:textId="77777777" w:rsidR="007071D9" w:rsidRDefault="00ED1BDE">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Fundamentação teórica que sustentou/sustenta a prática desenvolvida</w:t>
      </w:r>
    </w:p>
    <w:p w14:paraId="77475D1F" w14:textId="77777777" w:rsidR="0099277A" w:rsidRDefault="0099277A">
      <w:pPr>
        <w:spacing w:after="0" w:line="240" w:lineRule="auto"/>
        <w:jc w:val="both"/>
        <w:rPr>
          <w:rFonts w:ascii="Times New Roman" w:eastAsia="Times New Roman" w:hAnsi="Times New Roman" w:cs="Times New Roman"/>
          <w:b/>
          <w:sz w:val="24"/>
          <w:szCs w:val="24"/>
          <w:lang w:eastAsia="pt-BR"/>
        </w:rPr>
      </w:pPr>
    </w:p>
    <w:p w14:paraId="49EC2AE4" w14:textId="0E4C4A49" w:rsidR="00FC0F98" w:rsidRPr="00BC76A7" w:rsidRDefault="00FC0F98" w:rsidP="0099277A">
      <w:pPr>
        <w:spacing w:after="0" w:line="240" w:lineRule="auto"/>
        <w:ind w:firstLine="709"/>
        <w:jc w:val="both"/>
        <w:rPr>
          <w:rFonts w:ascii="Times New Roman" w:hAnsi="Times New Roman" w:cs="Times New Roman"/>
          <w:sz w:val="24"/>
          <w:szCs w:val="24"/>
        </w:rPr>
      </w:pPr>
      <w:r w:rsidRPr="00BC76A7">
        <w:rPr>
          <w:rFonts w:ascii="Times New Roman" w:hAnsi="Times New Roman" w:cs="Times New Roman"/>
          <w:sz w:val="24"/>
          <w:szCs w:val="24"/>
        </w:rPr>
        <w:t xml:space="preserve">A fundamentação teórica </w:t>
      </w:r>
      <w:r w:rsidR="009C5609">
        <w:rPr>
          <w:rFonts w:ascii="Times New Roman" w:hAnsi="Times New Roman" w:cs="Times New Roman"/>
          <w:sz w:val="24"/>
          <w:szCs w:val="24"/>
        </w:rPr>
        <w:t xml:space="preserve">baseia-se </w:t>
      </w:r>
      <w:r w:rsidRPr="00BC76A7">
        <w:rPr>
          <w:rFonts w:ascii="Times New Roman" w:hAnsi="Times New Roman" w:cs="Times New Roman"/>
          <w:sz w:val="24"/>
          <w:szCs w:val="24"/>
        </w:rPr>
        <w:t>na perspectiva crítica que caracteriza o Banco Mundial como um ator político-intelectual que utiliza o poder financeiro para disseminar uma ideologia específica de desenvolvimento</w:t>
      </w:r>
      <w:r w:rsidR="009C5609">
        <w:rPr>
          <w:rFonts w:ascii="Times New Roman" w:hAnsi="Times New Roman" w:cs="Times New Roman"/>
          <w:sz w:val="24"/>
          <w:szCs w:val="24"/>
        </w:rPr>
        <w:t>, focada em instrumentalização da educação, como uma educação tecnicista, voltada a atender as necessidades do mercado de trabalho, exclusivamente.</w:t>
      </w:r>
    </w:p>
    <w:p w14:paraId="488B7ED8" w14:textId="77777777" w:rsidR="008A31FD" w:rsidRDefault="008A31FD" w:rsidP="0099277A">
      <w:pPr>
        <w:spacing w:after="0" w:line="240" w:lineRule="auto"/>
        <w:ind w:firstLine="709"/>
        <w:jc w:val="both"/>
        <w:rPr>
          <w:rFonts w:ascii="Times New Roman" w:eastAsia="Times New Roman" w:hAnsi="Times New Roman" w:cs="Times New Roman"/>
          <w:sz w:val="24"/>
          <w:szCs w:val="24"/>
          <w:lang w:eastAsia="pt-BR"/>
        </w:rPr>
      </w:pPr>
    </w:p>
    <w:p w14:paraId="2A8DEEF3" w14:textId="77777777" w:rsidR="007071D9" w:rsidRDefault="00ED1BDE">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Resultados da prática </w:t>
      </w:r>
    </w:p>
    <w:p w14:paraId="2214A8E3" w14:textId="77777777" w:rsidR="0099277A" w:rsidRDefault="0099277A">
      <w:pPr>
        <w:spacing w:after="0" w:line="240" w:lineRule="auto"/>
        <w:jc w:val="both"/>
        <w:rPr>
          <w:rFonts w:ascii="Times New Roman" w:eastAsia="Times New Roman" w:hAnsi="Times New Roman" w:cs="Times New Roman"/>
          <w:b/>
          <w:sz w:val="24"/>
          <w:szCs w:val="24"/>
          <w:lang w:eastAsia="pt-BR"/>
        </w:rPr>
      </w:pPr>
    </w:p>
    <w:p w14:paraId="6A7FBDDA" w14:textId="63FFD973" w:rsidR="00FC0F98" w:rsidRPr="00BC76A7" w:rsidRDefault="00BC76A7" w:rsidP="00626BE3">
      <w:pPr>
        <w:spacing w:after="0" w:line="240" w:lineRule="auto"/>
        <w:ind w:firstLine="709"/>
        <w:jc w:val="both"/>
        <w:rPr>
          <w:rFonts w:ascii="Times New Roman" w:hAnsi="Times New Roman" w:cs="Times New Roman"/>
          <w:sz w:val="24"/>
          <w:szCs w:val="24"/>
        </w:rPr>
      </w:pPr>
      <w:r w:rsidRPr="00BC76A7">
        <w:rPr>
          <w:rFonts w:ascii="Times New Roman" w:hAnsi="Times New Roman" w:cs="Times New Roman"/>
          <w:sz w:val="24"/>
          <w:szCs w:val="24"/>
        </w:rPr>
        <w:t>O estudo e debate possibilitou a compreensão dos estudantes em como pol</w:t>
      </w:r>
      <w:r>
        <w:rPr>
          <w:rFonts w:ascii="Times New Roman" w:hAnsi="Times New Roman" w:cs="Times New Roman"/>
          <w:sz w:val="24"/>
          <w:szCs w:val="24"/>
        </w:rPr>
        <w:t>í</w:t>
      </w:r>
      <w:r w:rsidRPr="00BC76A7">
        <w:rPr>
          <w:rFonts w:ascii="Times New Roman" w:hAnsi="Times New Roman" w:cs="Times New Roman"/>
          <w:sz w:val="24"/>
          <w:szCs w:val="24"/>
        </w:rPr>
        <w:t xml:space="preserve">ticas neoliberais interseccionam e permeiam as políticas educacionais brasileiras, </w:t>
      </w:r>
      <w:r w:rsidR="00FC0F98" w:rsidRPr="00BC76A7">
        <w:rPr>
          <w:rFonts w:ascii="Times New Roman" w:hAnsi="Times New Roman" w:cs="Times New Roman"/>
          <w:sz w:val="24"/>
          <w:szCs w:val="24"/>
        </w:rPr>
        <w:t xml:space="preserve">percebendo a presença de diretrizes do Banco Mundial em propostas de privatização da gestão e na padronização curricular. Um </w:t>
      </w:r>
      <w:r w:rsidRPr="00BC76A7">
        <w:rPr>
          <w:rFonts w:ascii="Times New Roman" w:hAnsi="Times New Roman" w:cs="Times New Roman"/>
          <w:sz w:val="24"/>
          <w:szCs w:val="24"/>
        </w:rPr>
        <w:t xml:space="preserve">aspecto relevante da percepção </w:t>
      </w:r>
      <w:r w:rsidR="00FC0F98" w:rsidRPr="00BC76A7">
        <w:rPr>
          <w:rFonts w:ascii="Times New Roman" w:hAnsi="Times New Roman" w:cs="Times New Roman"/>
          <w:sz w:val="24"/>
          <w:szCs w:val="24"/>
        </w:rPr>
        <w:t>foi a capacidade dos grupos em apontar como a lógica do capital fragmenta o conhecimento escolar em "habilidades" voltadas apenas à empregabilidade precária</w:t>
      </w:r>
      <w:r w:rsidRPr="00BC76A7">
        <w:rPr>
          <w:rFonts w:ascii="Times New Roman" w:hAnsi="Times New Roman" w:cs="Times New Roman"/>
          <w:sz w:val="24"/>
          <w:szCs w:val="24"/>
        </w:rPr>
        <w:t>.</w:t>
      </w:r>
    </w:p>
    <w:p w14:paraId="44A1B193" w14:textId="77777777" w:rsidR="00626BE3" w:rsidRDefault="00626BE3">
      <w:pPr>
        <w:spacing w:after="0" w:line="240" w:lineRule="auto"/>
        <w:jc w:val="both"/>
        <w:rPr>
          <w:rFonts w:ascii="Times New Roman" w:eastAsia="Times New Roman" w:hAnsi="Times New Roman" w:cs="Times New Roman"/>
          <w:b/>
          <w:sz w:val="24"/>
          <w:szCs w:val="24"/>
          <w:lang w:eastAsia="pt-BR"/>
        </w:rPr>
      </w:pPr>
    </w:p>
    <w:p w14:paraId="0A263F8E" w14:textId="77777777" w:rsidR="007071D9" w:rsidRDefault="00ED1BDE">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Relevância social da experiência para o contexto/público destinado e para a educação e relações com o eixo temático do COPED</w:t>
      </w:r>
    </w:p>
    <w:p w14:paraId="7860D451" w14:textId="77777777" w:rsidR="0099277A" w:rsidRDefault="0099277A">
      <w:pPr>
        <w:spacing w:after="0" w:line="240" w:lineRule="auto"/>
        <w:jc w:val="both"/>
        <w:rPr>
          <w:rFonts w:ascii="Times New Roman" w:eastAsia="Times New Roman" w:hAnsi="Times New Roman" w:cs="Times New Roman"/>
          <w:b/>
          <w:sz w:val="24"/>
          <w:szCs w:val="24"/>
          <w:lang w:eastAsia="pt-BR"/>
        </w:rPr>
      </w:pPr>
    </w:p>
    <w:p w14:paraId="16B55C5B" w14:textId="070DF018" w:rsidR="00FC0F98" w:rsidRPr="00BC76A7" w:rsidRDefault="00FC0F98" w:rsidP="00BC76A7">
      <w:pPr>
        <w:spacing w:after="0" w:line="240" w:lineRule="auto"/>
        <w:ind w:firstLine="709"/>
        <w:jc w:val="both"/>
        <w:rPr>
          <w:rFonts w:ascii="Times New Roman" w:hAnsi="Times New Roman" w:cs="Times New Roman"/>
          <w:sz w:val="24"/>
          <w:szCs w:val="24"/>
        </w:rPr>
      </w:pPr>
      <w:r w:rsidRPr="00BC76A7">
        <w:rPr>
          <w:rFonts w:ascii="Times New Roman" w:hAnsi="Times New Roman" w:cs="Times New Roman"/>
          <w:sz w:val="24"/>
          <w:szCs w:val="24"/>
        </w:rPr>
        <w:t>A relevância desta experiência reside na formação de professores que não sejam meros executores de pacotes instrucionais, mas intelectuais críticos capazes de intervir na realidade escolar. Em um cenário de crescente avanço do capital sobre a educação básica, preparar docentes para questionar a origem e a finalidade das políticas que lhes são impostas é um ato de defesa d</w:t>
      </w:r>
      <w:r w:rsidR="00BC76A7" w:rsidRPr="00BC76A7">
        <w:rPr>
          <w:rFonts w:ascii="Times New Roman" w:hAnsi="Times New Roman" w:cs="Times New Roman"/>
          <w:sz w:val="24"/>
          <w:szCs w:val="24"/>
        </w:rPr>
        <w:t xml:space="preserve">o próprio ato de ensinar. </w:t>
      </w:r>
      <w:r w:rsidRPr="00BC76A7">
        <w:rPr>
          <w:rFonts w:ascii="Times New Roman" w:hAnsi="Times New Roman" w:cs="Times New Roman"/>
          <w:sz w:val="24"/>
          <w:szCs w:val="24"/>
        </w:rPr>
        <w:t xml:space="preserve">A experiência contribui para o fortalecimento da educação como direito, ao denunciar os processos de mercantilização que aprofundam as desigualdades sociais. </w:t>
      </w:r>
    </w:p>
    <w:p w14:paraId="5C02F1A6" w14:textId="77777777" w:rsidR="007071D9" w:rsidRDefault="007071D9">
      <w:pPr>
        <w:spacing w:after="0" w:line="240" w:lineRule="auto"/>
        <w:jc w:val="both"/>
        <w:rPr>
          <w:rFonts w:ascii="Times New Roman" w:eastAsia="Times New Roman" w:hAnsi="Times New Roman" w:cs="Times New Roman"/>
          <w:b/>
          <w:sz w:val="24"/>
          <w:szCs w:val="24"/>
          <w:lang w:eastAsia="pt-BR"/>
        </w:rPr>
      </w:pPr>
    </w:p>
    <w:p w14:paraId="77FD578D" w14:textId="77777777" w:rsidR="007071D9" w:rsidRDefault="00ED1BDE">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Considerações finais</w:t>
      </w:r>
    </w:p>
    <w:p w14:paraId="4D14ABCA" w14:textId="77777777" w:rsidR="0099277A" w:rsidRDefault="0099277A">
      <w:pPr>
        <w:spacing w:after="0" w:line="240" w:lineRule="auto"/>
        <w:jc w:val="both"/>
        <w:rPr>
          <w:rFonts w:ascii="Times New Roman" w:eastAsia="Times New Roman" w:hAnsi="Times New Roman" w:cs="Times New Roman"/>
          <w:b/>
          <w:sz w:val="24"/>
          <w:szCs w:val="24"/>
          <w:lang w:eastAsia="pt-BR"/>
        </w:rPr>
      </w:pPr>
    </w:p>
    <w:p w14:paraId="71AE123D" w14:textId="59D934AC" w:rsidR="00FC0F98" w:rsidRPr="009C5609" w:rsidRDefault="00A3029A" w:rsidP="009C5609">
      <w:pPr>
        <w:spacing w:after="0" w:line="240" w:lineRule="auto"/>
        <w:ind w:firstLine="709"/>
        <w:jc w:val="both"/>
        <w:rPr>
          <w:rFonts w:ascii="Times New Roman" w:eastAsia="Times New Roman" w:hAnsi="Times New Roman" w:cs="Times New Roman"/>
          <w:sz w:val="24"/>
          <w:szCs w:val="24"/>
          <w:lang w:eastAsia="pt-BR"/>
        </w:rPr>
      </w:pPr>
      <w:r w:rsidRPr="00222FFB">
        <w:rPr>
          <w:rFonts w:ascii="Times New Roman" w:eastAsia="Times New Roman" w:hAnsi="Times New Roman" w:cs="Times New Roman"/>
          <w:sz w:val="24"/>
          <w:szCs w:val="24"/>
          <w:lang w:eastAsia="pt-BR"/>
        </w:rPr>
        <w:t xml:space="preserve">A leitura de </w:t>
      </w:r>
      <w:r>
        <w:rPr>
          <w:rFonts w:ascii="Times New Roman" w:eastAsia="Times New Roman" w:hAnsi="Times New Roman" w:cs="Times New Roman"/>
          <w:sz w:val="24"/>
          <w:szCs w:val="24"/>
          <w:lang w:eastAsia="pt-BR"/>
        </w:rPr>
        <w:t>“</w:t>
      </w:r>
      <w:r w:rsidRPr="00A3029A">
        <w:rPr>
          <w:rStyle w:val="font-semibold"/>
          <w:rFonts w:ascii="Times New Roman" w:hAnsi="Times New Roman" w:cs="Times New Roman"/>
          <w:sz w:val="24"/>
          <w:szCs w:val="24"/>
        </w:rPr>
        <w:t>A demolição de direitos</w:t>
      </w:r>
      <w:r w:rsidRPr="00A3029A">
        <w:rPr>
          <w:rFonts w:ascii="Times New Roman" w:hAnsi="Times New Roman" w:cs="Times New Roman"/>
          <w:sz w:val="24"/>
          <w:szCs w:val="24"/>
        </w:rPr>
        <w:t>: um exame das políticas do Banco Mundial para a educação e a saúde</w:t>
      </w:r>
      <w:r>
        <w:rPr>
          <w:rFonts w:ascii="Times New Roman" w:hAnsi="Times New Roman" w:cs="Times New Roman"/>
          <w:sz w:val="24"/>
          <w:szCs w:val="24"/>
        </w:rPr>
        <w:t xml:space="preserve">” </w:t>
      </w:r>
      <w:r w:rsidRPr="00BC76A7">
        <w:rPr>
          <w:rStyle w:val="font-semibold"/>
          <w:rFonts w:ascii="Times New Roman" w:hAnsi="Times New Roman" w:cs="Times New Roman"/>
          <w:sz w:val="24"/>
          <w:szCs w:val="24"/>
        </w:rPr>
        <w:t xml:space="preserve">Pereira e </w:t>
      </w:r>
      <w:proofErr w:type="spellStart"/>
      <w:r w:rsidRPr="00BC76A7">
        <w:rPr>
          <w:rStyle w:val="font-semibold"/>
          <w:rFonts w:ascii="Times New Roman" w:hAnsi="Times New Roman" w:cs="Times New Roman"/>
          <w:sz w:val="24"/>
          <w:szCs w:val="24"/>
        </w:rPr>
        <w:t>Pronko</w:t>
      </w:r>
      <w:proofErr w:type="spellEnd"/>
      <w:r w:rsidRPr="00BC76A7">
        <w:rPr>
          <w:rStyle w:val="font-semibold"/>
          <w:rFonts w:ascii="Times New Roman" w:hAnsi="Times New Roman" w:cs="Times New Roman"/>
          <w:sz w:val="24"/>
          <w:szCs w:val="24"/>
        </w:rPr>
        <w:t xml:space="preserve"> (201</w:t>
      </w:r>
      <w:r w:rsidR="003071EA">
        <w:rPr>
          <w:rStyle w:val="font-semibold"/>
          <w:rFonts w:ascii="Times New Roman" w:hAnsi="Times New Roman" w:cs="Times New Roman"/>
          <w:sz w:val="24"/>
          <w:szCs w:val="24"/>
        </w:rPr>
        <w:t>4</w:t>
      </w:r>
      <w:r w:rsidRPr="00BC76A7">
        <w:rPr>
          <w:rStyle w:val="font-semibold"/>
          <w:rFonts w:ascii="Times New Roman" w:hAnsi="Times New Roman" w:cs="Times New Roman"/>
          <w:sz w:val="24"/>
          <w:szCs w:val="24"/>
        </w:rPr>
        <w:t>)</w:t>
      </w:r>
      <w:r w:rsidRPr="00BC76A7">
        <w:rPr>
          <w:rFonts w:ascii="Times New Roman" w:hAnsi="Times New Roman" w:cs="Times New Roman"/>
          <w:sz w:val="24"/>
          <w:szCs w:val="24"/>
        </w:rPr>
        <w:t xml:space="preserve"> </w:t>
      </w:r>
      <w:r w:rsidRPr="00222FFB">
        <w:rPr>
          <w:rFonts w:ascii="Times New Roman" w:eastAsia="Times New Roman" w:hAnsi="Times New Roman" w:cs="Times New Roman"/>
          <w:sz w:val="24"/>
          <w:szCs w:val="24"/>
          <w:lang w:eastAsia="pt-BR"/>
        </w:rPr>
        <w:t xml:space="preserve">e a roda de conversa constituíram uma experiência formativa relevante no contexto do Mestrado em Educação da </w:t>
      </w:r>
      <w:proofErr w:type="spellStart"/>
      <w:r w:rsidRPr="00222FFB">
        <w:rPr>
          <w:rFonts w:ascii="Times New Roman" w:eastAsia="Times New Roman" w:hAnsi="Times New Roman" w:cs="Times New Roman"/>
          <w:sz w:val="24"/>
          <w:szCs w:val="24"/>
          <w:lang w:eastAsia="pt-BR"/>
        </w:rPr>
        <w:t>Unimontes</w:t>
      </w:r>
      <w:proofErr w:type="spellEnd"/>
      <w:r w:rsidRPr="00222FFB">
        <w:rPr>
          <w:rFonts w:ascii="Times New Roman" w:eastAsia="Times New Roman" w:hAnsi="Times New Roman" w:cs="Times New Roman"/>
          <w:sz w:val="24"/>
          <w:szCs w:val="24"/>
          <w:lang w:eastAsia="pt-BR"/>
        </w:rPr>
        <w:t xml:space="preserve">. A obra favoreceu discussões sobre </w:t>
      </w:r>
      <w:r w:rsidR="009C5609" w:rsidRPr="00BC76A7">
        <w:rPr>
          <w:rFonts w:ascii="Times New Roman" w:hAnsi="Times New Roman" w:cs="Times New Roman"/>
          <w:sz w:val="24"/>
          <w:szCs w:val="24"/>
        </w:rPr>
        <w:t>o eixo estruturante das reformas educacionais contemporâneas,</w:t>
      </w:r>
      <w:r w:rsidR="009C5609">
        <w:rPr>
          <w:rFonts w:ascii="Times New Roman" w:hAnsi="Times New Roman" w:cs="Times New Roman"/>
          <w:sz w:val="24"/>
          <w:szCs w:val="24"/>
        </w:rPr>
        <w:t xml:space="preserve"> clarificando os mecanismos de influência de </w:t>
      </w:r>
      <w:r w:rsidR="003071EA">
        <w:rPr>
          <w:rFonts w:ascii="Times New Roman" w:hAnsi="Times New Roman" w:cs="Times New Roman"/>
          <w:sz w:val="24"/>
          <w:szCs w:val="24"/>
        </w:rPr>
        <w:t>políticas</w:t>
      </w:r>
      <w:r w:rsidR="009C5609">
        <w:rPr>
          <w:rFonts w:ascii="Times New Roman" w:hAnsi="Times New Roman" w:cs="Times New Roman"/>
          <w:sz w:val="24"/>
          <w:szCs w:val="24"/>
        </w:rPr>
        <w:t xml:space="preserve"> neoliberais, trazendo luz ao debate possibilitando que conscientes da atuação do capital, seja possível construir ou contribuir com</w:t>
      </w:r>
      <w:r w:rsidR="009C5609" w:rsidRPr="00BC76A7">
        <w:rPr>
          <w:rFonts w:ascii="Times New Roman" w:hAnsi="Times New Roman" w:cs="Times New Roman"/>
          <w:sz w:val="24"/>
          <w:szCs w:val="24"/>
        </w:rPr>
        <w:t xml:space="preserve"> políticas alternativas baseadas na justiça social.</w:t>
      </w:r>
      <w:r w:rsidR="009C5609">
        <w:rPr>
          <w:rFonts w:ascii="Times New Roman" w:hAnsi="Times New Roman" w:cs="Times New Roman"/>
          <w:sz w:val="24"/>
          <w:szCs w:val="24"/>
        </w:rPr>
        <w:t xml:space="preserve"> </w:t>
      </w:r>
    </w:p>
    <w:p w14:paraId="3F7F039A" w14:textId="77777777" w:rsidR="00626BE3" w:rsidRDefault="00626BE3">
      <w:pPr>
        <w:spacing w:after="0" w:line="240" w:lineRule="auto"/>
        <w:jc w:val="both"/>
        <w:rPr>
          <w:rFonts w:ascii="Times New Roman" w:eastAsia="Times New Roman" w:hAnsi="Times New Roman" w:cs="Times New Roman"/>
          <w:sz w:val="24"/>
          <w:szCs w:val="24"/>
          <w:lang w:eastAsia="pt-BR"/>
        </w:rPr>
      </w:pPr>
    </w:p>
    <w:p w14:paraId="06B9EE9C" w14:textId="77777777" w:rsidR="007071D9" w:rsidRDefault="00ED1BDE">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Referências</w:t>
      </w:r>
    </w:p>
    <w:p w14:paraId="26038AF9" w14:textId="77777777" w:rsidR="001D31B1" w:rsidRDefault="001D31B1">
      <w:pPr>
        <w:spacing w:after="0" w:line="240" w:lineRule="auto"/>
        <w:jc w:val="both"/>
        <w:rPr>
          <w:rFonts w:ascii="Times New Roman" w:eastAsia="Times New Roman" w:hAnsi="Times New Roman" w:cs="Times New Roman"/>
          <w:b/>
          <w:sz w:val="24"/>
          <w:szCs w:val="24"/>
          <w:lang w:eastAsia="pt-BR"/>
        </w:rPr>
      </w:pPr>
    </w:p>
    <w:p w14:paraId="1A0CA7A8" w14:textId="696737F3" w:rsidR="00162651" w:rsidRPr="00A3029A" w:rsidRDefault="00A3029A" w:rsidP="0001257A">
      <w:pPr>
        <w:spacing w:after="0" w:line="240" w:lineRule="auto"/>
        <w:rPr>
          <w:rFonts w:ascii="Times New Roman" w:eastAsia="Times New Roman" w:hAnsi="Times New Roman" w:cs="Times New Roman"/>
          <w:sz w:val="24"/>
          <w:szCs w:val="24"/>
          <w:lang w:eastAsia="pt-BR"/>
        </w:rPr>
      </w:pPr>
      <w:r w:rsidRPr="00A3029A">
        <w:rPr>
          <w:rFonts w:ascii="Times New Roman" w:hAnsi="Times New Roman" w:cs="Times New Roman"/>
          <w:sz w:val="24"/>
          <w:szCs w:val="24"/>
        </w:rPr>
        <w:t xml:space="preserve">PEREIRA, J. M. M.; PRONKO, M. (Org.). </w:t>
      </w:r>
      <w:r w:rsidRPr="00A3029A">
        <w:rPr>
          <w:rStyle w:val="font-semibold"/>
          <w:rFonts w:ascii="Times New Roman" w:hAnsi="Times New Roman" w:cs="Times New Roman"/>
          <w:sz w:val="24"/>
          <w:szCs w:val="24"/>
        </w:rPr>
        <w:t>A demolição de direitos</w:t>
      </w:r>
      <w:r w:rsidRPr="00A3029A">
        <w:rPr>
          <w:rFonts w:ascii="Times New Roman" w:hAnsi="Times New Roman" w:cs="Times New Roman"/>
          <w:sz w:val="24"/>
          <w:szCs w:val="24"/>
        </w:rPr>
        <w:t>: um exame das políticas do Banco Mundial para a educação e a saúde (1980-2013). Rio de Janeiro: Escola Politécnica de Saúde Joaquim Venâncio, 201</w:t>
      </w:r>
      <w:r w:rsidR="003071EA">
        <w:rPr>
          <w:rFonts w:ascii="Times New Roman" w:hAnsi="Times New Roman" w:cs="Times New Roman"/>
          <w:sz w:val="24"/>
          <w:szCs w:val="24"/>
        </w:rPr>
        <w:t>4</w:t>
      </w:r>
      <w:r w:rsidRPr="00A3029A">
        <w:rPr>
          <w:rFonts w:ascii="Times New Roman" w:hAnsi="Times New Roman" w:cs="Times New Roman"/>
          <w:sz w:val="24"/>
          <w:szCs w:val="24"/>
        </w:rPr>
        <w:t>.</w:t>
      </w:r>
    </w:p>
    <w:sectPr w:rsidR="00162651" w:rsidRPr="00A3029A">
      <w:headerReference w:type="default" r:id="rId6"/>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00D6C" w14:textId="77777777" w:rsidR="004C08D4" w:rsidRDefault="004C08D4">
      <w:pPr>
        <w:spacing w:line="240" w:lineRule="auto"/>
      </w:pPr>
      <w:r>
        <w:separator/>
      </w:r>
    </w:p>
  </w:endnote>
  <w:endnote w:type="continuationSeparator" w:id="0">
    <w:p w14:paraId="6037C23A" w14:textId="77777777" w:rsidR="004C08D4" w:rsidRDefault="004C08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49018" w14:textId="77777777" w:rsidR="004C08D4" w:rsidRDefault="004C08D4">
      <w:pPr>
        <w:spacing w:after="0"/>
      </w:pPr>
      <w:r>
        <w:separator/>
      </w:r>
    </w:p>
  </w:footnote>
  <w:footnote w:type="continuationSeparator" w:id="0">
    <w:p w14:paraId="22EDF2B2" w14:textId="77777777" w:rsidR="004C08D4" w:rsidRDefault="004C08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A3A8C" w14:textId="77777777" w:rsidR="00ED1BDE" w:rsidRDefault="00ED1BDE">
    <w:pPr>
      <w:pStyle w:val="Cabealho"/>
    </w:pPr>
    <w:r>
      <w:rPr>
        <w:noProof/>
        <w:lang w:eastAsia="pt-BR"/>
      </w:rPr>
      <w:drawing>
        <wp:inline distT="0" distB="0" distL="114300" distR="114300" wp14:anchorId="00263015" wp14:editId="540F51CC">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2549"/>
    <w:rsid w:val="0001257A"/>
    <w:rsid w:val="00025809"/>
    <w:rsid w:val="00025FA7"/>
    <w:rsid w:val="00035614"/>
    <w:rsid w:val="000B16D9"/>
    <w:rsid w:val="00122BA4"/>
    <w:rsid w:val="00162651"/>
    <w:rsid w:val="00172A27"/>
    <w:rsid w:val="00174F68"/>
    <w:rsid w:val="00195E66"/>
    <w:rsid w:val="00196522"/>
    <w:rsid w:val="001D31B1"/>
    <w:rsid w:val="0022620C"/>
    <w:rsid w:val="002D5369"/>
    <w:rsid w:val="002F3660"/>
    <w:rsid w:val="003071EA"/>
    <w:rsid w:val="00381DBE"/>
    <w:rsid w:val="00391FD0"/>
    <w:rsid w:val="0039540F"/>
    <w:rsid w:val="003C63E1"/>
    <w:rsid w:val="003E707C"/>
    <w:rsid w:val="004272F1"/>
    <w:rsid w:val="00474170"/>
    <w:rsid w:val="004A1CAF"/>
    <w:rsid w:val="004C08D4"/>
    <w:rsid w:val="004D2AF2"/>
    <w:rsid w:val="00511191"/>
    <w:rsid w:val="00520499"/>
    <w:rsid w:val="00542F8C"/>
    <w:rsid w:val="005B4528"/>
    <w:rsid w:val="005B4CF4"/>
    <w:rsid w:val="00626BE3"/>
    <w:rsid w:val="006644FF"/>
    <w:rsid w:val="00677F30"/>
    <w:rsid w:val="006C4177"/>
    <w:rsid w:val="007071D9"/>
    <w:rsid w:val="00741E2B"/>
    <w:rsid w:val="007754A7"/>
    <w:rsid w:val="00783F54"/>
    <w:rsid w:val="0078796B"/>
    <w:rsid w:val="007D6855"/>
    <w:rsid w:val="00807E10"/>
    <w:rsid w:val="00814A8A"/>
    <w:rsid w:val="0082284F"/>
    <w:rsid w:val="008419C9"/>
    <w:rsid w:val="00880742"/>
    <w:rsid w:val="008A31FD"/>
    <w:rsid w:val="008A38E1"/>
    <w:rsid w:val="008E0C16"/>
    <w:rsid w:val="008F24BA"/>
    <w:rsid w:val="0096686C"/>
    <w:rsid w:val="0099277A"/>
    <w:rsid w:val="009A03C8"/>
    <w:rsid w:val="009C5609"/>
    <w:rsid w:val="009D615A"/>
    <w:rsid w:val="009E713D"/>
    <w:rsid w:val="009F76C2"/>
    <w:rsid w:val="00A21CE2"/>
    <w:rsid w:val="00A3029A"/>
    <w:rsid w:val="00A61CBD"/>
    <w:rsid w:val="00A91B0B"/>
    <w:rsid w:val="00AA273C"/>
    <w:rsid w:val="00AE7367"/>
    <w:rsid w:val="00B02F30"/>
    <w:rsid w:val="00B54461"/>
    <w:rsid w:val="00B71962"/>
    <w:rsid w:val="00B82A8F"/>
    <w:rsid w:val="00BA11F6"/>
    <w:rsid w:val="00BC76A7"/>
    <w:rsid w:val="00BD4155"/>
    <w:rsid w:val="00C049AF"/>
    <w:rsid w:val="00C06D35"/>
    <w:rsid w:val="00C41E06"/>
    <w:rsid w:val="00CA6C7E"/>
    <w:rsid w:val="00CB2C46"/>
    <w:rsid w:val="00D336F2"/>
    <w:rsid w:val="00D73A15"/>
    <w:rsid w:val="00D7498D"/>
    <w:rsid w:val="00D75F8E"/>
    <w:rsid w:val="00D846D6"/>
    <w:rsid w:val="00DC403B"/>
    <w:rsid w:val="00DD268C"/>
    <w:rsid w:val="00DE225C"/>
    <w:rsid w:val="00DE3481"/>
    <w:rsid w:val="00E3189F"/>
    <w:rsid w:val="00E97C27"/>
    <w:rsid w:val="00ED1BDE"/>
    <w:rsid w:val="00F353EE"/>
    <w:rsid w:val="00F600AF"/>
    <w:rsid w:val="00F61A5A"/>
    <w:rsid w:val="00FC0F98"/>
    <w:rsid w:val="00FC13F0"/>
    <w:rsid w:val="00FF15E0"/>
    <w:rsid w:val="07BD78D2"/>
    <w:rsid w:val="0CB10AFC"/>
    <w:rsid w:val="0E9E37B4"/>
    <w:rsid w:val="1A894334"/>
    <w:rsid w:val="1EF63937"/>
    <w:rsid w:val="221653A0"/>
    <w:rsid w:val="22184B3D"/>
    <w:rsid w:val="236E20A2"/>
    <w:rsid w:val="25485496"/>
    <w:rsid w:val="27CD66DB"/>
    <w:rsid w:val="2D0A23B4"/>
    <w:rsid w:val="336839D0"/>
    <w:rsid w:val="39113C01"/>
    <w:rsid w:val="4A4308C7"/>
    <w:rsid w:val="4DAD2754"/>
    <w:rsid w:val="597F7F50"/>
    <w:rsid w:val="59FB6197"/>
    <w:rsid w:val="5B5B3C9A"/>
    <w:rsid w:val="60FF12C0"/>
    <w:rsid w:val="68F74436"/>
    <w:rsid w:val="6AC044BA"/>
    <w:rsid w:val="704476BC"/>
    <w:rsid w:val="7E5F027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AEBC7"/>
  <w15:docId w15:val="{1745F84E-A86B-4339-B523-AEDDFBF2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paragraph" w:styleId="Cabealho">
    <w:name w:val="header"/>
    <w:basedOn w:val="Normal"/>
    <w:uiPriority w:val="99"/>
    <w:unhideWhenUsed/>
    <w:qFormat/>
    <w:pPr>
      <w:tabs>
        <w:tab w:val="center" w:pos="4252"/>
        <w:tab w:val="right" w:pos="8504"/>
      </w:tabs>
    </w:pPr>
  </w:style>
  <w:style w:type="paragraph" w:styleId="Rodap">
    <w:name w:val="footer"/>
    <w:basedOn w:val="Normal"/>
    <w:uiPriority w:val="99"/>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B2C46"/>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nfase">
    <w:name w:val="Emphasis"/>
    <w:basedOn w:val="Fontepargpadro"/>
    <w:uiPriority w:val="20"/>
    <w:qFormat/>
    <w:rsid w:val="00CB2C46"/>
    <w:rPr>
      <w:i/>
      <w:iCs/>
    </w:rPr>
  </w:style>
  <w:style w:type="character" w:styleId="HiperlinkVisitado">
    <w:name w:val="FollowedHyperlink"/>
    <w:basedOn w:val="Fontepargpadro"/>
    <w:uiPriority w:val="99"/>
    <w:semiHidden/>
    <w:unhideWhenUsed/>
    <w:rsid w:val="00542F8C"/>
    <w:rPr>
      <w:color w:val="954F72" w:themeColor="followedHyperlink"/>
      <w:u w:val="single"/>
    </w:rPr>
  </w:style>
  <w:style w:type="character" w:customStyle="1" w:styleId="font-semibold">
    <w:name w:val="font-semibold"/>
    <w:basedOn w:val="Fontepargpadro"/>
    <w:rsid w:val="00FC0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10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3941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IGO HELVECCIO SILVA ROSA</cp:lastModifiedBy>
  <cp:revision>2</cp:revision>
  <dcterms:created xsi:type="dcterms:W3CDTF">2026-05-13T20:31:00Z</dcterms:created>
  <dcterms:modified xsi:type="dcterms:W3CDTF">2026-05-13T20:31:00Z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