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22B37" w14:textId="77777777" w:rsidR="00A93DB4" w:rsidRPr="00A93DB4" w:rsidRDefault="00A93DB4">
      <w:pPr>
        <w:jc w:val="center"/>
        <w:rPr>
          <w:b/>
          <w:sz w:val="28"/>
          <w:szCs w:val="28"/>
          <w:lang w:val="en-US"/>
        </w:rPr>
      </w:pPr>
    </w:p>
    <w:p w14:paraId="21636B2B" w14:textId="3C852271" w:rsidR="00E5097D" w:rsidRPr="00A93DB4" w:rsidRDefault="00C54CB2">
      <w:pPr>
        <w:jc w:val="center"/>
        <w:rPr>
          <w:b/>
          <w:color w:val="C00000"/>
          <w:sz w:val="28"/>
          <w:szCs w:val="28"/>
          <w:lang w:val="en-US"/>
        </w:rPr>
      </w:pPr>
      <w:r w:rsidRPr="00C54CB2">
        <w:rPr>
          <w:b/>
          <w:sz w:val="28"/>
          <w:szCs w:val="28"/>
          <w:lang w:val="en-US"/>
        </w:rPr>
        <w:t>Digital Techno-Social Platform for Scaling MRV and Transforming Tropical Agriculture into Regenerative Assets</w:t>
      </w:r>
      <w:r w:rsidR="00361D8D" w:rsidRPr="00A93DB4">
        <w:rPr>
          <w:b/>
          <w:sz w:val="28"/>
          <w:szCs w:val="28"/>
          <w:lang w:val="en-US"/>
        </w:rPr>
        <w:br/>
      </w:r>
    </w:p>
    <w:p w14:paraId="7E130C43" w14:textId="77777777" w:rsidR="00E5097D" w:rsidRPr="00A93DB4" w:rsidRDefault="00E5097D">
      <w:pPr>
        <w:jc w:val="center"/>
        <w:rPr>
          <w:b/>
          <w:color w:val="C00000"/>
          <w:sz w:val="28"/>
          <w:szCs w:val="28"/>
          <w:lang w:val="en-US"/>
        </w:rPr>
      </w:pPr>
    </w:p>
    <w:p w14:paraId="7E3F1D0B" w14:textId="7144D984" w:rsidR="00361D8D" w:rsidRPr="00C54CB2" w:rsidRDefault="00361D8D" w:rsidP="00C54CB2">
      <w:pPr>
        <w:ind w:left="360"/>
        <w:jc w:val="center"/>
        <w:rPr>
          <w:b/>
          <w:bCs/>
          <w:sz w:val="22"/>
          <w:szCs w:val="22"/>
          <w:lang w:val="pt-BR"/>
        </w:rPr>
      </w:pPr>
      <w:r w:rsidRPr="00C54CB2">
        <w:rPr>
          <w:b/>
          <w:bCs/>
          <w:sz w:val="22"/>
          <w:szCs w:val="22"/>
          <w:u w:val="single"/>
          <w:lang w:val="pt-BR"/>
        </w:rPr>
        <w:t>Leandro Torres¹,</w:t>
      </w:r>
      <w:r w:rsidRPr="00C54CB2">
        <w:rPr>
          <w:sz w:val="22"/>
          <w:szCs w:val="22"/>
          <w:lang w:val="pt-BR"/>
        </w:rPr>
        <w:t xml:space="preserve"> </w:t>
      </w:r>
      <w:r w:rsidRPr="00C54CB2">
        <w:rPr>
          <w:b/>
          <w:bCs/>
          <w:sz w:val="22"/>
          <w:szCs w:val="22"/>
          <w:lang w:val="pt-BR"/>
        </w:rPr>
        <w:t>Ana Carolina Sousa¹, João Magalhães</w:t>
      </w:r>
      <w:r w:rsidR="00A93DB4" w:rsidRPr="00C54CB2">
        <w:rPr>
          <w:b/>
          <w:bCs/>
          <w:sz w:val="22"/>
          <w:szCs w:val="22"/>
          <w:lang w:val="pt-BR"/>
        </w:rPr>
        <w:t>¹</w:t>
      </w:r>
    </w:p>
    <w:p w14:paraId="6A7666E4" w14:textId="0D8F9BBA" w:rsidR="00E5097D" w:rsidRPr="00A93DB4" w:rsidRDefault="00000000" w:rsidP="00361D8D">
      <w:pPr>
        <w:jc w:val="center"/>
        <w:rPr>
          <w:i/>
          <w:sz w:val="22"/>
          <w:szCs w:val="22"/>
          <w:lang w:val="en-US"/>
        </w:rPr>
      </w:pPr>
      <w:r w:rsidRPr="00A93DB4">
        <w:rPr>
          <w:i/>
          <w:sz w:val="22"/>
          <w:szCs w:val="22"/>
          <w:vertAlign w:val="superscript"/>
          <w:lang w:val="en-US"/>
        </w:rPr>
        <w:t>1</w:t>
      </w:r>
      <w:r w:rsidR="00361D8D" w:rsidRPr="00A93DB4">
        <w:rPr>
          <w:i/>
          <w:sz w:val="22"/>
          <w:szCs w:val="22"/>
          <w:lang w:val="en-US"/>
        </w:rPr>
        <w:t>HIFA Research and Agricultural Development, São Paulo, Brazil</w:t>
      </w:r>
    </w:p>
    <w:p w14:paraId="599D0D75" w14:textId="387BF243" w:rsidR="00A93DB4" w:rsidRPr="00A93DB4" w:rsidRDefault="00A93DB4" w:rsidP="00361D8D">
      <w:pPr>
        <w:jc w:val="center"/>
        <w:rPr>
          <w:i/>
          <w:lang w:val="en-US"/>
        </w:rPr>
      </w:pPr>
      <w:r w:rsidRPr="00A93DB4">
        <w:rPr>
          <w:lang w:val="en-US"/>
        </w:rPr>
        <w:t>Corresponding author: hifa.agrofloresta@gmail.com</w:t>
      </w:r>
    </w:p>
    <w:p w14:paraId="5B561DFB" w14:textId="77777777" w:rsidR="00E5097D" w:rsidRPr="00A93DB4" w:rsidRDefault="00E5097D">
      <w:pPr>
        <w:jc w:val="center"/>
        <w:rPr>
          <w:lang w:val="en-US"/>
        </w:rPr>
      </w:pPr>
    </w:p>
    <w:p w14:paraId="684EE9A0" w14:textId="77777777" w:rsidR="00E5097D" w:rsidRPr="00A93DB4" w:rsidRDefault="00E5097D" w:rsidP="001434B5">
      <w:pPr>
        <w:jc w:val="center"/>
        <w:rPr>
          <w:lang w:val="en-US"/>
        </w:rPr>
      </w:pPr>
    </w:p>
    <w:p w14:paraId="40FB6644" w14:textId="18B089F4" w:rsidR="00A93DB4" w:rsidRPr="00A93DB4" w:rsidRDefault="00A93DB4" w:rsidP="001434B5">
      <w:pPr>
        <w:ind w:firstLine="720"/>
        <w:rPr>
          <w:lang w:val="en-US"/>
        </w:rPr>
      </w:pPr>
      <w:r w:rsidRPr="00A93DB4">
        <w:rPr>
          <w:lang w:val="en-US"/>
        </w:rPr>
        <w:t>Climate change has increasingly shifted from a predictive challenge to a structural risk management issue for agricultural systems. In 2025, global average temperatures reached approximately +1.44 °C above pre-industrial levels, while Brazil committed to reducing net greenhouse gas emissions by up to 67% by 2035. In this context, agricultural system</w:t>
      </w:r>
      <w:r>
        <w:rPr>
          <w:lang w:val="en-US"/>
        </w:rPr>
        <w:t xml:space="preserve">s </w:t>
      </w:r>
      <w:r w:rsidRPr="00A93DB4">
        <w:rPr>
          <w:lang w:val="en-US"/>
        </w:rPr>
        <w:t>play a central role, given the estimated loss of 1.4 billion tons of soil carbon in Brazil and their potential for recarbonization and climate mitigation.</w:t>
      </w:r>
    </w:p>
    <w:p w14:paraId="15CD53C5" w14:textId="3BFA052E" w:rsidR="00A93DB4" w:rsidRPr="00A93DB4" w:rsidRDefault="00A93DB4" w:rsidP="001434B5">
      <w:pPr>
        <w:ind w:firstLine="720"/>
        <w:rPr>
          <w:lang w:val="en-US"/>
        </w:rPr>
      </w:pPr>
      <w:r w:rsidRPr="00A93DB4">
        <w:rPr>
          <w:lang w:val="en-US"/>
        </w:rPr>
        <w:t>Despite this potential, the implementation of nature-based solutions remains constrained by</w:t>
      </w:r>
      <w:r w:rsidR="001434B5">
        <w:rPr>
          <w:lang w:val="en-US"/>
        </w:rPr>
        <w:t xml:space="preserve"> </w:t>
      </w:r>
      <w:r w:rsidRPr="00A93DB4">
        <w:rPr>
          <w:lang w:val="en-US"/>
        </w:rPr>
        <w:t>limitations, including high costs, low standardization, and limited scalability of monitoring, reporting, and verification (MRV) systems. Additionally, current agricultural models remain highly dependent on external inputs, with declining efficiency and limited integration of ecological processes such as nutrient cycling</w:t>
      </w:r>
      <w:r w:rsidR="001434B5">
        <w:rPr>
          <w:lang w:val="en-US"/>
        </w:rPr>
        <w:t xml:space="preserve"> </w:t>
      </w:r>
      <w:r w:rsidRPr="00A93DB4">
        <w:rPr>
          <w:lang w:val="en-US"/>
        </w:rPr>
        <w:t>and biological activity.</w:t>
      </w:r>
    </w:p>
    <w:p w14:paraId="5EEDFC74" w14:textId="5D9193BF" w:rsidR="00A93DB4" w:rsidRPr="00A93DB4" w:rsidRDefault="00A93DB4" w:rsidP="001434B5">
      <w:pPr>
        <w:ind w:firstLine="720"/>
        <w:rPr>
          <w:lang w:val="en-US"/>
        </w:rPr>
      </w:pPr>
      <w:r w:rsidRPr="00A93DB4">
        <w:rPr>
          <w:lang w:val="en-US"/>
        </w:rPr>
        <w:t xml:space="preserve">This project proposes the development of a techno-social </w:t>
      </w:r>
      <w:r w:rsidR="001434B5">
        <w:rPr>
          <w:lang w:val="en-US"/>
        </w:rPr>
        <w:t>software</w:t>
      </w:r>
      <w:r w:rsidRPr="00A93DB4">
        <w:rPr>
          <w:lang w:val="en-US"/>
        </w:rPr>
        <w:t xml:space="preserve"> based on the IQSAF (Index of Quality of Agricultural</w:t>
      </w:r>
      <w:r>
        <w:rPr>
          <w:lang w:val="en-US"/>
        </w:rPr>
        <w:t xml:space="preserve"> and</w:t>
      </w:r>
      <w:r w:rsidRPr="00A93DB4">
        <w:rPr>
          <w:lang w:val="en-US"/>
        </w:rPr>
        <w:t xml:space="preserve"> Forestry Systems), designed to support scalable MRV and decision-making in tropical production systems. The system operates through three integrated stages: (i) standardized data collection of soil, plant, carbon, and socioeconomic variables; (ii) data integration and processing into multi-dimensional indicators across four axes (soil, plant, carbon, and social); and (iii) generation of diagnostics, temporal monitoring, scenario simulation, and management recommendations.</w:t>
      </w:r>
    </w:p>
    <w:p w14:paraId="5D1382A0" w14:textId="679F74B1" w:rsidR="00A93DB4" w:rsidRPr="00A93DB4" w:rsidRDefault="00A93DB4" w:rsidP="001434B5">
      <w:pPr>
        <w:ind w:firstLine="720"/>
        <w:rPr>
          <w:color w:val="C00000"/>
          <w:lang w:val="en-US"/>
        </w:rPr>
      </w:pPr>
      <w:r w:rsidRPr="00A93DB4">
        <w:rPr>
          <w:lang w:val="en-US"/>
        </w:rPr>
        <w:t>By integrating biophysical and social indicators</w:t>
      </w:r>
      <w:r w:rsidR="007706BB">
        <w:rPr>
          <w:lang w:val="en-US"/>
        </w:rPr>
        <w:t xml:space="preserve">, </w:t>
      </w:r>
      <w:r w:rsidRPr="00A93DB4">
        <w:rPr>
          <w:lang w:val="en-US"/>
        </w:rPr>
        <w:t>the platform enables a systemic and longitudinal assessment of production systems. The proposed infrastructure enhances data frequency, comparability, and analytical capacity, contributing to reduced MRV costs and supporting the transformation of agricultural systems into measurable, auditable, and economically viable sustainable assets within global value chains.</w:t>
      </w:r>
      <w:r w:rsidRPr="00A93DB4">
        <w:rPr>
          <w:color w:val="C00000"/>
          <w:lang w:val="en-US"/>
        </w:rPr>
        <w:t xml:space="preserve"> </w:t>
      </w:r>
    </w:p>
    <w:p w14:paraId="0159C96B" w14:textId="77777777" w:rsidR="00E5097D" w:rsidRPr="00A93DB4" w:rsidRDefault="00E5097D">
      <w:pPr>
        <w:rPr>
          <w:sz w:val="22"/>
          <w:szCs w:val="22"/>
          <w:lang w:val="en-US"/>
        </w:rPr>
      </w:pPr>
    </w:p>
    <w:p w14:paraId="6C90B249" w14:textId="77777777" w:rsidR="00E5097D" w:rsidRPr="00A93DB4" w:rsidRDefault="00E5097D">
      <w:pPr>
        <w:rPr>
          <w:sz w:val="22"/>
          <w:szCs w:val="22"/>
          <w:lang w:val="en-US"/>
        </w:rPr>
      </w:pPr>
    </w:p>
    <w:p w14:paraId="06147F01" w14:textId="77777777" w:rsidR="00E5097D" w:rsidRPr="00A93DB4" w:rsidRDefault="00E5097D">
      <w:pPr>
        <w:rPr>
          <w:sz w:val="22"/>
          <w:szCs w:val="22"/>
          <w:lang w:val="en-US"/>
        </w:rPr>
      </w:pPr>
    </w:p>
    <w:p w14:paraId="5B58F858" w14:textId="53DAC2B6" w:rsidR="00E5097D" w:rsidRPr="00A93DB4" w:rsidRDefault="00000000">
      <w:pPr>
        <w:tabs>
          <w:tab w:val="left" w:pos="8300"/>
        </w:tabs>
        <w:rPr>
          <w:sz w:val="22"/>
          <w:szCs w:val="22"/>
          <w:lang w:val="en-US"/>
        </w:rPr>
        <w:sectPr w:rsidR="00E5097D" w:rsidRPr="00A93DB4" w:rsidSect="00957029">
          <w:headerReference w:type="even" r:id="rId7"/>
          <w:headerReference w:type="first" r:id="rId8"/>
          <w:pgSz w:w="11906" w:h="16838"/>
          <w:pgMar w:top="1418" w:right="1701" w:bottom="1418" w:left="1701" w:header="0" w:footer="1134" w:gutter="0"/>
          <w:pgNumType w:start="1"/>
          <w:cols w:space="720"/>
          <w:titlePg/>
          <w:docGrid w:linePitch="326"/>
        </w:sectPr>
      </w:pPr>
      <w:r w:rsidRPr="00A93DB4">
        <w:rPr>
          <w:b/>
          <w:smallCaps/>
          <w:sz w:val="22"/>
          <w:szCs w:val="22"/>
          <w:lang w:val="en-US"/>
        </w:rPr>
        <w:t>KEYWORDS</w:t>
      </w:r>
      <w:r w:rsidRPr="00A93DB4">
        <w:rPr>
          <w:sz w:val="22"/>
          <w:szCs w:val="22"/>
          <w:lang w:val="en-US"/>
        </w:rPr>
        <w:t xml:space="preserve">: </w:t>
      </w:r>
      <w:r w:rsidR="001434B5" w:rsidRPr="001434B5">
        <w:rPr>
          <w:sz w:val="22"/>
          <w:szCs w:val="22"/>
          <w:lang w:val="en-US"/>
        </w:rPr>
        <w:t>agroforestry systems, MRV, soil carbon, regenerative agriculture, decision-support systems</w:t>
      </w:r>
      <w:r w:rsidR="001434B5">
        <w:rPr>
          <w:sz w:val="22"/>
          <w:szCs w:val="22"/>
          <w:lang w:val="en-US"/>
        </w:rPr>
        <w:t>, organic agriculture, cover crops benefits.</w:t>
      </w:r>
      <w:r w:rsidRPr="00A93DB4">
        <w:rPr>
          <w:color w:val="C00000"/>
          <w:sz w:val="22"/>
          <w:szCs w:val="22"/>
          <w:lang w:val="en-US"/>
        </w:rPr>
        <w:t xml:space="preserve"> </w:t>
      </w:r>
    </w:p>
    <w:p w14:paraId="7F3C1D89" w14:textId="77777777" w:rsidR="00E5097D" w:rsidRPr="00A93DB4" w:rsidRDefault="00E5097D">
      <w:pPr>
        <w:jc w:val="center"/>
        <w:rPr>
          <w:lang w:val="en-US"/>
        </w:rPr>
      </w:pPr>
    </w:p>
    <w:p w14:paraId="4045FB3E" w14:textId="65A88E15" w:rsidR="00E5097D" w:rsidRPr="00A93DB4" w:rsidRDefault="00E5097D" w:rsidP="001434B5">
      <w:pPr>
        <w:rPr>
          <w:lang w:val="en-US"/>
        </w:rPr>
      </w:pPr>
    </w:p>
    <w:p w14:paraId="2265A0F5" w14:textId="03A46779" w:rsidR="00E5097D" w:rsidRPr="00A93DB4" w:rsidRDefault="00000000" w:rsidP="001434B5">
      <w:pPr>
        <w:tabs>
          <w:tab w:val="left" w:pos="8300"/>
        </w:tabs>
        <w:rPr>
          <w:sz w:val="16"/>
          <w:szCs w:val="16"/>
          <w:lang w:val="en-US"/>
        </w:rPr>
      </w:pPr>
      <w:r w:rsidRPr="00A93DB4">
        <w:rPr>
          <w:b/>
          <w:smallCaps/>
          <w:sz w:val="22"/>
          <w:szCs w:val="22"/>
          <w:lang w:val="en-US"/>
        </w:rPr>
        <w:t xml:space="preserve">FUNDING: </w:t>
      </w:r>
      <w:r w:rsidR="001434B5" w:rsidRPr="001434B5">
        <w:rPr>
          <w:bCs/>
          <w:smallCaps/>
          <w:sz w:val="22"/>
          <w:szCs w:val="22"/>
          <w:lang w:val="en-US"/>
        </w:rPr>
        <w:t>this work was developed within hifa research and agricultural development initiatives</w:t>
      </w:r>
    </w:p>
    <w:sectPr w:rsidR="00E5097D" w:rsidRPr="00A93DB4">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B86E1" w14:textId="77777777" w:rsidR="005B6202" w:rsidRDefault="005B6202">
      <w:r>
        <w:separator/>
      </w:r>
    </w:p>
  </w:endnote>
  <w:endnote w:type="continuationSeparator" w:id="0">
    <w:p w14:paraId="52A3B8E2" w14:textId="77777777" w:rsidR="005B6202" w:rsidRDefault="005B6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24AB4" w14:textId="77777777" w:rsidR="005B6202" w:rsidRDefault="005B6202">
      <w:r>
        <w:separator/>
      </w:r>
    </w:p>
  </w:footnote>
  <w:footnote w:type="continuationSeparator" w:id="0">
    <w:p w14:paraId="004400F2" w14:textId="77777777" w:rsidR="005B6202" w:rsidRDefault="005B62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Default="005B6202">
    <w:pPr>
      <w:pBdr>
        <w:top w:val="nil"/>
        <w:left w:val="nil"/>
        <w:bottom w:val="nil"/>
        <w:right w:val="nil"/>
        <w:between w:val="nil"/>
      </w:pBdr>
      <w:tabs>
        <w:tab w:val="center" w:pos="4680"/>
        <w:tab w:val="right" w:pos="9360"/>
      </w:tabs>
      <w:rPr>
        <w:color w:val="000000"/>
      </w:rPr>
    </w:pPr>
    <w:r>
      <w:rPr>
        <w:color w:val="000000"/>
      </w:rPr>
      <w:pict w14:anchorId="316EF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9264;mso-wrap-edited:f;mso-width-percent:0;mso-height-percent:0;mso-position-horizontal:center;mso-position-horizontal-relative:margin;mso-position-vertical:center;mso-position-vertical-relative:margin;mso-width-percent:0;mso-height-percent:0">
          <v:imagedata r:id="rId1" o:title="image6" gain="19661f" blacklevel="22938f"/>
          <w10:wrap anchorx="margin" anchory="margin"/>
        </v:shape>
      </w:pict>
    </w:r>
    <w:r>
      <w:rPr>
        <w:color w:val="000000"/>
      </w:rPr>
      <w:pict w14:anchorId="4C477183">
        <v:shape id="WordPictureWatermark2" o:spid="_x0000_s1027" type="#_x0000_t75" alt="" style="position:absolute;left:0;text-align:left;margin-left:0;margin-top:0;width:481.75pt;height:503.6pt;z-index:-251658240;mso-wrap-edited:f;mso-width-percent:0;mso-height-percent:0;mso-position-horizontal:center;mso-position-horizontal-relative:margin;mso-position-vertical:center;mso-position-vertical-relative:margin;mso-width-percent:0;mso-height-percent:0">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Default="005B6202">
    <w:pPr>
      <w:pBdr>
        <w:top w:val="nil"/>
        <w:left w:val="nil"/>
        <w:bottom w:val="nil"/>
        <w:right w:val="nil"/>
        <w:between w:val="nil"/>
      </w:pBdr>
      <w:tabs>
        <w:tab w:val="center" w:pos="4680"/>
        <w:tab w:val="right" w:pos="9360"/>
      </w:tabs>
      <w:rPr>
        <w:color w:val="000000"/>
      </w:rPr>
    </w:pPr>
    <w:r>
      <w:rPr>
        <w:color w:val="000000"/>
      </w:rPr>
      <w:pict w14:anchorId="26960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6C9C8015">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1434B5"/>
    <w:rsid w:val="001513F9"/>
    <w:rsid w:val="00303004"/>
    <w:rsid w:val="00361D8D"/>
    <w:rsid w:val="005B6202"/>
    <w:rsid w:val="006442F1"/>
    <w:rsid w:val="00750B66"/>
    <w:rsid w:val="007706BB"/>
    <w:rsid w:val="007A7424"/>
    <w:rsid w:val="00947376"/>
    <w:rsid w:val="00952BEE"/>
    <w:rsid w:val="00957029"/>
    <w:rsid w:val="00A93DB4"/>
    <w:rsid w:val="00B666B5"/>
    <w:rsid w:val="00C54CB2"/>
    <w:rsid w:val="00D022EB"/>
    <w:rsid w:val="00DF4DAA"/>
    <w:rsid w:val="00E5097D"/>
    <w:rsid w:val="00F701EC"/>
    <w:rsid w:val="00F75C37"/>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Heading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EndnoteText">
    <w:name w:val="endnote text"/>
    <w:basedOn w:val="Normal"/>
    <w:semiHidden/>
    <w:rsid w:val="00060B2C"/>
    <w:rPr>
      <w:sz w:val="20"/>
      <w:szCs w:val="20"/>
    </w:rPr>
  </w:style>
  <w:style w:type="character" w:styleId="EndnoteReference">
    <w:name w:val="endnote reference"/>
    <w:semiHidden/>
    <w:rsid w:val="00060B2C"/>
    <w:rPr>
      <w:vertAlign w:val="superscript"/>
    </w:rPr>
  </w:style>
  <w:style w:type="character" w:styleId="Hyperlink">
    <w:name w:val="Hyperlink"/>
    <w:rsid w:val="00060B2C"/>
    <w:rPr>
      <w:color w:val="0000FF"/>
      <w:u w:val="single"/>
    </w:rPr>
  </w:style>
  <w:style w:type="paragraph" w:styleId="FootnoteText">
    <w:name w:val="footnote text"/>
    <w:basedOn w:val="Normal"/>
    <w:rsid w:val="00060B2C"/>
    <w:rPr>
      <w:sz w:val="20"/>
      <w:szCs w:val="20"/>
    </w:rPr>
  </w:style>
  <w:style w:type="character" w:styleId="FootnoteReference">
    <w:name w:val="footnote reference"/>
    <w:rsid w:val="00060B2C"/>
    <w:rPr>
      <w:vertAlign w:val="superscript"/>
    </w:rPr>
  </w:style>
  <w:style w:type="table" w:styleId="TableGrid">
    <w:name w:val="Table Grid"/>
    <w:basedOn w:val="Table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8408D9"/>
    <w:rPr>
      <w:b/>
      <w:bCs/>
      <w:i w:val="0"/>
      <w:iCs w:val="0"/>
    </w:rPr>
  </w:style>
  <w:style w:type="paragraph" w:styleId="BalloonText">
    <w:name w:val="Balloon Text"/>
    <w:basedOn w:val="Normal"/>
    <w:link w:val="BalloonTextChar"/>
    <w:rsid w:val="00412AC7"/>
    <w:rPr>
      <w:rFonts w:ascii="Tahoma" w:hAnsi="Tahoma" w:cs="Tahoma"/>
      <w:sz w:val="16"/>
      <w:szCs w:val="16"/>
    </w:rPr>
  </w:style>
  <w:style w:type="character" w:customStyle="1" w:styleId="BalloonTextChar">
    <w:name w:val="Balloon Text Char"/>
    <w:basedOn w:val="DefaultParagraphFont"/>
    <w:link w:val="BalloonText"/>
    <w:rsid w:val="00412AC7"/>
    <w:rPr>
      <w:rFonts w:ascii="Tahoma" w:hAnsi="Tahoma" w:cs="Tahoma"/>
      <w:sz w:val="16"/>
      <w:szCs w:val="16"/>
      <w:lang w:val="fr-FR" w:eastAsia="fr-FR"/>
    </w:rPr>
  </w:style>
  <w:style w:type="paragraph" w:styleId="Header">
    <w:name w:val="header"/>
    <w:basedOn w:val="Normal"/>
    <w:link w:val="HeaderChar"/>
    <w:uiPriority w:val="99"/>
    <w:rsid w:val="00412AC7"/>
    <w:pPr>
      <w:tabs>
        <w:tab w:val="center" w:pos="4680"/>
        <w:tab w:val="right" w:pos="9360"/>
      </w:tabs>
    </w:pPr>
  </w:style>
  <w:style w:type="character" w:customStyle="1" w:styleId="HeaderChar">
    <w:name w:val="Header Char"/>
    <w:basedOn w:val="DefaultParagraphFont"/>
    <w:link w:val="Header"/>
    <w:uiPriority w:val="99"/>
    <w:rsid w:val="00412AC7"/>
    <w:rPr>
      <w:sz w:val="24"/>
      <w:szCs w:val="24"/>
      <w:lang w:val="fr-FR" w:eastAsia="fr-FR"/>
    </w:rPr>
  </w:style>
  <w:style w:type="paragraph" w:styleId="Footer">
    <w:name w:val="footer"/>
    <w:basedOn w:val="Normal"/>
    <w:link w:val="FooterChar"/>
    <w:rsid w:val="00412AC7"/>
    <w:pPr>
      <w:tabs>
        <w:tab w:val="center" w:pos="4680"/>
        <w:tab w:val="right" w:pos="9360"/>
      </w:tabs>
    </w:pPr>
  </w:style>
  <w:style w:type="character" w:customStyle="1" w:styleId="FooterChar">
    <w:name w:val="Footer Char"/>
    <w:basedOn w:val="DefaultParagraphFont"/>
    <w:link w:val="Footer"/>
    <w:rsid w:val="00412AC7"/>
    <w:rPr>
      <w:sz w:val="24"/>
      <w:szCs w:val="24"/>
      <w:lang w:val="fr-FR" w:eastAsia="fr-FR"/>
    </w:rPr>
  </w:style>
  <w:style w:type="paragraph" w:styleId="ListParagraph">
    <w:name w:val="List Paragraph"/>
    <w:basedOn w:val="Normal"/>
    <w:uiPriority w:val="34"/>
    <w:qFormat/>
    <w:rsid w:val="002F65F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317</Words>
  <Characters>2177</Characters>
  <Application>Microsoft Office Word</Application>
  <DocSecurity>0</DocSecurity>
  <Lines>45</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Leandro Torres</cp:lastModifiedBy>
  <cp:revision>2</cp:revision>
  <dcterms:created xsi:type="dcterms:W3CDTF">2026-04-14T23:29:00Z</dcterms:created>
  <dcterms:modified xsi:type="dcterms:W3CDTF">2026-04-14T23:29:00Z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