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29" w:after="0" w:line="276"/>
        <w:ind w:right="1551" w:left="2210" w:hanging="85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Prevalência de dermatoses na população atendida em</w:t>
      </w:r>
      <w:r>
        <w:rPr>
          <w:rFonts w:ascii="Arial" w:hAnsi="Arial" w:cs="Arial" w:eastAsia="Arial"/>
          <w:b/>
          <w:color w:val="auto"/>
          <w:spacing w:val="-7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um ambulatório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Eduarda Marquez Almeida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PUC GO - Medicina</w:t>
        <w:br/>
        <w:t xml:space="preserve">dudinhaalmeida1707@gmail.com</w:t>
        <w:br/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 - Recife</w:t>
        <w:br/>
        <w:t xml:space="preserve">thiago.ruan19@gmail.com</w:t>
        <w:br/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Kevillyn Maria Nava Flores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UNINASSAU/Cacoal-RO</w:t>
        <w:br/>
        <w:t xml:space="preserve">kevillynflores@gmail.com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Gisleide Tristão Franco de Alcântara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gisleidealcantara@hotmail.com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Emanuela Rosa de Oliveira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FAMP</w:t>
        <w:br/>
        <w:t xml:space="preserve"> Emanuela.rosaoliveira@gmail.com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Igor Antônio de Macêdo Almeida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Uninassau </w:t>
        <w:br/>
        <w:t xml:space="preserve"> igor_almeida35@hotmail.com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Layane Colling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Franciscana - UFN</w:t>
        <w:br/>
        <w:t xml:space="preserve">layanecolling@gmail.com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Giovanna Braga Ferreira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de Marília - UNIMAR</w:t>
        <w:br/>
        <w:t xml:space="preserve">giovanna.bferreiraa@gmail.com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Laureen Garcia Simoes de Souza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Universidade de Marília- UNIMAR</w:t>
        <w:br/>
        <w:t xml:space="preserve">garcialaureen21@gmail.com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Isabela Rissoli Tamura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isabelarissolitamura@hotmail.com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Jose Lucas Medeiros do Paraízo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da Vitória de Santo Antão</w:t>
        <w:br/>
        <w:t xml:space="preserve">lucasmedeiros20170@gmail.com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br/>
        <w:t xml:space="preserve">José Elias Makaron Neto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UNIVAG - MT</w:t>
        <w:br/>
        <w:t xml:space="preserve">José Elias Makaron Neto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Mirielly Santos Maracaipe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Instituto de Ensino Superior do Sul do Maranhão-UNISULMA</w:t>
        <w:br/>
        <w:t xml:space="preserve">Kadomily@gmail.com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Ayron Abraão César Xavier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Univerdidade Potiguar </w:t>
        <w:br/>
        <w:t xml:space="preserve">ayron_abraao@hotmail.com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9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6"/>
          <w:shd w:fill="auto" w:val="clear"/>
        </w:rPr>
      </w:pPr>
    </w:p>
    <w:p>
      <w:pPr>
        <w:spacing w:before="93" w:after="0" w:line="240"/>
        <w:ind w:right="1453" w:left="1459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54" w:after="0" w:line="276"/>
        <w:ind w:right="1133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Objetivo: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Avaliar a prevalência de dermatoses nos pacientes atendidos pelo serviço de dermatologia de um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 universitário no ano de 2020 e 2021.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Métodos: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 transversal retrospectivo, através 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coleta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prontuários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informatizados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 de um ambulatório de instituição de ensino superior de uma capital brasileira, no ano de 2021.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idade média dos pacientes foi de 52,96 anos, sendo 576 (67,8%) do sexo feminino e 274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(32,2%)do sexo masculino. Em relação à prevalência dos diagnósticos das consultas atendidas há 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significativa diversidade de resultados em que os grupos de dermatoses mais frequentes categorizadas pelo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Ceratose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Seborreica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(L82)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Afecções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Tecido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Subcutâneo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Classificadas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Outra Parte (L98), com 8,8% e 6,4%, respectivamente.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Conclusão: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dermatopatias muitas vezes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diagnosticadas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clinicamente.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levantamento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possibilita 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criação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políticas públicas e capacitação para os profissionais de saúde, reduzindo a taxa de encaminhamentos para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especialistas.</w:t>
      </w:r>
    </w:p>
    <w:p>
      <w:pPr>
        <w:spacing w:before="119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Dermatopatia,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Ambulatorial,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6"/>
          <w:shd w:fill="auto" w:val="clear"/>
        </w:rPr>
      </w:pPr>
    </w:p>
    <w:p>
      <w:pPr>
        <w:spacing w:before="93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INTRODUÇÃO</w:t>
      </w:r>
    </w:p>
    <w:p>
      <w:pPr>
        <w:spacing w:before="159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especialidade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dedica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acometem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maior órgão do corpo humano, é a dermatologia. Além disso, a área também é voltada para doenças 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cutâneos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mucosas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(BERNARDES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2015). 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humano,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correspondendo a 15% do peso corporal. Possui diversas funções a fim de manter um equilíbrio com 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exterior, dentre elas as funções de termorregulação, produção e excreção de metabólitos e sensorial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(AZULAY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RD,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2017).</w:t>
      </w:r>
    </w:p>
    <w:p>
      <w:pPr>
        <w:spacing w:before="120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reações cutâneas são caracterizadas por meio das lesões elementares, que permitem descrever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sinais morfológicos para tentar levar a um diagnóstico sindrômico e posteriormente etiológico (RIVITTI EA,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2014). A dermatologia é uma área responsável pelo estudo de mais de 4000 doenças. O componente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essencialmente visual das patologias permite seu reconhecimento precoce. Dessa forma, ainda é 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 diagnósticos apenas pelo exame físico, observando e tocando no paciente (FERREIRA IG, et 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120" w:after="0" w:line="276"/>
        <w:ind w:right="124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doenças da pele podem ser indicadas genericamente por dermatoses. Essas patologias são muito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frequentes, acometendo aproximadamente 35% a 50% da população. Há, portanto, uma alta demanda 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(SUS)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desequilíbrio na oferta e demanda de cuidados. O atendimento ao paciente em clínicas especializadas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envolve um tempo de espera extremamente longo, desde a solicitação da consulta até o momento em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paciente é atendido pelo especialista. O tempo de espera em dermatologia varia de 34 a 239 dias,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determinada região da cidade de São Paulo. As razões para encaminhamento à dermatologistas incluem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 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graus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complexidade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amplamente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(AVANCINI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ZUCCHI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P, 2018).</w:t>
      </w:r>
    </w:p>
    <w:p>
      <w:pPr>
        <w:spacing w:before="121" w:after="0" w:line="276"/>
        <w:ind w:right="1254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 estudos que relatam que, dentro do total de consultas registradas por queixas dermatológicas, até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80,5% de atendimentos são encaminhados para a equipe de dermatologia. Demonstrando sua importância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área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particularmente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trabalham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Primária,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dasdoenças dermatológicas devem ser tratadas. No entanto, há uma clara desvalorização destas, 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subestimada a sua morbidade e importância no contexto de saúde pública ( BERNARDES CA, et al., 2015).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Apesar da baixa mortalidade, as dermatoses podem afetar gravemente a qualidade de vida e o bem-estar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estigmas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aparência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lesões,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cerca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terço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doenças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repercussões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emocionais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cotidianas.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 disso,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impacto das dermatoses de baixa morbidade em conduzir à depressão, aos distúrbios de imagem e à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ansiedade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equivale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sistêmicas,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epilepsia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(TABORDA,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2010).</w:t>
      </w:r>
    </w:p>
    <w:p>
      <w:pPr>
        <w:spacing w:before="119" w:after="0" w:line="276"/>
        <w:ind w:right="124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primários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encorajam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treinamento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aumentar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ali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atendidos.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temas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prioritários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requer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Pouco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sabe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secundários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Brasil, o que limita propostas de intervenções para otimizar os serviços de saúde. Dessa forma, estudos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prevalência como esse conseguem proporcionar uma melhor assistência na Atenção Primária uma vez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norteiam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treinamento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(AVANCINI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ZUCCHI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122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objetivo do estudo foi avaliar a prevalência de dermatoses nos pacientes atendidos no ambulatório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universitário, além de levantar dados sociodemográficos dos indivíduos, para incitar a discussão no meio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acadêmico e permitindo o reconhecimento das dermatoses. A partir deste estudo, o contato com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diagnósticos permitirá o entendimento da prevalência das principais dermatoses neste ambulatório pelos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acadêmicos da instituição e profissionais de saúde envolvidos, proporcionando discussão e conhecimento,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auxiliando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domínio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teórico-prático.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políticas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corroborem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pelos profissionais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 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região.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MÉTODOS</w:t>
      </w:r>
    </w:p>
    <w:p>
      <w:pPr>
        <w:spacing w:before="159" w:after="0" w:line="276"/>
        <w:ind w:right="124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Trata-se de um estudo transversal retrospectivo. Os critérios de inclusão foram: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prontuários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especialidade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2021.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Já os critérios de exclusão, por sua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vez, foram: prontuários de pessoas com menos de 18 anos. Ressalta-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consultas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impressões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consideradas.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850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prontuário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individualmente,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origem.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tabela no Excel (Microsoft®) com as variáveis: código do atendimento, data do atendimento, sexo,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ocupação,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município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origem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 dos diagnósticos descritos pelo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CID-10.</w:t>
      </w:r>
    </w:p>
    <w:p>
      <w:pPr>
        <w:spacing w:before="120" w:after="0" w:line="276"/>
        <w:ind w:right="1246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Primeiramente, foi coletado o perfil epidemiológico dos pacientes atendidos, considerando as seguintes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variáveis: sexo, idade, profissão e munícipio de origem. Foi analisada a prevalência dos diagnósticos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descrito.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 diagnóstico. Para fins didáticos, os diagnósticos foram agrupados de acordo com o CID-10, por ser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internacional padronizado.</w:t>
      </w:r>
    </w:p>
    <w:p>
      <w:pPr>
        <w:spacing w:before="121" w:after="0" w:line="276"/>
        <w:ind w:right="1243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prevalência também foi analisada de acordo com a idade e sexo. Para a idade, as faixas etárias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foram: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18-29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29-40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40-51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51-62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62-73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73-84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84-95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escolha dos intervalos &lt;40 anos, 40-62 anos e &gt;62 anos. Para sexo, consideramos feminino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masculino.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tabelas,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pouco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expressiva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agrupados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“outros”.</w:t>
      </w:r>
    </w:p>
    <w:p>
      <w:pPr>
        <w:spacing w:before="118" w:after="0" w:line="276"/>
        <w:ind w:right="1246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Comitê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Ética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(CEP)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Faculdade,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número CAAE: 56139621.8.0000.5134, número do parecer: 5.492.895. Ressalta-se que os dados só foram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coletados após a aprovação do estudo no CEP e que, durante a realização do trabalho, os princípios éticos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466/12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Nacional de Saúde.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93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RESULTADOS</w:t>
      </w:r>
    </w:p>
    <w:p>
      <w:pPr>
        <w:spacing w:before="156" w:after="0" w:line="276"/>
        <w:ind w:right="1243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 analisados os prontuários de 850 pacientes no ambulatório de dermatologia de uma faculdade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privada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estado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Minas Gerais no ano de 2021, para levantamento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 dos diagnósticos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 de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dermatoses. Ressalta-se que foram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considerados todos os prontuários, de todas as consultas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analisados,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caracterizando o sexo, idade, profissão e região de naturalidade dos indivíduos da amostra. Dos 850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 analisados, 576 (67,8%) são do sexo feminino e 274 (32,2%) do sexo masculino. A média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encontrada para as idades dos entrevistados é de 52.96 anos com um desvio padrão de 17.64 anos,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indicando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variabilidade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33.3%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torno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médio.</w:t>
      </w:r>
    </w:p>
    <w:p>
      <w:pPr>
        <w:spacing w:before="121" w:after="0" w:line="276"/>
        <w:ind w:right="1238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mediana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estimada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56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quartil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40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quartil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66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anos. A maior idade encontrada para os respondentes foi de 94 e a menor idade informada foi de 18 anos.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Quanto à profissão, a maior parte da amostra, 72,3%, possuía outras ocupações ou não declaradas,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seguidos de 14,1% de aposentados, 9,9% do lar, 1,9% de serviços gerais e 1,8% são estudantes. Em relação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municípios,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cerca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41,53%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pertencem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cidade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Belo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Horizonte,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enquanto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3,18%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entrevistados são provenientes de Contagem e 55,29% são provenientes de outras regiões, incluindo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estados 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Bahia,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Espirito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Janeiro.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8"/>
        <w:ind w:right="633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Caracterização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pacientes,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levando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consideração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variáveis: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sexo,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idade,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profissão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naturalidade.</w:t>
      </w:r>
    </w:p>
    <w:tbl>
      <w:tblPr>
        <w:tblInd w:w="1140" w:type="dxa"/>
      </w:tblPr>
      <w:tblGrid>
        <w:gridCol w:w="4945"/>
        <w:gridCol w:w="4686"/>
      </w:tblGrid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86" w:left="183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Variáveis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Estatística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(%)</w:t>
            </w:r>
          </w:p>
        </w:tc>
      </w:tr>
      <w:tr>
        <w:trPr>
          <w:trHeight w:val="230" w:hRule="auto"/>
          <w:jc w:val="left"/>
        </w:trPr>
        <w:tc>
          <w:tcPr>
            <w:tcW w:w="96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Sexo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576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(67,8)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274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(32,2)</w:t>
            </w:r>
          </w:p>
        </w:tc>
      </w:tr>
      <w:tr>
        <w:trPr>
          <w:trHeight w:val="230" w:hRule="auto"/>
          <w:jc w:val="left"/>
        </w:trPr>
        <w:tc>
          <w:tcPr>
            <w:tcW w:w="96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±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desvio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padrão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52,96 ±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17,64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Mediana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(1º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quartil-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3º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quartil)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(40-62)</w:t>
            </w:r>
          </w:p>
        </w:tc>
      </w:tr>
      <w:tr>
        <w:trPr>
          <w:trHeight w:val="230" w:hRule="auto"/>
          <w:jc w:val="left"/>
        </w:trPr>
        <w:tc>
          <w:tcPr>
            <w:tcW w:w="96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Profissão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Estudante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(1,8)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Serviços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gerais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(1,9)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lar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4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(9,9)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Aposentados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120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(14,1)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Outros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615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(72,3)</w:t>
            </w:r>
          </w:p>
        </w:tc>
      </w:tr>
      <w:tr>
        <w:trPr>
          <w:trHeight w:val="227" w:hRule="auto"/>
          <w:jc w:val="left"/>
        </w:trPr>
        <w:tc>
          <w:tcPr>
            <w:tcW w:w="96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Municípios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Belo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Horizonte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47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353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(41,53)</w:t>
            </w:r>
          </w:p>
        </w:tc>
      </w:tr>
      <w:tr>
        <w:trPr>
          <w:trHeight w:val="230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Contagem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50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(3,18)</w:t>
            </w:r>
          </w:p>
        </w:tc>
      </w:tr>
      <w:tr>
        <w:trPr>
          <w:trHeight w:val="232" w:hRule="auto"/>
          <w:jc w:val="left"/>
        </w:trPr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Outros</w:t>
            </w:r>
          </w:p>
        </w:tc>
        <w:tc>
          <w:tcPr>
            <w:tcW w:w="4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747" w:left="13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470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(55,29)</w:t>
            </w:r>
          </w:p>
        </w:tc>
      </w:tr>
    </w:tbl>
    <w:p>
      <w:pPr>
        <w:spacing w:before="0" w:after="0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LT,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76"/>
        <w:ind w:right="1264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 a escolha dos intervalos para a variável Idade é apresentado a seguir na tabela 2, a nova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classes para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idade.</w:t>
      </w:r>
    </w:p>
    <w:p>
      <w:pPr>
        <w:spacing w:before="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37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Caracterização 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a variável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Idade.</w:t>
      </w:r>
    </w:p>
    <w:tbl>
      <w:tblPr>
        <w:tblInd w:w="1140" w:type="dxa"/>
      </w:tblPr>
      <w:tblGrid>
        <w:gridCol w:w="4950"/>
        <w:gridCol w:w="4691"/>
      </w:tblGrid>
      <w:tr>
        <w:trPr>
          <w:trHeight w:val="230" w:hRule="auto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</w:p>
        </w:tc>
        <w:tc>
          <w:tcPr>
            <w:tcW w:w="4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55" w:left="195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</w:p>
        </w:tc>
      </w:tr>
      <w:tr>
        <w:trPr>
          <w:trHeight w:val="230" w:hRule="auto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&lt;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4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7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210(24,7)</w:t>
            </w:r>
          </w:p>
        </w:tc>
      </w:tr>
      <w:tr>
        <w:trPr>
          <w:trHeight w:val="230" w:hRule="auto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9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[40-60]</w:t>
            </w:r>
          </w:p>
        </w:tc>
        <w:tc>
          <w:tcPr>
            <w:tcW w:w="4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8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326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(38,4)</w:t>
            </w:r>
          </w:p>
        </w:tc>
      </w:tr>
      <w:tr>
        <w:trPr>
          <w:trHeight w:val="230" w:hRule="auto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&gt;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4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8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(36,9)</w:t>
            </w:r>
          </w:p>
        </w:tc>
      </w:tr>
      <w:tr>
        <w:trPr>
          <w:trHeight w:val="230" w:hRule="auto"/>
          <w:jc w:val="left"/>
        </w:trPr>
        <w:tc>
          <w:tcPr>
            <w:tcW w:w="4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5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4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65" w:left="17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</w:tr>
    </w:tbl>
    <w:p>
      <w:pPr>
        <w:spacing w:before="0" w:after="0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LT,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6"/>
        <w:ind w:right="114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Desta forma é possível afirmar que o sexo feminino apresentou percentual de (40%) para os casos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de 40 anos inclusive e 62 anos exclusive e o sexo masculino apresentou percentual de (41%), como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93" w:after="37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comparando 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Sexo.</w:t>
      </w:r>
    </w:p>
    <w:tbl>
      <w:tblPr>
        <w:tblInd w:w="1140" w:type="dxa"/>
      </w:tblPr>
      <w:tblGrid>
        <w:gridCol w:w="2197"/>
        <w:gridCol w:w="2132"/>
        <w:gridCol w:w="2701"/>
        <w:gridCol w:w="2612"/>
      </w:tblGrid>
      <w:tr>
        <w:trPr>
          <w:trHeight w:val="237" w:hRule="auto"/>
          <w:jc w:val="left"/>
        </w:trPr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48" w:left="3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60" w:left="35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Geral,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=850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61" w:left="48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Feminino,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 =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576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82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Masculino,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N=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274</w:t>
            </w:r>
          </w:p>
        </w:tc>
      </w:tr>
      <w:tr>
        <w:trPr>
          <w:trHeight w:val="230" w:hRule="auto"/>
          <w:jc w:val="left"/>
        </w:trPr>
        <w:tc>
          <w:tcPr>
            <w:tcW w:w="964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</w:p>
        </w:tc>
      </w:tr>
      <w:tr>
        <w:trPr>
          <w:trHeight w:val="230" w:hRule="auto"/>
          <w:jc w:val="left"/>
        </w:trPr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8" w:left="38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&lt;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0" w:left="3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(25%)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1" w:left="48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147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(26%)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1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(23%)</w:t>
            </w:r>
          </w:p>
        </w:tc>
      </w:tr>
      <w:tr>
        <w:trPr>
          <w:trHeight w:val="230" w:hRule="auto"/>
          <w:jc w:val="left"/>
        </w:trPr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8" w:left="3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[40-62]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0" w:left="3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326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(38%)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1" w:left="48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(40%)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1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(36%)</w:t>
            </w:r>
          </w:p>
        </w:tc>
      </w:tr>
      <w:tr>
        <w:trPr>
          <w:trHeight w:val="230" w:hRule="auto"/>
          <w:jc w:val="left"/>
        </w:trPr>
        <w:tc>
          <w:tcPr>
            <w:tcW w:w="21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8" w:left="38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&gt;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0" w:left="3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(37%)</w:t>
            </w:r>
          </w:p>
        </w:tc>
        <w:tc>
          <w:tcPr>
            <w:tcW w:w="2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1" w:left="48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(35%)</w:t>
            </w:r>
          </w:p>
        </w:tc>
        <w:tc>
          <w:tcPr>
            <w:tcW w:w="2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2" w:left="4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(41%)</w:t>
            </w:r>
          </w:p>
        </w:tc>
      </w:tr>
    </w:tbl>
    <w:p>
      <w:pPr>
        <w:spacing w:before="0" w:after="0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LT,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relação à prevalência dos principais CID-10, 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4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elucida a análise descritiva em frequência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simples e percentual dos diagnósticos mais prevalentes. Percebe-se uma significativa diversidade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resultados,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obtiveram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consulta.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categorização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 por prevalência para análise das consultas atendidas totaliza mais de 140, dessa forma foi optado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elencar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agrupar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restante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categoria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spacing w:before="123" w:after="0" w:line="276"/>
        <w:ind w:right="125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eles,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patologia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Ceratose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Seborreica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(CID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L82)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correspondendo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(8,8%)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prontuários. Em segundo lugar a categorização em “Outras Afecções da Pele e do Tecido Subcutâneo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Parte”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(CID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L98),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54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(6,4%) 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categorização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37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4-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frequência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percentuais.</w:t>
      </w:r>
    </w:p>
    <w:tbl>
      <w:tblPr>
        <w:tblInd w:w="1140" w:type="dxa"/>
      </w:tblPr>
      <w:tblGrid>
        <w:gridCol w:w="8508"/>
        <w:gridCol w:w="1133"/>
      </w:tblGrid>
      <w:tr>
        <w:trPr>
          <w:trHeight w:val="390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3951" w:left="318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0" w:after="0" w:line="240"/>
              <w:ind w:right="83" w:left="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(%)</w:t>
            </w:r>
          </w:p>
        </w:tc>
      </w:tr>
      <w:tr>
        <w:trPr>
          <w:trHeight w:val="345" w:hRule="auto"/>
          <w:jc w:val="left"/>
        </w:trPr>
        <w:tc>
          <w:tcPr>
            <w:tcW w:w="9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CID-10</w:t>
            </w:r>
          </w:p>
        </w:tc>
      </w:tr>
      <w:tr>
        <w:trPr>
          <w:trHeight w:val="376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L82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Ceratose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Seborreica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8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(8.8%)</w:t>
            </w:r>
          </w:p>
        </w:tc>
      </w:tr>
      <w:tr>
        <w:trPr>
          <w:trHeight w:val="729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L98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</w:t>
            </w:r>
            <w:r>
              <w:rPr>
                <w:rFonts w:ascii="Arial MT" w:hAnsi="Arial MT" w:cs="Arial MT" w:eastAsia="Arial MT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Afecções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Pele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Tecido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Subcutâneo</w:t>
            </w:r>
            <w:r>
              <w:rPr>
                <w:rFonts w:ascii="Arial MT" w:hAnsi="Arial MT" w:cs="Arial MT" w:eastAsia="Arial MT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Arial MT" w:hAnsi="Arial MT" w:cs="Arial MT" w:eastAsia="Arial MT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Classificadas</w:t>
            </w:r>
            <w:r>
              <w:rPr>
                <w:rFonts w:ascii="Arial MT" w:hAnsi="Arial MT" w:cs="Arial MT" w:eastAsia="Arial MT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Outra</w:t>
            </w:r>
          </w:p>
          <w:p>
            <w:pPr>
              <w:spacing w:before="118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(6.4%)</w:t>
            </w:r>
          </w:p>
        </w:tc>
      </w:tr>
      <w:tr>
        <w:trPr>
          <w:trHeight w:val="369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L70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Acne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(5.9%)</w:t>
            </w:r>
          </w:p>
        </w:tc>
      </w:tr>
      <w:tr>
        <w:trPr>
          <w:trHeight w:val="386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L57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Alterações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pele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devidas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exposição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crônica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radiação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ionizante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(4.7%)</w:t>
            </w:r>
          </w:p>
        </w:tc>
      </w:tr>
      <w:tr>
        <w:trPr>
          <w:trHeight w:val="369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L23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Dermatite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alérgica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 contato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(3.8%)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B35.1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Tinha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unhas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(3.6%)</w:t>
            </w:r>
          </w:p>
        </w:tc>
      </w:tr>
      <w:tr>
        <w:trPr>
          <w:trHeight w:val="385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D22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Nevos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melanocíticos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(3.2%)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L21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Dermatite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seborreica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(3.1%)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L28.0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Líquen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simples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crônico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prurigo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(2.8%)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L40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Psoriase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(2.8%)</w:t>
            </w:r>
          </w:p>
        </w:tc>
      </w:tr>
      <w:tr>
        <w:trPr>
          <w:trHeight w:val="395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5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B07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 Verrugas de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origem</w:t>
            </w:r>
            <w:r>
              <w:rPr>
                <w:rFonts w:ascii="Arial MT" w:hAnsi="Arial MT" w:cs="Arial MT" w:eastAsia="Arial MT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viral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(2.6%)</w:t>
            </w:r>
          </w:p>
        </w:tc>
      </w:tr>
      <w:tr>
        <w:trPr>
          <w:trHeight w:val="372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L85.3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Xerose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cutânea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4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(2,4%)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D04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Carcinoma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situ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 pele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1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(2.1%)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L60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Afecções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unhas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(2.0%)</w:t>
            </w:r>
          </w:p>
        </w:tc>
      </w:tr>
      <w:tr>
        <w:trPr>
          <w:trHeight w:val="383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28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L20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Dermatite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atópica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82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(1.8%)</w:t>
            </w:r>
          </w:p>
        </w:tc>
      </w:tr>
      <w:tr>
        <w:trPr>
          <w:trHeight w:val="386" w:hRule="auto"/>
          <w:jc w:val="left"/>
        </w:trPr>
        <w:tc>
          <w:tcPr>
            <w:tcW w:w="8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28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Outros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83" w:left="8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375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(44%)</w:t>
            </w:r>
          </w:p>
        </w:tc>
      </w:tr>
    </w:tbl>
    <w:p>
      <w:pPr>
        <w:spacing w:before="0" w:after="0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LT,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78"/>
        <w:ind w:right="1253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ilustra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distribuídas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feminino e masculino em relação às faixas etárias. É possível observar uma prevalência de acometimento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feminino 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totalidade das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predominância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faixa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etária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40-62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78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93" w:after="37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sexo.</w:t>
      </w:r>
    </w:p>
    <w:tbl>
      <w:tblPr>
        <w:tblInd w:w="1140" w:type="dxa"/>
      </w:tblPr>
      <w:tblGrid>
        <w:gridCol w:w="2137"/>
        <w:gridCol w:w="2108"/>
        <w:gridCol w:w="2591"/>
        <w:gridCol w:w="2807"/>
      </w:tblGrid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70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Geral,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Feminino,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 =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576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8cce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Masculino,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274</w:t>
            </w:r>
          </w:p>
        </w:tc>
      </w:tr>
      <w:tr>
        <w:trPr>
          <w:trHeight w:val="265" w:hRule="auto"/>
          <w:jc w:val="left"/>
        </w:trPr>
        <w:tc>
          <w:tcPr>
            <w:tcW w:w="9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CID-10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L82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(8.8%)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(8.9%)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(8.8%)</w:t>
            </w:r>
          </w:p>
        </w:tc>
      </w:tr>
      <w:tr>
        <w:trPr>
          <w:trHeight w:val="265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L98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(6.4%)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(6.2%)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(6.6%)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L70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(5.9%)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(7.1%)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(3.3%)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L57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(4.7%)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(4.0%)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(6.2%)</w:t>
            </w:r>
          </w:p>
        </w:tc>
      </w:tr>
      <w:tr>
        <w:trPr>
          <w:trHeight w:val="265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L23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(4.0%)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(3.3%)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0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B35.1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(3.6%)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(3.6%)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(3.6%)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2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D22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(3.2%)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(3.8%)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(1.8%)</w:t>
            </w:r>
          </w:p>
        </w:tc>
      </w:tr>
      <w:tr>
        <w:trPr>
          <w:trHeight w:val="266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L21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(3.1%)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(3.1%)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(2.9%)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L28.0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(2.3%)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(4.0%)</w:t>
            </w:r>
          </w:p>
        </w:tc>
      </w:tr>
      <w:tr>
        <w:trPr>
          <w:trHeight w:val="264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L40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(2.3%)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(4.0%)</w:t>
            </w:r>
          </w:p>
        </w:tc>
      </w:tr>
      <w:tr>
        <w:trPr>
          <w:trHeight w:val="265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89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B07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(2.6%)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(1.9%)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(4.0%)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L85.3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(2,4%)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(1,9%)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9(3,3%)</w:t>
            </w:r>
          </w:p>
        </w:tc>
      </w:tr>
      <w:tr>
        <w:trPr>
          <w:trHeight w:val="265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2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D04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(2.1%)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(1.6%)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(3.3%)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L60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(2.0%)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(2.3%)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(1.5%)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3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L20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7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(1.8%)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2" w:left="39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(2.3%)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(0.7%)</w:t>
            </w:r>
          </w:p>
        </w:tc>
      </w:tr>
      <w:tr>
        <w:trPr>
          <w:trHeight w:val="266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9" w:left="37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Outros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8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375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(44%)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3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258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(45%)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(43%)</w:t>
            </w:r>
          </w:p>
        </w:tc>
      </w:tr>
      <w:tr>
        <w:trPr>
          <w:trHeight w:val="263" w:hRule="auto"/>
          <w:jc w:val="left"/>
        </w:trPr>
        <w:tc>
          <w:tcPr>
            <w:tcW w:w="96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89" w:left="3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&lt;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8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210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(25%)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3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147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(26%)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(23%)</w:t>
            </w:r>
          </w:p>
        </w:tc>
      </w:tr>
      <w:tr>
        <w:trPr>
          <w:trHeight w:val="266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89" w:left="3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[40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62)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68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326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(38%)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43" w:left="3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228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(40%)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509" w:left="4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98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(36%)</w:t>
            </w:r>
          </w:p>
        </w:tc>
      </w:tr>
      <w:tr>
        <w:trPr>
          <w:trHeight w:val="263" w:hRule="auto"/>
          <w:jc w:val="left"/>
        </w:trPr>
        <w:tc>
          <w:tcPr>
            <w:tcW w:w="2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2" w:left="3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&gt;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68" w:left="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314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(37%)</w:t>
            </w:r>
          </w:p>
        </w:tc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43" w:left="39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201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(35%)</w:t>
            </w:r>
          </w:p>
        </w:tc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09" w:left="4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113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(41%)</w:t>
            </w:r>
          </w:p>
        </w:tc>
      </w:tr>
    </w:tbl>
    <w:p>
      <w:pPr>
        <w:spacing w:before="0" w:after="0" w:line="240"/>
        <w:ind w:right="0" w:left="1133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Azevedo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LT,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DISCUSSÃO</w:t>
      </w:r>
    </w:p>
    <w:p>
      <w:pPr>
        <w:spacing w:before="156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apresentou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predomínio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gênero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feminino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(67,8%),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em sua maioria apresentavam idade entre 40-62 anos (40%). Esse fato leva em conta algumas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especificidades que foram já descritas em outros trabalhos quanto ao maior cuidado com o corpo, além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consequências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dermatologista pode acarretar (AGOSTINHO KM, et al., 2013). Em outros estudos conduzidos no território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nacional, pôde-se notar também uma predominância de mulheres sendo atendidas nos ambulatórios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(AGOSTINHO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KM, 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2013; BRANDÃO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MPAS,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ALVES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GB, 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2007).</w:t>
      </w:r>
    </w:p>
    <w:p>
      <w:pPr>
        <w:spacing w:before="119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predomínio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aposentados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(14,1%),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lar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(9,9%)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estudantes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(1,8%)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corrobora o padrão de um estudo prévio realizado por Brandão MPAS, et al. (2020). Nele, se consegue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justificar essa epidemiologia ao sugerir que esses indivíduos apresentam maior disponibilidade de 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saúde e maior disponibilidade de tempo para ir a consultas e fazer um seguimento longitudinal. Entre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justificativas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determinar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desses diagnósticos como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frequentes 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ambulatório.</w:t>
      </w:r>
    </w:p>
    <w:p>
      <w:pPr>
        <w:spacing w:before="123" w:after="0" w:line="276"/>
        <w:ind w:right="1240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que diz respeito a ceratose seborreica (CID -10 L82), sabe-se que é uma condição benigna, e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 comumente na meia idade, o que vai ao encontro do fato de que a idade média encontrada 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aqueles que participaram do estudo foi de 52.96 anos. Sendo assim, sua prevalência de 8,8% também 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bastante similar a de outros estudos, como o de Pereira AL, et al. (2018), no qual foi estabelecida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 de 8,5% desse distúrbio de pigmentação numa população de idosos de uma região da savana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tropical. Em relação a acne, terceiro CID mais prevalente no estudo, pode-se chamar a atenção para o fato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sua prevalência ser extremamente expressiva, variando de 79 a 95% nos adolescentes do Ocidente.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 a porcentagem de indivíduos com idade menor que 40 anos sendo a menor demonstrada 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epidemiologia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estudo,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válido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afecção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relacionada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autoestima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relações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psicossociais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queixa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muito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frequente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respeito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clínica dermatológica.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incômodo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sinais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flogísticos,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estética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agrega</w:t>
      </w:r>
      <w:r>
        <w:rPr>
          <w:rFonts w:ascii="Arial MT" w:hAnsi="Arial MT" w:cs="Arial MT" w:eastAsia="Arial MT"/>
          <w:color w:val="auto"/>
          <w:spacing w:val="-5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queixa um peso na urgência da resolução desse quadro e por isso muitas pessoas não se delongam 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auxílio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(COSTA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2008).</w:t>
      </w:r>
    </w:p>
    <w:p>
      <w:pPr>
        <w:spacing w:before="118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teve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notoriedade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L57,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exposição crônica à radiação não ionizante. Dentre elas, a ceratose actínica é a mais comumente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diagnosticada, sendo caracterizada por lesões máculo-papulosas com surgimento em áreas fotoexpostas.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contexto de um país tropical como o Brasil, sabe-se que as dermatoses relacionadas à exposição solar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têm grande peso no que diz respeito à prevalência entre a população, apresentando variação de 11 a 60%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 indivíduos brancos com mais de 40 anos. Por se tratar de lesões com características de malignidade 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tem chance de evoluir para carcinomas espinocelulares, é de grande importância manter um maior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controle sobre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delas (REINEHR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CPH; BAKOS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RM,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spacing w:before="121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conduzido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diagnósticos em idosos maiores de 60 anos foram câncer de pele não melanoma (19,3%), patologia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englobada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tumores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epiteliais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malignos,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ceratose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actínica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(12,9%);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tumores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epiteliais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benignos;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fotoenvelhecimento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(8,7%)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finalmente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ceratose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seborreica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(6,2%).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percebeu-se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semelhança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porcentagem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atual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(MIOT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HA,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2018).</w:t>
      </w:r>
    </w:p>
    <w:p>
      <w:pPr>
        <w:spacing w:before="121" w:after="0" w:line="276"/>
        <w:ind w:right="124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 comparado ao estudo realizado na cidade de Tubarão, em Santa Catarina, no ano de 2007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semelhança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promovido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 de dermatologia da UNISUL, dentre os 1.200 diagnósticos realizados no período de fevereiro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2003 a agosto de 2005 a dermatose mais frequente foi psoríase (11,72%), enquanto a ceratose actínica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ocupou 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quarto lugar (7,78%)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acne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(6,88%) (ALVES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GB,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2007).</w:t>
      </w:r>
    </w:p>
    <w:p>
      <w:pPr>
        <w:spacing w:before="120" w:after="0" w:line="276"/>
        <w:ind w:right="1244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 disso, em 2018 também foi realizado um estudo com 349 pacientes, predominantemente do sexo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feminino (54,2%), brancos (94,5%), com ensino fundamental incompleto (58,8%), sendo 58,4% do total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apresentando fototipo II. Dentre as 10 dermatoses mais prevalentes, estão a ceratose actínica, xerose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cutânea, ceratose seborreica, rugas e poiquilodermia. Foi concluído nos resultados do estudo a existência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uma associação significativa da hipertensão arterial sistêmica com a ceratose actínica (p=0,005), 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xerose cutânea (p=0,022), com ceratose seborreica (p=0,021), com rugas (p=0,001), com poiquilodermia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(p=0,021),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romboidal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(p=0,045)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hipomelanose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gutata</w:t>
      </w:r>
      <w:r>
        <w:rPr>
          <w:rFonts w:ascii="Arial MT" w:hAnsi="Arial MT" w:cs="Arial MT" w:eastAsia="Arial MT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(p=0,013)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(NEUMAIER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W,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121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 mesmo estudo de 2018 houve uma porcentagem importante de pacientes com xerose cutânea,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39,8% dos casos.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 alta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 encontrada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 polonês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correspondia a 58,6%. Já a ceratose seborreica estava presente em 37,8% dos pacientes atendidos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(NEUMAIER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W,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2018).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tentar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prevalentes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suas respectivas faixas etárias, houve uma limitação em termos de dados bibliográficos candidatos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comparação com o estudo em questão. Há uma carência na literatura de dados atuais e que reflitam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realidade da população brasileira. Sendo assim, mediante aos resultados apresentados só foi possível inferir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quanto ao predomínio das dermatoses por gênero: na população feminina assim como na masculina houve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predomínio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L82.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Ademais,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CID-10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70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esteve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7,1%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mulheres,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enquanto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homens,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 em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3,3%.</w:t>
      </w:r>
    </w:p>
    <w:p>
      <w:pPr>
        <w:spacing w:before="121" w:after="0" w:line="276"/>
        <w:ind w:right="124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comparativa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características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ensino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capital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semelhanças e diferenças nos anos de 2014, 2018, 2019 e 2020. Em primeira instância o sexo feminino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predomina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buscaram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dermatológico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analisados, e no presente trabalho - fato que corrobora com o estudo de Levorato C, et al. (2014), o qual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afirma também como os homens têm um comportamento de risco à saúde, relacionado a questões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construção de identidade e influências socioculturais. No que diz respeito a média de idade dos 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frequentam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(2014,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2020)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ROCHA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2021; BRANDÃO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MPAS,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2020; PATRUS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 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FERREIRA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FC,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2022).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93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estudo de 2014 as principais afecções foram o eczema, acne e ceratose seborreica. Em 2018,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ceratose seborreica, distúrbios de pigmentação e alterações da pele devido à exposição crônica à radiação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 ionizante foram as patologias mais diagnosticadas nesse serviço. Em 2019 foram as discromias,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tumores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epiteliais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benignos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micoses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superficiais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observou-se que tumores epiteliais benignos, discromias e erupções eczematosas foram os principais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diagnósticos (DA ROCHA M, et al., 2021; BRANDÃO MPAS, et al., 2020; PATRUS A, et al., 2021;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FERREIRA FC, et al., 2022). Finalmente no estudo atual reitera-se a prevalência da ceratose seborreica,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acne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outras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afecções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pele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tecido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subcutâneo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classificadas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parte.</w:t>
      </w:r>
    </w:p>
    <w:p>
      <w:pPr>
        <w:spacing w:before="118" w:after="0" w:line="276"/>
        <w:ind w:right="124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 fim, é importante ressaltar a importância da utilização do CID-10. É realizado por meio de 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produzida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identificar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tendências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estatísticas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globais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execução adequada visa harmonizar as informações de saúde em escala global, apresentando estatísticas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mortalidade e morbidade e permitindo uma atuação mais objetiva na prevenção de várias patologias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(NUBILA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2008).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-10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revelada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alguns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preenchidos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preenchidos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inadequada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atribuída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ambulatorial.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precisão,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ocasionalmente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permitindo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inclusão de detalhes suficientes para algumas hipóteses diagnósticas, resultando na exclusão de certas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(NUBILA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2008).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CONCLUSÃO</w:t>
      </w:r>
    </w:p>
    <w:p>
      <w:pPr>
        <w:spacing w:before="158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levantamento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literatura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pesquisada,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conclui-se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algumas dermatoses como ceratose seborreica (CID 10: L82) e acne (CID 10: L70), mantém um padrão 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alta prevalência entre os pacientes do ambulatório de estudo. Isso se deve ao fato da maioria das lesões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serem de fácil diagnóstico clínico e não exigem propedêutica adicional. Conclui-se ainda que trabalhos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levantamento epidemiológicos como este, servem como embasamento e molde para criação de políticas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públicas e capacitação de profissionais da saúde para prevenção e tratamento das principais dermatoses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estudada.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reduzindo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encaminhamentos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especialistas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gastos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tornando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 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Primária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completa.</w:t>
      </w: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6"/>
          <w:shd w:fill="auto" w:val="clear"/>
        </w:rPr>
      </w:pPr>
    </w:p>
    <w:p>
      <w:pPr>
        <w:spacing w:before="93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REFERÊNCIAS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37" w:after="0" w:line="276"/>
        <w:ind w:right="1246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AGOSTINHO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KM,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dermatológicas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frequentes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básica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Cogitare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Enferm,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2013;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18(4):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715-21.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1" w:after="0" w:line="276"/>
        <w:ind w:right="1259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ALVES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G,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UNISUL.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Arquivos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Catarinenses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Medicina,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2007;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36(7):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01-04.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0" w:after="0" w:line="276"/>
        <w:ind w:right="1256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AVANCINI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ZUCCH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Prevalence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 patients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referred for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evaluation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 an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outpatient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clinic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 specialties.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Brasileiros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93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(4):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513-516.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0" w:after="0" w:line="240"/>
        <w:ind w:right="0" w:left="1558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AZULAY,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RD.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7ª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Rio 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Guanabara Koogan,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1184 p.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36" w:after="0" w:line="276"/>
        <w:ind w:right="125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BERNARDES C et al. Diagnóstico e Condutas Dermatológicas em uma Unidade Básica de Saúde: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Dermatological Diagnoses and Procedures in a PrimaryCare Unit. Revista Brasileira de Educação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39(1):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88-94.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0" w:after="0" w:line="276"/>
        <w:ind w:right="1251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BRANDÃO M, et al. Prevalência de dermatoses atendidas em um ambulatório universitário. 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Interdisciplinar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2020;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4(1):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31-36.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0" w:after="0" w:line="276"/>
        <w:ind w:right="126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CALVETTI PU. Aspectos biopsicossociais e qualidade de vida de pessoas com dermatoses crônicas.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Psicologia, Saúde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18(2):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297- 307.</w:t>
      </w:r>
    </w:p>
    <w:p>
      <w:pPr>
        <w:numPr>
          <w:ilvl w:val="0"/>
          <w:numId w:val="370"/>
        </w:numPr>
        <w:tabs>
          <w:tab w:val="left" w:pos="1559" w:leader="none"/>
        </w:tabs>
        <w:spacing w:before="0" w:after="0" w:line="276"/>
        <w:ind w:right="1264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CARVALHO M, et al. Estudo nosológico das dermatoses diagnosticadas no hospital da Universidade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Juiz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Fora. Hu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34(4):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267-272.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380"/>
        </w:numPr>
        <w:tabs>
          <w:tab w:val="left" w:pos="1559" w:leader="none"/>
        </w:tabs>
        <w:spacing w:before="93" w:after="0" w:line="276"/>
        <w:ind w:right="1240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CHOI S, et al. Mask-induced dermatoses during the COVID-19 pandemic: a questionnaire-based study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Korean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hospitals. Clinical and Experimental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Dermatology,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 46(8):1504-1510.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5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COSTA A, et al. Fatores etiopatogênicos da acne vulgar. Anais Brasileiros de Dermatologia, 2008; 83(5):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451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459.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48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ROCHA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ensino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interdisciplinar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Ciências Médicas,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5(2):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14 - 20.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5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FERREIRA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ambulatório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universitário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longo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anos: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retrospectivo.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Acervo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(9):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11020.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5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FERREIRA I, et al. History of dermatology: the study of skin diseases over the centuries.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96: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332-345.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57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FISCHER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NFC.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graduação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medicina: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reflexão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ensino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curriculum.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Carlos,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2023;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1-23.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8"/>
        <w:ind w:right="114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GOMES T, et al. Dermatologia na Atenção Primária: um Desafio para a Formação e Prática Médica.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 Brasileira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2012;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36(1):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125-128.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142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LOPES L, et al. Avaliação da frequência de dermatoses no serviço ambulatorial de dermatologia. Anais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85(2):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264-267.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46" w:left="1558" w:hanging="35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MIOT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Profile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dermatological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consultations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Brazil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(2018).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Anais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dermatologia,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93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916-928.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62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NEUMAIER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W.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Prevalencia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las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dermatosis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comorbilidades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ancianos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atendidos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ambulatorio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dermatología.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Argentina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Dermatología,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99 (2):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48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NUBILA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Classificações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OMS</w:t>
      </w:r>
      <w:r>
        <w:rPr>
          <w:rFonts w:ascii="Arial MT" w:hAnsi="Arial MT" w:cs="Arial MT" w:eastAsia="Arial MT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CIF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definições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incapacidade. 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Epidemiologia,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2008;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11(2):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324-335.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8"/>
        <w:ind w:right="1250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PATRUS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dermatoses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ambulatório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2019: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transversal.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Acervo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Científico,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33(1):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1-10.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53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REINEHR</w:t>
      </w:r>
      <w:r>
        <w:rPr>
          <w:rFonts w:ascii="Arial MT" w:hAnsi="Arial MT" w:cs="Arial MT" w:eastAsia="Arial MT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CPH</w:t>
      </w:r>
      <w:r>
        <w:rPr>
          <w:rFonts w:ascii="Arial MT" w:hAnsi="Arial MT" w:cs="Arial MT" w:eastAsia="Arial MT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BAKOS</w:t>
      </w:r>
      <w:r>
        <w:rPr>
          <w:rFonts w:ascii="Arial MT" w:hAnsi="Arial MT" w:cs="Arial MT" w:eastAsia="Arial MT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RM.</w:t>
      </w:r>
      <w:r>
        <w:rPr>
          <w:rFonts w:ascii="Arial MT" w:hAnsi="Arial MT" w:cs="Arial MT" w:eastAsia="Arial MT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Actinic</w:t>
      </w:r>
      <w:r>
        <w:rPr>
          <w:rFonts w:ascii="Arial MT" w:hAnsi="Arial MT" w:cs="Arial MT" w:eastAsia="Arial MT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keratoses: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review</w:t>
      </w:r>
      <w:r>
        <w:rPr>
          <w:rFonts w:ascii="Arial MT" w:hAnsi="Arial MT" w:cs="Arial MT" w:eastAsia="Arial MT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clinical,</w:t>
      </w:r>
      <w:r>
        <w:rPr>
          <w:rFonts w:ascii="Arial MT" w:hAnsi="Arial MT" w:cs="Arial MT" w:eastAsia="Arial MT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dermoscopic,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therapeutic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aspects.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Anais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Brasileiros 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Dermatologia,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94(6):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637-657.</w:t>
      </w:r>
    </w:p>
    <w:p>
      <w:pPr>
        <w:numPr>
          <w:ilvl w:val="0"/>
          <w:numId w:val="380"/>
        </w:numPr>
        <w:tabs>
          <w:tab w:val="left" w:pos="1559" w:leader="none"/>
        </w:tabs>
        <w:spacing w:before="0" w:after="0" w:line="276"/>
        <w:ind w:right="1264" w:left="1558" w:hanging="358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RIVITTI,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EA.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Manual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Dermatologia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Sampaio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Rivitti.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7ª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Artes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Médicas,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748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70">
    <w:abstractNumId w:val="6"/>
  </w:num>
  <w:num w:numId="38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