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5EA4" w14:textId="699A9FB5" w:rsidR="00534CB2" w:rsidRPr="005E2B5F" w:rsidRDefault="00027D27" w:rsidP="00534CB2">
      <w:pPr>
        <w:spacing w:after="160" w:line="240" w:lineRule="auto"/>
      </w:pPr>
      <w:r w:rsidRPr="00027D27">
        <w:rPr>
          <w:rFonts w:cs="Arial"/>
          <w:b/>
          <w:bCs/>
          <w:color w:val="000000"/>
        </w:rPr>
        <w:t xml:space="preserve">O </w:t>
      </w:r>
      <w:r>
        <w:rPr>
          <w:rFonts w:cs="Arial"/>
          <w:b/>
          <w:bCs/>
          <w:color w:val="000000"/>
        </w:rPr>
        <w:t>USO DA ACUPUNTURA MÉDICA COMO TRATAMENTO AUXILIAR NA DOENÇA DE PARKINSON: UMA REVISÃO INTEGRATIVA</w:t>
      </w:r>
      <w:r w:rsidR="00534CB2" w:rsidRPr="00534CB2">
        <w:rPr>
          <w:rFonts w:eastAsia="Calibri" w:cs="Arial"/>
          <w:b/>
        </w:rPr>
        <w:t>.</w:t>
      </w:r>
    </w:p>
    <w:p w14:paraId="0AD3EF8B" w14:textId="6A45A7E0" w:rsidR="00534CB2" w:rsidRPr="00027D27" w:rsidRDefault="00027D27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KA</w:t>
      </w:r>
      <w:r w:rsidR="00534CB2" w:rsidRPr="419BEB8E">
        <w:rPr>
          <w:rFonts w:eastAsia="Calibri" w:cs="Arial"/>
          <w:b/>
          <w:bCs/>
          <w:u w:val="single"/>
        </w:rPr>
        <w:t>L</w:t>
      </w:r>
      <w:r>
        <w:rPr>
          <w:rFonts w:eastAsia="Calibri" w:cs="Arial"/>
          <w:b/>
          <w:bCs/>
          <w:u w:val="single"/>
        </w:rPr>
        <w:t>LINE TORRES DE CASTRO SANTOS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LUAN SANTOS CORREIA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HENRIQUE SANDER MARIANO BRAGA RODRIGUES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>;</w:t>
      </w:r>
      <w:r>
        <w:rPr>
          <w:rFonts w:eastAsia="Calibri" w:cs="Arial"/>
        </w:rPr>
        <w:t xml:space="preserve"> LETÍCIA LEÃO GAZZANEO MEDEIROS</w:t>
      </w:r>
      <w:r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534CB2" w:rsidRPr="419BEB8E">
        <w:rPr>
          <w:rFonts w:eastAsia="Calibri" w:cs="Arial"/>
        </w:rPr>
        <w:t xml:space="preserve"> </w:t>
      </w:r>
      <w:r>
        <w:rPr>
          <w:rFonts w:eastAsia="Calibri" w:cs="Arial"/>
        </w:rPr>
        <w:t>PABLO COUTINHO MALHEIROS</w:t>
      </w:r>
      <w:r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</w:p>
    <w:p w14:paraId="48F08DA2" w14:textId="1704C01F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027D27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</w:p>
    <w:p w14:paraId="597BFFDF" w14:textId="5BB9D377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93191A">
        <w:rPr>
          <w:rFonts w:eastAsia="Calibri" w:cs="Arial"/>
          <w:sz w:val="20"/>
          <w:szCs w:val="20"/>
        </w:rPr>
        <w:t>k</w:t>
      </w:r>
      <w:r w:rsidR="00027D27">
        <w:rPr>
          <w:rFonts w:eastAsia="Calibri" w:cs="Arial"/>
          <w:sz w:val="20"/>
          <w:szCs w:val="20"/>
        </w:rPr>
        <w:t>allinetcastro@gmail.com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="00BA7FFB">
        <w:rPr>
          <w:rFonts w:eastAsia="Calibri" w:cs="Arial"/>
          <w:sz w:val="20"/>
          <w:szCs w:val="20"/>
        </w:rPr>
        <w:t>malheiros.acp@gmail.com</w:t>
      </w:r>
      <w:r w:rsidRPr="50192890">
        <w:rPr>
          <w:rFonts w:eastAsia="Calibri" w:cs="Arial"/>
          <w:sz w:val="20"/>
          <w:szCs w:val="20"/>
        </w:rPr>
        <w:t>: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3672CE67" w14:textId="00EC14BD" w:rsidR="00C11985" w:rsidRPr="00C11985" w:rsidRDefault="00BA7FFB" w:rsidP="00C11985">
      <w:pPr>
        <w:spacing w:line="240" w:lineRule="auto"/>
        <w:rPr>
          <w:rFonts w:cs="Arial"/>
          <w:color w:val="000000"/>
        </w:rPr>
      </w:pPr>
      <w:r w:rsidRPr="00BA7FFB">
        <w:rPr>
          <w:rFonts w:cs="Arial"/>
          <w:b/>
          <w:bCs/>
          <w:color w:val="000000"/>
          <w:szCs w:val="22"/>
          <w:u w:val="single"/>
        </w:rPr>
        <w:t>Introdução:</w:t>
      </w:r>
      <w:r w:rsidRPr="00BA7FFB">
        <w:rPr>
          <w:rFonts w:cs="Arial"/>
          <w:color w:val="000000"/>
          <w:szCs w:val="22"/>
        </w:rPr>
        <w:t xml:space="preserve"> A doença de Parkinson é uma condição neurodegenerativa e progressiva caracterizada por sintomas motores - bradicinesia, rigidez, tremor em repouso, instabilidade postural - e não motores - dor, fadiga, insônia, ansiedade e depressão - devido a uma perda de neurônios dopaminérgicos na substância negra. Apesar desses sintomas serem sensíveis à terapia dopaminérgica, os efeitos do tratamento tendem a diminuir com a progressão da doença, impactando na qualidade de vida, levando os pacientes a procurarem outros tipos de terapias complementares, como a acupuntura</w:t>
      </w:r>
      <w:r w:rsidR="00622252" w:rsidRPr="00622252">
        <w:rPr>
          <w:rFonts w:cs="Arial"/>
          <w:color w:val="000000"/>
          <w:szCs w:val="22"/>
        </w:rPr>
        <w:t>,</w:t>
      </w:r>
      <w:r w:rsidR="00622252">
        <w:rPr>
          <w:rFonts w:cs="Arial"/>
          <w:color w:val="000000"/>
          <w:szCs w:val="22"/>
        </w:rPr>
        <w:t xml:space="preserve"> que em</w:t>
      </w:r>
      <w:r w:rsidR="00622252" w:rsidRPr="00622252">
        <w:rPr>
          <w:rFonts w:cs="Arial"/>
          <w:color w:val="000000"/>
          <w:szCs w:val="22"/>
        </w:rPr>
        <w:t xml:space="preserve"> seu mecanismo de aç</w:t>
      </w:r>
      <w:r w:rsidR="00622252">
        <w:rPr>
          <w:rFonts w:cs="Arial"/>
          <w:color w:val="000000"/>
          <w:szCs w:val="22"/>
        </w:rPr>
        <w:t>ã</w:t>
      </w:r>
      <w:r w:rsidR="00622252" w:rsidRPr="00622252">
        <w:rPr>
          <w:rFonts w:cs="Arial"/>
          <w:color w:val="000000"/>
          <w:szCs w:val="22"/>
        </w:rPr>
        <w:t>o também  engloba o estímulo de diversas estruturas do S</w:t>
      </w:r>
      <w:r w:rsidR="00622252">
        <w:rPr>
          <w:rFonts w:cs="Arial"/>
          <w:color w:val="000000"/>
          <w:szCs w:val="22"/>
        </w:rPr>
        <w:t xml:space="preserve">NC como o trato </w:t>
      </w:r>
      <w:proofErr w:type="spellStart"/>
      <w:r w:rsidR="00622252">
        <w:rPr>
          <w:rFonts w:cs="Arial"/>
          <w:color w:val="000000"/>
          <w:szCs w:val="22"/>
        </w:rPr>
        <w:t>espinotalâmico</w:t>
      </w:r>
      <w:proofErr w:type="spellEnd"/>
      <w:r w:rsidR="00622252">
        <w:rPr>
          <w:rFonts w:cs="Arial"/>
          <w:color w:val="000000"/>
          <w:szCs w:val="22"/>
        </w:rPr>
        <w:t xml:space="preserve"> e os </w:t>
      </w:r>
      <w:bookmarkStart w:id="0" w:name="_GoBack"/>
      <w:bookmarkEnd w:id="0"/>
      <w:r w:rsidR="00622252">
        <w:rPr>
          <w:rFonts w:cs="Arial"/>
          <w:color w:val="000000"/>
          <w:szCs w:val="22"/>
        </w:rPr>
        <w:t>núcleos liberadores de neurotransmissores, além</w:t>
      </w:r>
      <w:r w:rsidR="00622252" w:rsidRPr="00622252">
        <w:rPr>
          <w:rFonts w:cs="Arial"/>
          <w:color w:val="000000"/>
          <w:szCs w:val="22"/>
        </w:rPr>
        <w:t xml:space="preserve"> </w:t>
      </w:r>
      <w:r w:rsidR="00622252">
        <w:rPr>
          <w:rFonts w:cs="Arial"/>
          <w:color w:val="000000"/>
          <w:szCs w:val="22"/>
        </w:rPr>
        <w:t>d</w:t>
      </w:r>
      <w:r w:rsidR="00622252" w:rsidRPr="00622252">
        <w:rPr>
          <w:rFonts w:cs="Arial"/>
          <w:color w:val="000000"/>
          <w:szCs w:val="22"/>
        </w:rPr>
        <w:t xml:space="preserve">a liberação de </w:t>
      </w:r>
      <w:proofErr w:type="spellStart"/>
      <w:r w:rsidR="00622252" w:rsidRPr="00622252">
        <w:rPr>
          <w:rFonts w:cs="Arial"/>
          <w:color w:val="000000"/>
          <w:szCs w:val="22"/>
        </w:rPr>
        <w:t>opióides</w:t>
      </w:r>
      <w:proofErr w:type="spellEnd"/>
      <w:r w:rsidR="00622252" w:rsidRPr="00622252">
        <w:rPr>
          <w:rFonts w:cs="Arial"/>
          <w:color w:val="000000"/>
          <w:szCs w:val="22"/>
        </w:rPr>
        <w:t xml:space="preserve"> endógenos</w:t>
      </w:r>
      <w:r w:rsidR="00F836E8">
        <w:rPr>
          <w:rFonts w:cs="Arial"/>
          <w:color w:val="000000"/>
          <w:szCs w:val="22"/>
        </w:rPr>
        <w:t>.</w:t>
      </w:r>
      <w:r w:rsidR="003426A7">
        <w:rPr>
          <w:rFonts w:cs="Arial"/>
          <w:color w:val="000000"/>
          <w:szCs w:val="22"/>
        </w:rPr>
        <w:t xml:space="preserve"> </w:t>
      </w:r>
      <w:r w:rsidRPr="004476B2">
        <w:rPr>
          <w:rFonts w:cs="Arial"/>
          <w:b/>
          <w:bCs/>
          <w:color w:val="000000"/>
          <w:szCs w:val="22"/>
          <w:u w:val="single"/>
        </w:rPr>
        <w:t>Objetivos</w:t>
      </w:r>
      <w:r w:rsidRPr="00BA7FFB">
        <w:rPr>
          <w:rFonts w:cs="Arial"/>
          <w:b/>
          <w:bCs/>
          <w:color w:val="000000"/>
          <w:szCs w:val="22"/>
          <w:u w:val="single"/>
        </w:rPr>
        <w:t>:</w:t>
      </w:r>
      <w:r w:rsidRPr="00BA7FFB">
        <w:rPr>
          <w:rFonts w:cs="Arial"/>
          <w:b/>
          <w:bCs/>
          <w:color w:val="000000"/>
          <w:szCs w:val="22"/>
        </w:rPr>
        <w:t xml:space="preserve"> </w:t>
      </w:r>
      <w:r w:rsidRPr="00BA7FFB">
        <w:rPr>
          <w:rFonts w:cs="Arial"/>
          <w:color w:val="000000"/>
          <w:szCs w:val="22"/>
        </w:rPr>
        <w:t xml:space="preserve">Avaliar os efeitos benéficos do uso da acupuntura no tratamento da doença de Parkinson. </w:t>
      </w:r>
      <w:r w:rsidRPr="00BA7FFB">
        <w:rPr>
          <w:rFonts w:cs="Arial"/>
          <w:b/>
          <w:bCs/>
          <w:color w:val="000000"/>
          <w:szCs w:val="22"/>
          <w:u w:val="single"/>
        </w:rPr>
        <w:t>Métodos:</w:t>
      </w:r>
      <w:r w:rsidRPr="00BA7FFB">
        <w:rPr>
          <w:rFonts w:cs="Arial"/>
          <w:color w:val="000000"/>
          <w:szCs w:val="22"/>
        </w:rPr>
        <w:t xml:space="preserve"> O presente estudo trata-se de uma revisão integrativa, realizada entre 28 de setembro de 2022 a 10 de outubro de 2022, por meio de pesquisas nas bases de dados MedLine e Scielo nos últimos 10 anos. Foram usados os descritores: “</w:t>
      </w:r>
      <w:proofErr w:type="spellStart"/>
      <w:r w:rsidRPr="00BA7FFB">
        <w:rPr>
          <w:rFonts w:cs="Arial"/>
          <w:color w:val="000000"/>
          <w:szCs w:val="22"/>
        </w:rPr>
        <w:t>Acupuncture</w:t>
      </w:r>
      <w:proofErr w:type="spellEnd"/>
      <w:r w:rsidRPr="00BA7FFB">
        <w:rPr>
          <w:rFonts w:cs="Arial"/>
          <w:color w:val="000000"/>
          <w:szCs w:val="22"/>
        </w:rPr>
        <w:t>”, “</w:t>
      </w:r>
      <w:proofErr w:type="spellStart"/>
      <w:r w:rsidRPr="00BA7FFB">
        <w:rPr>
          <w:rFonts w:cs="Arial"/>
          <w:color w:val="000000"/>
          <w:szCs w:val="22"/>
        </w:rPr>
        <w:t>Neurodegenerative</w:t>
      </w:r>
      <w:proofErr w:type="spellEnd"/>
      <w:r w:rsidRPr="00BA7FFB">
        <w:rPr>
          <w:rFonts w:cs="Arial"/>
          <w:color w:val="000000"/>
          <w:szCs w:val="22"/>
        </w:rPr>
        <w:t xml:space="preserve"> disease” e “Parkinson”. A partir da busca foram achados 215 artigos no total, que foram submetidos aos critérios de seleção e excluídos todos artigos que não apresentavam “</w:t>
      </w:r>
      <w:proofErr w:type="spellStart"/>
      <w:r w:rsidRPr="00BA7FFB">
        <w:rPr>
          <w:rFonts w:cs="Arial"/>
          <w:color w:val="000000"/>
          <w:szCs w:val="22"/>
        </w:rPr>
        <w:t>Acupuncture</w:t>
      </w:r>
      <w:proofErr w:type="spellEnd"/>
      <w:r w:rsidRPr="00BA7FFB">
        <w:rPr>
          <w:rFonts w:cs="Arial"/>
          <w:color w:val="000000"/>
          <w:szCs w:val="22"/>
        </w:rPr>
        <w:t xml:space="preserve">” </w:t>
      </w:r>
      <w:r w:rsidR="00032669">
        <w:rPr>
          <w:rFonts w:cs="Arial"/>
          <w:color w:val="000000"/>
          <w:szCs w:val="22"/>
        </w:rPr>
        <w:t>no</w:t>
      </w:r>
      <w:r w:rsidRPr="00BA7FFB">
        <w:rPr>
          <w:rFonts w:cs="Arial"/>
          <w:color w:val="000000"/>
          <w:szCs w:val="22"/>
        </w:rPr>
        <w:t xml:space="preserve"> título ou que não abordavam a doença de Parkinson. </w:t>
      </w:r>
      <w:r w:rsidRPr="00BA7FFB">
        <w:rPr>
          <w:rFonts w:cs="Arial"/>
          <w:b/>
          <w:bCs/>
          <w:color w:val="000000"/>
          <w:szCs w:val="22"/>
          <w:u w:val="single"/>
        </w:rPr>
        <w:t>Resultados:</w:t>
      </w:r>
      <w:r w:rsidRPr="00BA7FFB">
        <w:rPr>
          <w:rFonts w:cs="Arial"/>
          <w:b/>
          <w:bCs/>
          <w:color w:val="000000"/>
          <w:szCs w:val="22"/>
        </w:rPr>
        <w:t xml:space="preserve"> </w:t>
      </w:r>
      <w:r w:rsidRPr="00BA7FFB">
        <w:rPr>
          <w:rFonts w:cs="Arial"/>
          <w:color w:val="000000"/>
          <w:szCs w:val="22"/>
        </w:rPr>
        <w:t xml:space="preserve">Diante dos critérios, 23 artigos foram analisados. Partindo da hipótese nula de que a acupuntura não influencia no tratamento da doença de Parkinson, apenas 1 artigo conclui essa hipótese. Observou-se que 22 (95,65%) artigos confirmavam a efetividade da acupuntura </w:t>
      </w:r>
      <w:r>
        <w:rPr>
          <w:rFonts w:cs="Arial"/>
          <w:color w:val="000000"/>
          <w:szCs w:val="22"/>
        </w:rPr>
        <w:t>no retardo da síndrome, assim, p</w:t>
      </w:r>
      <w:r w:rsidRPr="00BA7FFB">
        <w:rPr>
          <w:rFonts w:cs="Arial"/>
          <w:color w:val="000000"/>
          <w:szCs w:val="22"/>
        </w:rPr>
        <w:t xml:space="preserve"> = 0,043. Utilizando um valor</w:t>
      </w:r>
      <w:r>
        <w:rPr>
          <w:rFonts w:cs="Arial"/>
          <w:color w:val="000000"/>
          <w:szCs w:val="22"/>
        </w:rPr>
        <w:t xml:space="preserve"> corte de 0,05 para o valor de p</w:t>
      </w:r>
      <w:r w:rsidRPr="00BA7FFB">
        <w:rPr>
          <w:rFonts w:cs="Arial"/>
          <w:color w:val="000000"/>
          <w:szCs w:val="22"/>
        </w:rPr>
        <w:t xml:space="preserve">, a hipótese nula foi rejeitada, dessa forma, existe uma efetividade da acupuntura no tratamento da doença de Parkinson. </w:t>
      </w:r>
      <w:r w:rsidRPr="00BA7FFB">
        <w:rPr>
          <w:rFonts w:cs="Arial"/>
          <w:b/>
          <w:bCs/>
          <w:color w:val="000000"/>
          <w:szCs w:val="22"/>
          <w:u w:val="single"/>
        </w:rPr>
        <w:t>Conclusões:</w:t>
      </w:r>
      <w:r w:rsidRPr="00BA7FFB">
        <w:rPr>
          <w:rFonts w:cs="Arial"/>
          <w:b/>
          <w:bCs/>
          <w:color w:val="000000"/>
          <w:szCs w:val="22"/>
        </w:rPr>
        <w:t xml:space="preserve"> </w:t>
      </w:r>
      <w:r w:rsidRPr="00BA7FFB">
        <w:rPr>
          <w:rFonts w:cs="Arial"/>
          <w:color w:val="000000"/>
          <w:szCs w:val="22"/>
        </w:rPr>
        <w:t xml:space="preserve">Nos doentes com Parkinson, a substância negra, o núcleo caudado, o </w:t>
      </w:r>
      <w:proofErr w:type="spellStart"/>
      <w:r w:rsidRPr="00BA7FFB">
        <w:rPr>
          <w:rFonts w:cs="Arial"/>
          <w:color w:val="000000"/>
          <w:szCs w:val="22"/>
        </w:rPr>
        <w:t>putâmen</w:t>
      </w:r>
      <w:proofErr w:type="spellEnd"/>
      <w:r w:rsidRPr="00BA7FFB">
        <w:rPr>
          <w:rFonts w:cs="Arial"/>
          <w:color w:val="000000"/>
          <w:szCs w:val="22"/>
        </w:rPr>
        <w:t xml:space="preserve"> e o tálamo são partes do circuito dos gânglios basais cuja funcionalidade é prejudicada. Os estímulos da acupuntura sobre as áreas afetadas são responsáveis pela restauração da tirosina </w:t>
      </w:r>
      <w:proofErr w:type="spellStart"/>
      <w:r w:rsidRPr="00BA7FFB">
        <w:rPr>
          <w:rFonts w:cs="Arial"/>
          <w:color w:val="000000"/>
          <w:szCs w:val="22"/>
        </w:rPr>
        <w:t>hidroxilase</w:t>
      </w:r>
      <w:proofErr w:type="spellEnd"/>
      <w:r w:rsidRPr="00BA7FFB">
        <w:rPr>
          <w:rFonts w:cs="Arial"/>
          <w:color w:val="000000"/>
          <w:szCs w:val="22"/>
        </w:rPr>
        <w:t xml:space="preserve"> positiva nos terminais dopaminérgico</w:t>
      </w:r>
      <w:r w:rsidR="00032669">
        <w:rPr>
          <w:rFonts w:cs="Arial"/>
          <w:color w:val="000000"/>
          <w:szCs w:val="22"/>
        </w:rPr>
        <w:t>s</w:t>
      </w:r>
      <w:r w:rsidR="003426A7">
        <w:rPr>
          <w:rFonts w:cs="Arial"/>
          <w:color w:val="000000"/>
          <w:szCs w:val="22"/>
        </w:rPr>
        <w:t>,</w:t>
      </w:r>
      <w:r w:rsidRPr="00BA7FFB">
        <w:rPr>
          <w:rFonts w:cs="Arial"/>
          <w:color w:val="000000"/>
          <w:szCs w:val="22"/>
        </w:rPr>
        <w:t xml:space="preserve"> resultando em melhorias no desempenho motor dos pacientes, além de estimular efeitos anti-inflamatórios e antioxidantes</w:t>
      </w:r>
      <w:r>
        <w:rPr>
          <w:rFonts w:cs="Arial"/>
          <w:color w:val="000000"/>
          <w:sz w:val="22"/>
          <w:szCs w:val="22"/>
        </w:rPr>
        <w:t>.</w:t>
      </w:r>
    </w:p>
    <w:p w14:paraId="588CFC70" w14:textId="77777777" w:rsidR="00C11985" w:rsidRPr="00C11985" w:rsidRDefault="00C11985" w:rsidP="00C11985">
      <w:pPr>
        <w:spacing w:line="240" w:lineRule="auto"/>
        <w:rPr>
          <w:rFonts w:ascii="Times New Roman" w:hAnsi="Times New Roman"/>
        </w:rPr>
      </w:pPr>
    </w:p>
    <w:p w14:paraId="2EFF805A" w14:textId="26DD0D16" w:rsidR="00534CB2" w:rsidRPr="00C11985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C11985">
        <w:rPr>
          <w:rFonts w:eastAsia="Calibri" w:cs="Arial"/>
          <w:b/>
          <w:bCs/>
        </w:rPr>
        <w:t xml:space="preserve">Palavras-chave: </w:t>
      </w:r>
      <w:r w:rsidR="00536819">
        <w:rPr>
          <w:rFonts w:cs="Arial"/>
          <w:color w:val="000000"/>
        </w:rPr>
        <w:t>Acupuntura</w:t>
      </w:r>
      <w:r w:rsidR="00C11985" w:rsidRPr="00C11985">
        <w:rPr>
          <w:rFonts w:cs="Arial"/>
          <w:color w:val="000000"/>
        </w:rPr>
        <w:t xml:space="preserve">. </w:t>
      </w:r>
      <w:r w:rsidR="00536819">
        <w:rPr>
          <w:rFonts w:cs="Arial"/>
          <w:color w:val="000000"/>
        </w:rPr>
        <w:t>Doença neurodegenerativa</w:t>
      </w:r>
      <w:r w:rsidR="00C11985" w:rsidRPr="00C11985">
        <w:rPr>
          <w:rFonts w:cs="Arial"/>
          <w:color w:val="000000"/>
        </w:rPr>
        <w:t xml:space="preserve">. </w:t>
      </w:r>
      <w:r w:rsidR="00536819">
        <w:rPr>
          <w:rFonts w:cs="Arial"/>
          <w:color w:val="000000"/>
        </w:rPr>
        <w:t>Parkinson.</w:t>
      </w:r>
    </w:p>
    <w:p w14:paraId="3C061787" w14:textId="0FE55D03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C0B6BF6" w14:textId="77777777" w:rsidR="0093191A" w:rsidRPr="0093191A" w:rsidRDefault="0093191A" w:rsidP="0093191A">
      <w:pPr>
        <w:spacing w:before="240" w:after="240" w:line="240" w:lineRule="auto"/>
        <w:rPr>
          <w:rFonts w:ascii="Times New Roman" w:hAnsi="Times New Roman"/>
          <w:sz w:val="28"/>
        </w:rPr>
      </w:pPr>
      <w:r w:rsidRPr="0093191A">
        <w:rPr>
          <w:rFonts w:cs="Arial"/>
          <w:color w:val="000000"/>
          <w:szCs w:val="22"/>
        </w:rPr>
        <w:t xml:space="preserve">CAO, L. et al. The </w:t>
      </w:r>
      <w:proofErr w:type="spellStart"/>
      <w:r w:rsidRPr="0093191A">
        <w:rPr>
          <w:rFonts w:cs="Arial"/>
          <w:color w:val="000000"/>
          <w:szCs w:val="22"/>
        </w:rPr>
        <w:t>effectiveness</w:t>
      </w:r>
      <w:proofErr w:type="spellEnd"/>
      <w:r w:rsidRPr="0093191A">
        <w:rPr>
          <w:rFonts w:cs="Arial"/>
          <w:color w:val="000000"/>
          <w:szCs w:val="22"/>
        </w:rPr>
        <w:t xml:space="preserve"> of </w:t>
      </w:r>
      <w:proofErr w:type="spellStart"/>
      <w:r w:rsidRPr="0093191A">
        <w:rPr>
          <w:rFonts w:cs="Arial"/>
          <w:color w:val="000000"/>
          <w:szCs w:val="22"/>
        </w:rPr>
        <w:t>acupuncture</w:t>
      </w:r>
      <w:proofErr w:type="spellEnd"/>
      <w:r w:rsidRPr="0093191A">
        <w:rPr>
          <w:rFonts w:cs="Arial"/>
          <w:color w:val="000000"/>
          <w:szCs w:val="22"/>
        </w:rPr>
        <w:t xml:space="preserve"> for </w:t>
      </w:r>
      <w:proofErr w:type="spellStart"/>
      <w:r w:rsidRPr="0093191A">
        <w:rPr>
          <w:rFonts w:cs="Arial"/>
          <w:color w:val="000000"/>
          <w:szCs w:val="22"/>
        </w:rPr>
        <w:t>Parkinson's</w:t>
      </w:r>
      <w:proofErr w:type="spellEnd"/>
      <w:r w:rsidRPr="0093191A">
        <w:rPr>
          <w:rFonts w:cs="Arial"/>
          <w:color w:val="000000"/>
          <w:szCs w:val="22"/>
        </w:rPr>
        <w:t xml:space="preserve"> disease: </w:t>
      </w:r>
      <w:proofErr w:type="spellStart"/>
      <w:r w:rsidRPr="0093191A">
        <w:rPr>
          <w:rFonts w:cs="Arial"/>
          <w:color w:val="000000"/>
          <w:szCs w:val="22"/>
        </w:rPr>
        <w:t>An</w:t>
      </w:r>
      <w:proofErr w:type="spellEnd"/>
      <w:r w:rsidRPr="0093191A">
        <w:rPr>
          <w:rFonts w:cs="Arial"/>
          <w:color w:val="000000"/>
          <w:szCs w:val="22"/>
        </w:rPr>
        <w:t xml:space="preserve"> overview of </w:t>
      </w:r>
      <w:proofErr w:type="spellStart"/>
      <w:r w:rsidRPr="0093191A">
        <w:rPr>
          <w:rFonts w:cs="Arial"/>
          <w:color w:val="000000"/>
          <w:szCs w:val="22"/>
        </w:rPr>
        <w:t>systematic</w:t>
      </w:r>
      <w:proofErr w:type="spellEnd"/>
      <w:r w:rsidRPr="0093191A">
        <w:rPr>
          <w:rFonts w:cs="Arial"/>
          <w:color w:val="000000"/>
          <w:szCs w:val="22"/>
        </w:rPr>
        <w:t xml:space="preserve"> reviews. </w:t>
      </w:r>
      <w:proofErr w:type="spellStart"/>
      <w:r w:rsidRPr="0093191A">
        <w:rPr>
          <w:rFonts w:cs="Arial"/>
          <w:b/>
          <w:bCs/>
          <w:color w:val="000000"/>
          <w:szCs w:val="22"/>
        </w:rPr>
        <w:t>Complementary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therapies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in medicine</w:t>
      </w:r>
      <w:r w:rsidRPr="0093191A">
        <w:rPr>
          <w:rFonts w:cs="Arial"/>
          <w:color w:val="000000"/>
          <w:szCs w:val="22"/>
        </w:rPr>
        <w:t>, v. 50, 2020.</w:t>
      </w:r>
    </w:p>
    <w:p w14:paraId="6D39AC15" w14:textId="77777777" w:rsidR="0093191A" w:rsidRPr="0093191A" w:rsidRDefault="0093191A" w:rsidP="0093191A">
      <w:pPr>
        <w:spacing w:before="240" w:after="240" w:line="240" w:lineRule="auto"/>
        <w:rPr>
          <w:rFonts w:ascii="Times New Roman" w:hAnsi="Times New Roman"/>
          <w:sz w:val="28"/>
        </w:rPr>
      </w:pPr>
      <w:r w:rsidRPr="0093191A">
        <w:rPr>
          <w:rFonts w:cs="Arial"/>
          <w:color w:val="000000"/>
          <w:szCs w:val="22"/>
        </w:rPr>
        <w:t xml:space="preserve">CHENG, F. The use of </w:t>
      </w:r>
      <w:proofErr w:type="spellStart"/>
      <w:r w:rsidRPr="0093191A">
        <w:rPr>
          <w:rFonts w:cs="Arial"/>
          <w:color w:val="000000"/>
          <w:szCs w:val="22"/>
        </w:rPr>
        <w:t>acupuncture</w:t>
      </w:r>
      <w:proofErr w:type="spellEnd"/>
      <w:r w:rsidRPr="0093191A">
        <w:rPr>
          <w:rFonts w:cs="Arial"/>
          <w:color w:val="000000"/>
          <w:szCs w:val="22"/>
        </w:rPr>
        <w:t xml:space="preserve"> in </w:t>
      </w:r>
      <w:proofErr w:type="spellStart"/>
      <w:r w:rsidRPr="0093191A">
        <w:rPr>
          <w:rFonts w:cs="Arial"/>
          <w:color w:val="000000"/>
          <w:szCs w:val="22"/>
        </w:rPr>
        <w:t>patients</w:t>
      </w:r>
      <w:proofErr w:type="spellEnd"/>
      <w:r w:rsidRPr="0093191A">
        <w:rPr>
          <w:rFonts w:cs="Arial"/>
          <w:color w:val="000000"/>
          <w:szCs w:val="22"/>
        </w:rPr>
        <w:t xml:space="preserve"> with </w:t>
      </w:r>
      <w:proofErr w:type="spellStart"/>
      <w:r w:rsidRPr="0093191A">
        <w:rPr>
          <w:rFonts w:cs="Arial"/>
          <w:color w:val="000000"/>
          <w:szCs w:val="22"/>
        </w:rPr>
        <w:t>Parkinson's</w:t>
      </w:r>
      <w:proofErr w:type="spellEnd"/>
      <w:r w:rsidRPr="0093191A">
        <w:rPr>
          <w:rFonts w:cs="Arial"/>
          <w:color w:val="000000"/>
          <w:szCs w:val="22"/>
        </w:rPr>
        <w:t xml:space="preserve"> disease. </w:t>
      </w:r>
      <w:proofErr w:type="spellStart"/>
      <w:r w:rsidRPr="0093191A">
        <w:rPr>
          <w:rFonts w:cs="Arial"/>
          <w:b/>
          <w:bCs/>
          <w:color w:val="000000"/>
          <w:szCs w:val="22"/>
        </w:rPr>
        <w:t>Geriatric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nursing</w:t>
      </w:r>
      <w:proofErr w:type="spellEnd"/>
      <w:r w:rsidRPr="0093191A">
        <w:rPr>
          <w:rFonts w:cs="Arial"/>
          <w:color w:val="000000"/>
          <w:szCs w:val="22"/>
        </w:rPr>
        <w:t xml:space="preserve"> (New York, N.Y.), v. 38, p. 302-314, 2017.</w:t>
      </w:r>
    </w:p>
    <w:p w14:paraId="588B9B29" w14:textId="77777777" w:rsidR="0093191A" w:rsidRPr="0093191A" w:rsidRDefault="0093191A" w:rsidP="0093191A">
      <w:pPr>
        <w:spacing w:before="240" w:after="240" w:line="240" w:lineRule="auto"/>
        <w:rPr>
          <w:rFonts w:ascii="Times New Roman" w:hAnsi="Times New Roman"/>
          <w:sz w:val="28"/>
        </w:rPr>
      </w:pPr>
      <w:r w:rsidRPr="0093191A">
        <w:rPr>
          <w:rFonts w:cs="Arial"/>
          <w:color w:val="000000"/>
          <w:szCs w:val="22"/>
        </w:rPr>
        <w:t xml:space="preserve">DEUEL, L. M. </w:t>
      </w:r>
      <w:r w:rsidRPr="0093191A">
        <w:rPr>
          <w:rFonts w:cs="Arial"/>
          <w:i/>
          <w:iCs/>
          <w:color w:val="000000"/>
          <w:szCs w:val="22"/>
        </w:rPr>
        <w:t>et al</w:t>
      </w:r>
      <w:r w:rsidRPr="0093191A">
        <w:rPr>
          <w:rFonts w:cs="Arial"/>
          <w:color w:val="000000"/>
          <w:szCs w:val="22"/>
        </w:rPr>
        <w:t xml:space="preserve">. </w:t>
      </w:r>
      <w:proofErr w:type="spellStart"/>
      <w:r w:rsidRPr="0093191A">
        <w:rPr>
          <w:rFonts w:cs="Arial"/>
          <w:color w:val="000000"/>
          <w:szCs w:val="22"/>
        </w:rPr>
        <w:t>Complementary</w:t>
      </w:r>
      <w:proofErr w:type="spellEnd"/>
      <w:r w:rsidRPr="0093191A">
        <w:rPr>
          <w:rFonts w:cs="Arial"/>
          <w:color w:val="000000"/>
          <w:szCs w:val="22"/>
        </w:rPr>
        <w:t xml:space="preserve"> </w:t>
      </w:r>
      <w:proofErr w:type="spellStart"/>
      <w:r w:rsidRPr="0093191A">
        <w:rPr>
          <w:rFonts w:cs="Arial"/>
          <w:color w:val="000000"/>
          <w:szCs w:val="22"/>
        </w:rPr>
        <w:t>Therapies</w:t>
      </w:r>
      <w:proofErr w:type="spellEnd"/>
      <w:r w:rsidRPr="0093191A">
        <w:rPr>
          <w:rFonts w:cs="Arial"/>
          <w:color w:val="000000"/>
          <w:szCs w:val="22"/>
        </w:rPr>
        <w:t xml:space="preserve"> in Parkinson Disease: a Review of </w:t>
      </w:r>
      <w:proofErr w:type="spellStart"/>
      <w:r w:rsidRPr="0093191A">
        <w:rPr>
          <w:rFonts w:cs="Arial"/>
          <w:color w:val="000000"/>
          <w:szCs w:val="22"/>
        </w:rPr>
        <w:t>Acupuncture</w:t>
      </w:r>
      <w:proofErr w:type="spellEnd"/>
      <w:r w:rsidRPr="0093191A">
        <w:rPr>
          <w:rFonts w:cs="Arial"/>
          <w:color w:val="000000"/>
          <w:szCs w:val="22"/>
        </w:rPr>
        <w:t xml:space="preserve">, Tai Chi, </w:t>
      </w:r>
      <w:proofErr w:type="spellStart"/>
      <w:r w:rsidRPr="0093191A">
        <w:rPr>
          <w:rFonts w:cs="Arial"/>
          <w:color w:val="000000"/>
          <w:szCs w:val="22"/>
        </w:rPr>
        <w:t>Qi</w:t>
      </w:r>
      <w:proofErr w:type="spellEnd"/>
      <w:r w:rsidRPr="0093191A">
        <w:rPr>
          <w:rFonts w:cs="Arial"/>
          <w:color w:val="000000"/>
          <w:szCs w:val="22"/>
        </w:rPr>
        <w:t xml:space="preserve"> Gong, Yoga, and Cannabis. </w:t>
      </w:r>
      <w:proofErr w:type="spellStart"/>
      <w:proofErr w:type="gramStart"/>
      <w:r w:rsidRPr="0093191A">
        <w:rPr>
          <w:rFonts w:cs="Arial"/>
          <w:b/>
          <w:bCs/>
          <w:color w:val="000000"/>
          <w:szCs w:val="22"/>
        </w:rPr>
        <w:t>Neurotherapeutics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:</w:t>
      </w:r>
      <w:proofErr w:type="gramEnd"/>
      <w:r w:rsidRPr="0093191A">
        <w:rPr>
          <w:rFonts w:cs="Arial"/>
          <w:b/>
          <w:bCs/>
          <w:color w:val="000000"/>
          <w:szCs w:val="22"/>
        </w:rPr>
        <w:t xml:space="preserve"> the </w:t>
      </w:r>
      <w:proofErr w:type="spellStart"/>
      <w:r w:rsidRPr="0093191A">
        <w:rPr>
          <w:rFonts w:cs="Arial"/>
          <w:b/>
          <w:bCs/>
          <w:color w:val="000000"/>
          <w:szCs w:val="22"/>
        </w:rPr>
        <w:t>journal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of the American Society for Experimental </w:t>
      </w:r>
      <w:proofErr w:type="spellStart"/>
      <w:r w:rsidRPr="0093191A">
        <w:rPr>
          <w:rFonts w:cs="Arial"/>
          <w:b/>
          <w:bCs/>
          <w:color w:val="000000"/>
          <w:szCs w:val="22"/>
        </w:rPr>
        <w:t>NeuroTherapeutics</w:t>
      </w:r>
      <w:proofErr w:type="spellEnd"/>
      <w:r w:rsidRPr="0093191A">
        <w:rPr>
          <w:rFonts w:cs="Arial"/>
          <w:color w:val="000000"/>
          <w:szCs w:val="22"/>
        </w:rPr>
        <w:t>, v. 17, p. 1434-1455, 2020.</w:t>
      </w:r>
    </w:p>
    <w:p w14:paraId="7ECC658F" w14:textId="77777777" w:rsidR="0093191A" w:rsidRPr="0093191A" w:rsidRDefault="0093191A" w:rsidP="0093191A">
      <w:pPr>
        <w:spacing w:before="240" w:after="240" w:line="240" w:lineRule="auto"/>
        <w:rPr>
          <w:rFonts w:ascii="Times New Roman" w:hAnsi="Times New Roman"/>
          <w:sz w:val="28"/>
        </w:rPr>
      </w:pPr>
      <w:r w:rsidRPr="0093191A">
        <w:rPr>
          <w:rFonts w:cs="Arial"/>
          <w:color w:val="000000"/>
          <w:szCs w:val="22"/>
        </w:rPr>
        <w:t xml:space="preserve">JANG, J. </w:t>
      </w:r>
      <w:r w:rsidRPr="0093191A">
        <w:rPr>
          <w:rFonts w:cs="Arial"/>
          <w:i/>
          <w:iCs/>
          <w:color w:val="000000"/>
          <w:szCs w:val="22"/>
        </w:rPr>
        <w:t>et al</w:t>
      </w:r>
      <w:r w:rsidRPr="0093191A">
        <w:rPr>
          <w:rFonts w:cs="Arial"/>
          <w:color w:val="000000"/>
          <w:szCs w:val="22"/>
        </w:rPr>
        <w:t xml:space="preserve">.  </w:t>
      </w:r>
      <w:proofErr w:type="spellStart"/>
      <w:r w:rsidRPr="0093191A">
        <w:rPr>
          <w:rFonts w:cs="Arial"/>
          <w:color w:val="000000"/>
          <w:szCs w:val="22"/>
        </w:rPr>
        <w:t>Acupuncture</w:t>
      </w:r>
      <w:proofErr w:type="spellEnd"/>
      <w:r w:rsidRPr="0093191A">
        <w:rPr>
          <w:rFonts w:cs="Arial"/>
          <w:color w:val="000000"/>
          <w:szCs w:val="22"/>
        </w:rPr>
        <w:t xml:space="preserve"> </w:t>
      </w:r>
      <w:proofErr w:type="spellStart"/>
      <w:r w:rsidRPr="0093191A">
        <w:rPr>
          <w:rFonts w:cs="Arial"/>
          <w:color w:val="000000"/>
          <w:szCs w:val="22"/>
        </w:rPr>
        <w:t>inhibits</w:t>
      </w:r>
      <w:proofErr w:type="spellEnd"/>
      <w:r w:rsidRPr="0093191A">
        <w:rPr>
          <w:rFonts w:cs="Arial"/>
          <w:color w:val="000000"/>
          <w:szCs w:val="22"/>
        </w:rPr>
        <w:t xml:space="preserve"> </w:t>
      </w:r>
      <w:proofErr w:type="spellStart"/>
      <w:r w:rsidRPr="0093191A">
        <w:rPr>
          <w:rFonts w:cs="Arial"/>
          <w:color w:val="000000"/>
          <w:szCs w:val="22"/>
        </w:rPr>
        <w:t>neuroinflammation</w:t>
      </w:r>
      <w:proofErr w:type="spellEnd"/>
      <w:r w:rsidRPr="0093191A">
        <w:rPr>
          <w:rFonts w:cs="Arial"/>
          <w:color w:val="000000"/>
          <w:szCs w:val="22"/>
        </w:rPr>
        <w:t xml:space="preserve"> and </w:t>
      </w:r>
      <w:proofErr w:type="spellStart"/>
      <w:r w:rsidRPr="0093191A">
        <w:rPr>
          <w:rFonts w:cs="Arial"/>
          <w:color w:val="000000"/>
          <w:szCs w:val="22"/>
        </w:rPr>
        <w:t>gut</w:t>
      </w:r>
      <w:proofErr w:type="spellEnd"/>
      <w:r w:rsidRPr="0093191A">
        <w:rPr>
          <w:rFonts w:cs="Arial"/>
          <w:color w:val="000000"/>
          <w:szCs w:val="22"/>
        </w:rPr>
        <w:t xml:space="preserve"> microbial </w:t>
      </w:r>
      <w:proofErr w:type="spellStart"/>
      <w:r w:rsidRPr="0093191A">
        <w:rPr>
          <w:rFonts w:cs="Arial"/>
          <w:color w:val="000000"/>
          <w:szCs w:val="22"/>
        </w:rPr>
        <w:t>dysbiosis</w:t>
      </w:r>
      <w:proofErr w:type="spellEnd"/>
      <w:r w:rsidRPr="0093191A">
        <w:rPr>
          <w:rFonts w:cs="Arial"/>
          <w:color w:val="000000"/>
          <w:szCs w:val="22"/>
        </w:rPr>
        <w:t xml:space="preserve"> in a mouse </w:t>
      </w:r>
      <w:proofErr w:type="spellStart"/>
      <w:r w:rsidRPr="0093191A">
        <w:rPr>
          <w:rFonts w:cs="Arial"/>
          <w:color w:val="000000"/>
          <w:szCs w:val="22"/>
        </w:rPr>
        <w:t>model</w:t>
      </w:r>
      <w:proofErr w:type="spellEnd"/>
      <w:r w:rsidRPr="0093191A">
        <w:rPr>
          <w:rFonts w:cs="Arial"/>
          <w:color w:val="000000"/>
          <w:szCs w:val="22"/>
        </w:rPr>
        <w:t xml:space="preserve"> of </w:t>
      </w:r>
      <w:proofErr w:type="spellStart"/>
      <w:r w:rsidRPr="0093191A">
        <w:rPr>
          <w:rFonts w:cs="Arial"/>
          <w:color w:val="000000"/>
          <w:szCs w:val="22"/>
        </w:rPr>
        <w:t>Parkinson's</w:t>
      </w:r>
      <w:proofErr w:type="spellEnd"/>
      <w:r w:rsidRPr="0093191A">
        <w:rPr>
          <w:rFonts w:cs="Arial"/>
          <w:color w:val="000000"/>
          <w:szCs w:val="22"/>
        </w:rPr>
        <w:t xml:space="preserve"> disease.</w:t>
      </w:r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Brain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, </w:t>
      </w:r>
      <w:proofErr w:type="spellStart"/>
      <w:r w:rsidRPr="0093191A">
        <w:rPr>
          <w:rFonts w:cs="Arial"/>
          <w:b/>
          <w:bCs/>
          <w:color w:val="000000"/>
          <w:szCs w:val="22"/>
        </w:rPr>
        <w:t>behavior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, and </w:t>
      </w:r>
      <w:proofErr w:type="spellStart"/>
      <w:r w:rsidRPr="0093191A">
        <w:rPr>
          <w:rFonts w:cs="Arial"/>
          <w:b/>
          <w:bCs/>
          <w:color w:val="000000"/>
          <w:szCs w:val="22"/>
        </w:rPr>
        <w:t>immunity</w:t>
      </w:r>
      <w:proofErr w:type="spellEnd"/>
      <w:r w:rsidRPr="0093191A">
        <w:rPr>
          <w:rFonts w:cs="Arial"/>
          <w:color w:val="000000"/>
          <w:szCs w:val="22"/>
        </w:rPr>
        <w:t>, v. 89, p. 641-655, 2020.</w:t>
      </w:r>
    </w:p>
    <w:p w14:paraId="02610DD9" w14:textId="77777777" w:rsidR="0093191A" w:rsidRPr="0093191A" w:rsidRDefault="0093191A" w:rsidP="0093191A">
      <w:pPr>
        <w:spacing w:before="240" w:after="240" w:line="240" w:lineRule="auto"/>
        <w:rPr>
          <w:rFonts w:ascii="Times New Roman" w:hAnsi="Times New Roman"/>
          <w:sz w:val="28"/>
        </w:rPr>
      </w:pPr>
      <w:r w:rsidRPr="0093191A">
        <w:rPr>
          <w:rFonts w:cs="Arial"/>
          <w:color w:val="000000"/>
          <w:szCs w:val="22"/>
        </w:rPr>
        <w:t xml:space="preserve">TAMTAJI, O. R. </w:t>
      </w:r>
      <w:r w:rsidRPr="0093191A">
        <w:rPr>
          <w:rFonts w:cs="Arial"/>
          <w:i/>
          <w:iCs/>
          <w:color w:val="000000"/>
          <w:szCs w:val="22"/>
        </w:rPr>
        <w:t>et al</w:t>
      </w:r>
      <w:r w:rsidRPr="0093191A">
        <w:rPr>
          <w:rFonts w:cs="Arial"/>
          <w:color w:val="000000"/>
          <w:szCs w:val="22"/>
        </w:rPr>
        <w:t xml:space="preserve">. The </w:t>
      </w:r>
      <w:proofErr w:type="spellStart"/>
      <w:r w:rsidRPr="0093191A">
        <w:rPr>
          <w:rFonts w:cs="Arial"/>
          <w:color w:val="000000"/>
          <w:szCs w:val="22"/>
        </w:rPr>
        <w:t>effects</w:t>
      </w:r>
      <w:proofErr w:type="spellEnd"/>
      <w:r w:rsidRPr="0093191A">
        <w:rPr>
          <w:rFonts w:cs="Arial"/>
          <w:color w:val="000000"/>
          <w:szCs w:val="22"/>
        </w:rPr>
        <w:t xml:space="preserve"> of </w:t>
      </w:r>
      <w:proofErr w:type="spellStart"/>
      <w:r w:rsidRPr="0093191A">
        <w:rPr>
          <w:rFonts w:cs="Arial"/>
          <w:color w:val="000000"/>
          <w:szCs w:val="22"/>
        </w:rPr>
        <w:t>acupuncture</w:t>
      </w:r>
      <w:proofErr w:type="spellEnd"/>
      <w:r w:rsidRPr="0093191A">
        <w:rPr>
          <w:rFonts w:cs="Arial"/>
          <w:color w:val="000000"/>
          <w:szCs w:val="22"/>
        </w:rPr>
        <w:t xml:space="preserve"> and </w:t>
      </w:r>
      <w:proofErr w:type="spellStart"/>
      <w:r w:rsidRPr="0093191A">
        <w:rPr>
          <w:rFonts w:cs="Arial"/>
          <w:color w:val="000000"/>
          <w:szCs w:val="22"/>
        </w:rPr>
        <w:t>electroacupuncture</w:t>
      </w:r>
      <w:proofErr w:type="spellEnd"/>
      <w:r w:rsidRPr="0093191A">
        <w:rPr>
          <w:rFonts w:cs="Arial"/>
          <w:color w:val="000000"/>
          <w:szCs w:val="22"/>
        </w:rPr>
        <w:t xml:space="preserve"> on </w:t>
      </w:r>
      <w:proofErr w:type="spellStart"/>
      <w:r w:rsidRPr="0093191A">
        <w:rPr>
          <w:rFonts w:cs="Arial"/>
          <w:color w:val="000000"/>
          <w:szCs w:val="22"/>
        </w:rPr>
        <w:t>Parkinson's</w:t>
      </w:r>
      <w:proofErr w:type="spellEnd"/>
      <w:r w:rsidRPr="0093191A">
        <w:rPr>
          <w:rFonts w:cs="Arial"/>
          <w:color w:val="000000"/>
          <w:szCs w:val="22"/>
        </w:rPr>
        <w:t xml:space="preserve"> disease: Current status and future perspectives for molecular </w:t>
      </w:r>
      <w:proofErr w:type="spellStart"/>
      <w:r w:rsidRPr="0093191A">
        <w:rPr>
          <w:rFonts w:cs="Arial"/>
          <w:color w:val="000000"/>
          <w:szCs w:val="22"/>
        </w:rPr>
        <w:t>mechanisms</w:t>
      </w:r>
      <w:proofErr w:type="spellEnd"/>
      <w:r w:rsidRPr="0093191A">
        <w:rPr>
          <w:rFonts w:cs="Arial"/>
          <w:color w:val="000000"/>
          <w:szCs w:val="22"/>
        </w:rPr>
        <w:t xml:space="preserve">. </w:t>
      </w:r>
      <w:proofErr w:type="spellStart"/>
      <w:r w:rsidRPr="0093191A">
        <w:rPr>
          <w:rFonts w:cs="Arial"/>
          <w:b/>
          <w:bCs/>
          <w:color w:val="000000"/>
          <w:szCs w:val="22"/>
        </w:rPr>
        <w:t>Journal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of </w:t>
      </w:r>
      <w:proofErr w:type="spellStart"/>
      <w:r w:rsidRPr="0093191A">
        <w:rPr>
          <w:rFonts w:cs="Arial"/>
          <w:b/>
          <w:bCs/>
          <w:color w:val="000000"/>
          <w:szCs w:val="22"/>
        </w:rPr>
        <w:t>cellular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biochemistry</w:t>
      </w:r>
      <w:proofErr w:type="spellEnd"/>
      <w:r w:rsidRPr="0093191A">
        <w:rPr>
          <w:rFonts w:cs="Arial"/>
          <w:color w:val="000000"/>
          <w:szCs w:val="22"/>
        </w:rPr>
        <w:t>, v. 120, p. 12156-12166, 2019.</w:t>
      </w:r>
    </w:p>
    <w:p w14:paraId="605CEAB6" w14:textId="77777777" w:rsidR="0093191A" w:rsidRPr="0093191A" w:rsidRDefault="0093191A" w:rsidP="0093191A">
      <w:pPr>
        <w:spacing w:before="240" w:after="240" w:line="240" w:lineRule="auto"/>
        <w:rPr>
          <w:rFonts w:ascii="Times New Roman" w:hAnsi="Times New Roman"/>
          <w:sz w:val="28"/>
        </w:rPr>
      </w:pPr>
      <w:r w:rsidRPr="0093191A">
        <w:rPr>
          <w:rFonts w:cs="Arial"/>
          <w:color w:val="000000"/>
          <w:szCs w:val="22"/>
        </w:rPr>
        <w:t xml:space="preserve">XIAO, </w:t>
      </w:r>
      <w:proofErr w:type="spellStart"/>
      <w:r w:rsidRPr="0093191A">
        <w:rPr>
          <w:rFonts w:cs="Arial"/>
          <w:color w:val="000000"/>
          <w:szCs w:val="22"/>
        </w:rPr>
        <w:t>Danqing</w:t>
      </w:r>
      <w:proofErr w:type="spellEnd"/>
      <w:r w:rsidRPr="0093191A">
        <w:rPr>
          <w:rFonts w:cs="Arial"/>
          <w:color w:val="000000"/>
          <w:szCs w:val="22"/>
        </w:rPr>
        <w:t xml:space="preserve">. </w:t>
      </w:r>
      <w:proofErr w:type="spellStart"/>
      <w:r w:rsidRPr="0093191A">
        <w:rPr>
          <w:rFonts w:cs="Arial"/>
          <w:color w:val="000000"/>
          <w:szCs w:val="22"/>
        </w:rPr>
        <w:t>Acupuncture</w:t>
      </w:r>
      <w:proofErr w:type="spellEnd"/>
      <w:r w:rsidRPr="0093191A">
        <w:rPr>
          <w:rFonts w:cs="Arial"/>
          <w:color w:val="000000"/>
          <w:szCs w:val="22"/>
        </w:rPr>
        <w:t xml:space="preserve"> for </w:t>
      </w:r>
      <w:proofErr w:type="spellStart"/>
      <w:r w:rsidRPr="0093191A">
        <w:rPr>
          <w:rFonts w:cs="Arial"/>
          <w:color w:val="000000"/>
          <w:szCs w:val="22"/>
        </w:rPr>
        <w:t>Parkinson's</w:t>
      </w:r>
      <w:proofErr w:type="spellEnd"/>
      <w:r w:rsidRPr="0093191A">
        <w:rPr>
          <w:rFonts w:cs="Arial"/>
          <w:color w:val="000000"/>
          <w:szCs w:val="22"/>
        </w:rPr>
        <w:t xml:space="preserve"> Disease: a review of </w:t>
      </w:r>
      <w:proofErr w:type="spellStart"/>
      <w:r w:rsidRPr="0093191A">
        <w:rPr>
          <w:rFonts w:cs="Arial"/>
          <w:color w:val="000000"/>
          <w:szCs w:val="22"/>
        </w:rPr>
        <w:t>clinical</w:t>
      </w:r>
      <w:proofErr w:type="spellEnd"/>
      <w:r w:rsidRPr="0093191A">
        <w:rPr>
          <w:rFonts w:cs="Arial"/>
          <w:color w:val="000000"/>
          <w:szCs w:val="22"/>
        </w:rPr>
        <w:t xml:space="preserve">, animal, and </w:t>
      </w:r>
      <w:proofErr w:type="spellStart"/>
      <w:r w:rsidRPr="0093191A">
        <w:rPr>
          <w:rFonts w:cs="Arial"/>
          <w:color w:val="000000"/>
          <w:szCs w:val="22"/>
        </w:rPr>
        <w:t>functional</w:t>
      </w:r>
      <w:proofErr w:type="spellEnd"/>
      <w:r w:rsidRPr="0093191A">
        <w:rPr>
          <w:rFonts w:cs="Arial"/>
          <w:color w:val="000000"/>
          <w:szCs w:val="22"/>
        </w:rPr>
        <w:t xml:space="preserve"> </w:t>
      </w:r>
      <w:proofErr w:type="spellStart"/>
      <w:r w:rsidRPr="0093191A">
        <w:rPr>
          <w:rFonts w:cs="Arial"/>
          <w:color w:val="000000"/>
          <w:szCs w:val="22"/>
        </w:rPr>
        <w:t>Magnetic</w:t>
      </w:r>
      <w:proofErr w:type="spellEnd"/>
      <w:r w:rsidRPr="0093191A">
        <w:rPr>
          <w:rFonts w:cs="Arial"/>
          <w:color w:val="000000"/>
          <w:szCs w:val="22"/>
        </w:rPr>
        <w:t xml:space="preserve"> </w:t>
      </w:r>
      <w:proofErr w:type="spellStart"/>
      <w:r w:rsidRPr="0093191A">
        <w:rPr>
          <w:rFonts w:cs="Arial"/>
          <w:color w:val="000000"/>
          <w:szCs w:val="22"/>
        </w:rPr>
        <w:t>Resonance</w:t>
      </w:r>
      <w:proofErr w:type="spellEnd"/>
      <w:r w:rsidRPr="0093191A">
        <w:rPr>
          <w:rFonts w:cs="Arial"/>
          <w:color w:val="000000"/>
          <w:szCs w:val="22"/>
        </w:rPr>
        <w:t xml:space="preserve"> </w:t>
      </w:r>
      <w:proofErr w:type="spellStart"/>
      <w:r w:rsidRPr="0093191A">
        <w:rPr>
          <w:rFonts w:cs="Arial"/>
          <w:color w:val="000000"/>
          <w:szCs w:val="22"/>
        </w:rPr>
        <w:t>Imaging</w:t>
      </w:r>
      <w:proofErr w:type="spellEnd"/>
      <w:r w:rsidRPr="0093191A">
        <w:rPr>
          <w:rFonts w:cs="Arial"/>
          <w:color w:val="000000"/>
          <w:szCs w:val="22"/>
        </w:rPr>
        <w:t xml:space="preserve"> studies. </w:t>
      </w:r>
      <w:proofErr w:type="spellStart"/>
      <w:r w:rsidRPr="0093191A">
        <w:rPr>
          <w:rFonts w:cs="Arial"/>
          <w:color w:val="000000"/>
          <w:szCs w:val="22"/>
        </w:rPr>
        <w:t>J</w:t>
      </w:r>
      <w:r w:rsidRPr="0093191A">
        <w:rPr>
          <w:rFonts w:cs="Arial"/>
          <w:b/>
          <w:bCs/>
          <w:color w:val="000000"/>
          <w:szCs w:val="22"/>
        </w:rPr>
        <w:t>ournal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of </w:t>
      </w:r>
      <w:proofErr w:type="spellStart"/>
      <w:r w:rsidRPr="0093191A">
        <w:rPr>
          <w:rFonts w:cs="Arial"/>
          <w:b/>
          <w:bCs/>
          <w:color w:val="000000"/>
          <w:szCs w:val="22"/>
        </w:rPr>
        <w:t>traditional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Chinese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medicine = Chung i </w:t>
      </w:r>
      <w:proofErr w:type="spellStart"/>
      <w:r w:rsidRPr="0093191A">
        <w:rPr>
          <w:rFonts w:cs="Arial"/>
          <w:b/>
          <w:bCs/>
          <w:color w:val="000000"/>
          <w:szCs w:val="22"/>
        </w:rPr>
        <w:t>tsa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chih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ying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wen</w:t>
      </w:r>
      <w:proofErr w:type="spellEnd"/>
      <w:r w:rsidRPr="0093191A">
        <w:rPr>
          <w:rFonts w:cs="Arial"/>
          <w:b/>
          <w:bCs/>
          <w:color w:val="000000"/>
          <w:szCs w:val="22"/>
        </w:rPr>
        <w:t xml:space="preserve"> </w:t>
      </w:r>
      <w:proofErr w:type="spellStart"/>
      <w:r w:rsidRPr="0093191A">
        <w:rPr>
          <w:rFonts w:cs="Arial"/>
          <w:b/>
          <w:bCs/>
          <w:color w:val="000000"/>
          <w:szCs w:val="22"/>
        </w:rPr>
        <w:t>pan</w:t>
      </w:r>
      <w:proofErr w:type="spellEnd"/>
      <w:r w:rsidRPr="0093191A">
        <w:rPr>
          <w:rFonts w:cs="Arial"/>
          <w:color w:val="000000"/>
          <w:szCs w:val="22"/>
        </w:rPr>
        <w:t>, v. 35, p. 709-717, 2015.</w:t>
      </w:r>
    </w:p>
    <w:p w14:paraId="53128261" w14:textId="67A540C1" w:rsidR="00CD07AD" w:rsidRPr="0093191A" w:rsidRDefault="0093191A" w:rsidP="0093191A">
      <w:pPr>
        <w:rPr>
          <w:sz w:val="28"/>
        </w:rPr>
      </w:pPr>
      <w:r w:rsidRPr="0093191A">
        <w:rPr>
          <w:rFonts w:cs="Arial"/>
          <w:color w:val="000000"/>
          <w:szCs w:val="22"/>
        </w:rPr>
        <w:t xml:space="preserve">YEO, S. </w:t>
      </w:r>
      <w:r w:rsidRPr="0093191A">
        <w:rPr>
          <w:rFonts w:cs="Arial"/>
          <w:i/>
          <w:iCs/>
          <w:color w:val="000000"/>
          <w:szCs w:val="22"/>
        </w:rPr>
        <w:t>et al</w:t>
      </w:r>
      <w:r w:rsidRPr="0093191A">
        <w:rPr>
          <w:rFonts w:cs="Arial"/>
          <w:color w:val="000000"/>
          <w:szCs w:val="22"/>
        </w:rPr>
        <w:t xml:space="preserve">. A </w:t>
      </w:r>
      <w:proofErr w:type="spellStart"/>
      <w:r w:rsidRPr="0093191A">
        <w:rPr>
          <w:rFonts w:cs="Arial"/>
          <w:color w:val="000000"/>
          <w:szCs w:val="22"/>
        </w:rPr>
        <w:t>study</w:t>
      </w:r>
      <w:proofErr w:type="spellEnd"/>
      <w:r w:rsidRPr="0093191A">
        <w:rPr>
          <w:rFonts w:cs="Arial"/>
          <w:color w:val="000000"/>
          <w:szCs w:val="22"/>
        </w:rPr>
        <w:t xml:space="preserve"> of the </w:t>
      </w:r>
      <w:proofErr w:type="spellStart"/>
      <w:r w:rsidRPr="0093191A">
        <w:rPr>
          <w:rFonts w:cs="Arial"/>
          <w:color w:val="000000"/>
          <w:szCs w:val="22"/>
        </w:rPr>
        <w:t>effects</w:t>
      </w:r>
      <w:proofErr w:type="spellEnd"/>
      <w:r w:rsidRPr="0093191A">
        <w:rPr>
          <w:rFonts w:cs="Arial"/>
          <w:color w:val="000000"/>
          <w:szCs w:val="22"/>
        </w:rPr>
        <w:t xml:space="preserve"> of 8-week </w:t>
      </w:r>
      <w:proofErr w:type="spellStart"/>
      <w:r w:rsidRPr="0093191A">
        <w:rPr>
          <w:rFonts w:cs="Arial"/>
          <w:color w:val="000000"/>
          <w:szCs w:val="22"/>
        </w:rPr>
        <w:t>acupuncture</w:t>
      </w:r>
      <w:proofErr w:type="spellEnd"/>
      <w:r w:rsidRPr="0093191A">
        <w:rPr>
          <w:rFonts w:cs="Arial"/>
          <w:color w:val="000000"/>
          <w:szCs w:val="22"/>
        </w:rPr>
        <w:t xml:space="preserve"> </w:t>
      </w:r>
      <w:proofErr w:type="spellStart"/>
      <w:r w:rsidRPr="0093191A">
        <w:rPr>
          <w:rFonts w:cs="Arial"/>
          <w:color w:val="000000"/>
          <w:szCs w:val="22"/>
        </w:rPr>
        <w:t>treatment</w:t>
      </w:r>
      <w:proofErr w:type="spellEnd"/>
      <w:r w:rsidRPr="0093191A">
        <w:rPr>
          <w:rFonts w:cs="Arial"/>
          <w:color w:val="000000"/>
          <w:szCs w:val="22"/>
        </w:rPr>
        <w:t xml:space="preserve"> on </w:t>
      </w:r>
      <w:proofErr w:type="spellStart"/>
      <w:r w:rsidRPr="0093191A">
        <w:rPr>
          <w:rFonts w:cs="Arial"/>
          <w:color w:val="000000"/>
          <w:szCs w:val="22"/>
        </w:rPr>
        <w:t>patients</w:t>
      </w:r>
      <w:proofErr w:type="spellEnd"/>
      <w:r w:rsidRPr="0093191A">
        <w:rPr>
          <w:rFonts w:cs="Arial"/>
          <w:color w:val="000000"/>
          <w:szCs w:val="22"/>
        </w:rPr>
        <w:t xml:space="preserve"> with </w:t>
      </w:r>
      <w:proofErr w:type="spellStart"/>
      <w:r w:rsidRPr="0093191A">
        <w:rPr>
          <w:rFonts w:cs="Arial"/>
          <w:color w:val="000000"/>
          <w:szCs w:val="22"/>
        </w:rPr>
        <w:t>Parkinson's</w:t>
      </w:r>
      <w:proofErr w:type="spellEnd"/>
      <w:r w:rsidRPr="0093191A">
        <w:rPr>
          <w:rFonts w:cs="Arial"/>
          <w:color w:val="000000"/>
          <w:szCs w:val="22"/>
        </w:rPr>
        <w:t xml:space="preserve"> disease.</w:t>
      </w:r>
      <w:r w:rsidRPr="0093191A">
        <w:rPr>
          <w:rFonts w:cs="Arial"/>
          <w:b/>
          <w:bCs/>
          <w:color w:val="000000"/>
          <w:szCs w:val="22"/>
        </w:rPr>
        <w:t xml:space="preserve"> Medicine</w:t>
      </w:r>
      <w:r w:rsidRPr="0093191A">
        <w:rPr>
          <w:rFonts w:cs="Arial"/>
          <w:color w:val="000000"/>
          <w:szCs w:val="22"/>
        </w:rPr>
        <w:t>, v. 97, 2018.</w:t>
      </w:r>
    </w:p>
    <w:sectPr w:rsidR="00CD07AD" w:rsidRPr="0093191A" w:rsidSect="00C119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90736" w14:textId="77777777" w:rsidR="009C44C9" w:rsidRDefault="009C44C9" w:rsidP="00EE20DF">
      <w:pPr>
        <w:spacing w:line="240" w:lineRule="auto"/>
      </w:pPr>
      <w:r>
        <w:separator/>
      </w:r>
    </w:p>
  </w:endnote>
  <w:endnote w:type="continuationSeparator" w:id="0">
    <w:p w14:paraId="27526B3D" w14:textId="77777777" w:rsidR="009C44C9" w:rsidRDefault="009C44C9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9258" w14:textId="7CAAFFE1" w:rsidR="006A622A" w:rsidRDefault="006A622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AF54C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" fillcolor="#f7c02e" stroked="f" strokeweight="1pt"/>
          </w:pict>
        </mc:Fallback>
      </mc:AlternateContent>
    </w:r>
  </w:p>
  <w:p w14:paraId="3CF2D8B6" w14:textId="77777777" w:rsidR="006A622A" w:rsidRDefault="006A62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E2FB" w14:textId="77777777" w:rsidR="006A622A" w:rsidRDefault="006A622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101652C" w14:textId="77777777" w:rsidR="006A622A" w:rsidRDefault="006A62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1013C" w14:textId="77777777" w:rsidR="009C44C9" w:rsidRDefault="009C44C9" w:rsidP="00EE20DF">
      <w:pPr>
        <w:spacing w:line="240" w:lineRule="auto"/>
      </w:pPr>
      <w:r>
        <w:separator/>
      </w:r>
    </w:p>
  </w:footnote>
  <w:footnote w:type="continuationSeparator" w:id="0">
    <w:p w14:paraId="4F7EAC9A" w14:textId="77777777" w:rsidR="009C44C9" w:rsidRDefault="009C44C9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006A622A" w14:paraId="35AD1CDA" w14:textId="77777777" w:rsidTr="53004CF4">
      <w:tc>
        <w:tcPr>
          <w:tcW w:w="2235" w:type="dxa"/>
        </w:tcPr>
        <w:p w14:paraId="142216A8" w14:textId="454AB80A" w:rsidR="006A622A" w:rsidRDefault="006A622A" w:rsidP="53004CF4">
          <w:pPr>
            <w:pStyle w:val="Cabealho"/>
            <w:ind w:left="-115"/>
            <w:jc w:val="left"/>
          </w:pPr>
          <w:r>
            <w:t xml:space="preserve">    </w:t>
          </w:r>
        </w:p>
      </w:tc>
      <w:tc>
        <w:tcPr>
          <w:tcW w:w="2235" w:type="dxa"/>
        </w:tcPr>
        <w:p w14:paraId="24DFDAF9" w14:textId="0E440944" w:rsidR="006A622A" w:rsidRDefault="006A622A" w:rsidP="00C1198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345CBA1C">
                <wp:extent cx="792000" cy="532800"/>
                <wp:effectExtent l="0" t="0" r="8255" b="635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1517DBD5" w:rsidR="006A622A" w:rsidRDefault="006A622A" w:rsidP="53004CF4">
          <w:pPr>
            <w:pStyle w:val="Cabealho"/>
            <w:ind w:right="-115"/>
            <w:jc w:val="right"/>
          </w:pPr>
        </w:p>
      </w:tc>
    </w:tr>
  </w:tbl>
  <w:p w14:paraId="5EF8A68C" w14:textId="596C87FA" w:rsidR="006A622A" w:rsidRDefault="006A622A" w:rsidP="53004CF4">
    <w:pPr>
      <w:pStyle w:val="Cabealho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C939" w14:textId="77777777" w:rsidR="006A622A" w:rsidRPr="000C5D03" w:rsidRDefault="006A622A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27D27"/>
    <w:rsid w:val="0003266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6708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26A7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476B2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36819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A3345"/>
    <w:rsid w:val="005E2B5F"/>
    <w:rsid w:val="005F44E2"/>
    <w:rsid w:val="005F799E"/>
    <w:rsid w:val="00607AFB"/>
    <w:rsid w:val="00622252"/>
    <w:rsid w:val="0064371A"/>
    <w:rsid w:val="00645963"/>
    <w:rsid w:val="00657884"/>
    <w:rsid w:val="0066585F"/>
    <w:rsid w:val="006662FD"/>
    <w:rsid w:val="0067167D"/>
    <w:rsid w:val="006920A0"/>
    <w:rsid w:val="00693E37"/>
    <w:rsid w:val="006A622A"/>
    <w:rsid w:val="006B4A97"/>
    <w:rsid w:val="006B778A"/>
    <w:rsid w:val="006C0882"/>
    <w:rsid w:val="006C2AF3"/>
    <w:rsid w:val="006E25C5"/>
    <w:rsid w:val="006E7AC4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0451"/>
    <w:rsid w:val="00831426"/>
    <w:rsid w:val="0083212E"/>
    <w:rsid w:val="0084272D"/>
    <w:rsid w:val="00844F54"/>
    <w:rsid w:val="00850CE9"/>
    <w:rsid w:val="00853A5E"/>
    <w:rsid w:val="00865505"/>
    <w:rsid w:val="00875986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3191A"/>
    <w:rsid w:val="009453DC"/>
    <w:rsid w:val="00946758"/>
    <w:rsid w:val="00953FE8"/>
    <w:rsid w:val="00954C32"/>
    <w:rsid w:val="00955B11"/>
    <w:rsid w:val="009615F2"/>
    <w:rsid w:val="00982050"/>
    <w:rsid w:val="009B4AF9"/>
    <w:rsid w:val="009C44C9"/>
    <w:rsid w:val="009D36A3"/>
    <w:rsid w:val="009D6595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A7FFB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11985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2909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36E8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3102"/>
  <w15:docId w15:val="{FFC3C957-7C0A-468F-8270-05E6470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A16A-8224-465F-BF20-B41FF215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LUAN SANTOS CORREIA</cp:lastModifiedBy>
  <cp:revision>8</cp:revision>
  <dcterms:created xsi:type="dcterms:W3CDTF">2022-10-20T23:16:00Z</dcterms:created>
  <dcterms:modified xsi:type="dcterms:W3CDTF">2022-10-21T02:53:00Z</dcterms:modified>
</cp:coreProperties>
</file>