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0247F" w:rsidRDefault="00391DC2">
      <w:pPr>
        <w:spacing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 LIMPEZA ÉTNICA DA PALESTINA COMO POLÍTICA SIONISTA E O ANIQUILAMENTO DE UMA EXISTÊNCIA NACIONAL </w:t>
      </w:r>
    </w:p>
    <w:p w14:paraId="00000002" w14:textId="77777777" w:rsidR="00B0247F" w:rsidRDefault="00B0247F">
      <w:pPr>
        <w:spacing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14:paraId="00000004" w14:textId="77777777" w:rsidR="00B0247F" w:rsidRDefault="00B0247F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</w:p>
    <w:p w14:paraId="00000005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 processo de expulsão m</w:t>
      </w:r>
      <w:bookmarkStart w:id="0" w:name="_GoBack"/>
      <w:bookmarkEnd w:id="0"/>
      <w:r>
        <w:rPr>
          <w:rFonts w:ascii="Times" w:eastAsia="Times" w:hAnsi="Times" w:cs="Times"/>
          <w:sz w:val="24"/>
          <w:szCs w:val="24"/>
        </w:rPr>
        <w:t>assiva da população palestina do seu território</w:t>
      </w:r>
      <w:r>
        <w:rPr>
          <w:rFonts w:ascii="Times" w:eastAsia="Times" w:hAnsi="Times" w:cs="Times"/>
          <w:color w:val="980000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- localizado em uma região do Oriente Médio situada entre a costa oriental do Mediterrâneo e as atuais fronteiras do Egito, Jordânia, Síria e Líbano - teve início a partir do Plano </w:t>
      </w:r>
      <w:proofErr w:type="spellStart"/>
      <w:r>
        <w:rPr>
          <w:rFonts w:ascii="Times" w:eastAsia="Times" w:hAnsi="Times" w:cs="Times"/>
          <w:sz w:val="24"/>
          <w:szCs w:val="24"/>
        </w:rPr>
        <w:t>Dalet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, elaborado em 1947 pela organização judaica paramilitar </w:t>
      </w:r>
      <w:proofErr w:type="spellStart"/>
      <w:r>
        <w:rPr>
          <w:rFonts w:ascii="Times" w:eastAsia="Times" w:hAnsi="Times" w:cs="Times"/>
          <w:sz w:val="24"/>
          <w:szCs w:val="24"/>
        </w:rPr>
        <w:t>Haganá</w:t>
      </w:r>
      <w:proofErr w:type="spellEnd"/>
      <w:r>
        <w:rPr>
          <w:rFonts w:ascii="Times" w:eastAsia="Times" w:hAnsi="Times" w:cs="Times"/>
          <w:sz w:val="24"/>
          <w:szCs w:val="24"/>
        </w:rPr>
        <w:t>, que v</w:t>
      </w:r>
      <w:r>
        <w:rPr>
          <w:rFonts w:ascii="Times" w:eastAsia="Times" w:hAnsi="Times" w:cs="Times"/>
          <w:sz w:val="24"/>
          <w:szCs w:val="24"/>
        </w:rPr>
        <w:t>isava a total expulsão dos(as) palestinos(as) de sua terra, o que correspondia, à época, a ¾ da população (PAPPÉ, 2017). Com o término do mandato britânico, em 14 de maio de 1948, a Agência Judaica imediatamente declarou o estabelecimento de um Estado jude</w:t>
      </w:r>
      <w:r>
        <w:rPr>
          <w:rFonts w:ascii="Times" w:eastAsia="Times" w:hAnsi="Times" w:cs="Times"/>
          <w:sz w:val="24"/>
          <w:szCs w:val="24"/>
        </w:rPr>
        <w:t>u na Palestina, oficialmente reconhecido pelas maiores potências desse período, os Estados Unidos da América e a União Soviética. No dia seguinte, iniciou-se o massacre realizado pelo Estado de Israel, resultando na expulsão massiva de, aproximadamente, 75</w:t>
      </w:r>
      <w:r>
        <w:rPr>
          <w:rFonts w:ascii="Times" w:eastAsia="Times" w:hAnsi="Times" w:cs="Times"/>
          <w:sz w:val="24"/>
          <w:szCs w:val="24"/>
        </w:rPr>
        <w:t xml:space="preserve">0.000 palestinos(as) (SAID, 1992). </w:t>
      </w:r>
    </w:p>
    <w:p w14:paraId="00000006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color w:val="E06666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Esse fenômeno, chamado </w:t>
      </w:r>
      <w:proofErr w:type="spellStart"/>
      <w:r>
        <w:rPr>
          <w:rFonts w:ascii="Times" w:eastAsia="Times" w:hAnsi="Times" w:cs="Times"/>
          <w:sz w:val="24"/>
          <w:szCs w:val="24"/>
        </w:rPr>
        <w:t>Nakba</w:t>
      </w:r>
      <w:proofErr w:type="spellEnd"/>
      <w:r>
        <w:rPr>
          <w:rFonts w:ascii="Times" w:eastAsia="Times" w:hAnsi="Times" w:cs="Times"/>
          <w:sz w:val="24"/>
          <w:szCs w:val="24"/>
        </w:rPr>
        <w:t>, caracteriza um processo de limpeza étnica, encabeçado pela ideologia sionista, que perdura até os dias atuais. Tal ideologia, surgida em 1880, possui o projeto de ocupar a maior parcela da P</w:t>
      </w:r>
      <w:r>
        <w:rPr>
          <w:rFonts w:ascii="Times" w:eastAsia="Times" w:hAnsi="Times" w:cs="Times"/>
          <w:sz w:val="24"/>
          <w:szCs w:val="24"/>
        </w:rPr>
        <w:t>alestina com o menor número possível de palestinos(as) nesse território, é dizer, trata-se de um projeto nacionalista que almejava, e ainda almeja, erigir um território habitado essencialmente por uma população étnica, cultural e linguisticamente homogênea</w:t>
      </w:r>
      <w:r>
        <w:rPr>
          <w:rFonts w:ascii="Times" w:eastAsia="Times" w:hAnsi="Times" w:cs="Times"/>
          <w:sz w:val="24"/>
          <w:szCs w:val="24"/>
        </w:rPr>
        <w:t xml:space="preserve">, qual seja, a judaica-israelense (PAPPÉ, 2017). Esse projeto acarreta uma série de impactos e consequências, como a criação de refugiados (estima-se que a diáspora palestina, até 2012, era de, aproximadamente, 4 milhões de </w:t>
      </w:r>
      <w:proofErr w:type="spellStart"/>
      <w:r>
        <w:rPr>
          <w:rFonts w:ascii="Times" w:eastAsia="Times" w:hAnsi="Times" w:cs="Times"/>
          <w:sz w:val="24"/>
          <w:szCs w:val="24"/>
        </w:rPr>
        <w:t>àrabe</w:t>
      </w:r>
      <w:proofErr w:type="spellEnd"/>
      <w:r>
        <w:rPr>
          <w:rFonts w:ascii="Times" w:eastAsia="Times" w:hAnsi="Times" w:cs="Times"/>
          <w:sz w:val="24"/>
          <w:szCs w:val="24"/>
        </w:rPr>
        <w:t>-palestinos(as) e que, hoje</w:t>
      </w:r>
      <w:r>
        <w:rPr>
          <w:rFonts w:ascii="Times" w:eastAsia="Times" w:hAnsi="Times" w:cs="Times"/>
          <w:sz w:val="24"/>
          <w:szCs w:val="24"/>
        </w:rPr>
        <w:t>, esse número seja exorbitantemente maior); a profunda afetação da vida quotidiana dos(as) palestinos(as), com a destruição de seus lares e a limitação - e por vezes absoluta restrição - do seu direito de ir e vir dentro de seu próprio território com a cri</w:t>
      </w:r>
      <w:r>
        <w:rPr>
          <w:rFonts w:ascii="Times" w:eastAsia="Times" w:hAnsi="Times" w:cs="Times"/>
          <w:sz w:val="24"/>
          <w:szCs w:val="24"/>
        </w:rPr>
        <w:t xml:space="preserve">ação dos </w:t>
      </w:r>
      <w:r>
        <w:rPr>
          <w:rFonts w:ascii="Times" w:eastAsia="Times" w:hAnsi="Times" w:cs="Times"/>
          <w:i/>
          <w:sz w:val="24"/>
          <w:szCs w:val="24"/>
        </w:rPr>
        <w:t xml:space="preserve">checkpoints </w:t>
      </w:r>
      <w:r>
        <w:rPr>
          <w:rFonts w:ascii="Times" w:eastAsia="Times" w:hAnsi="Times" w:cs="Times"/>
          <w:sz w:val="24"/>
          <w:szCs w:val="24"/>
        </w:rPr>
        <w:t>israelenses; a limitação da água e da luz elétrica em Gaza e na Cisjordânia (israelenses têm quatro vezes mais acesso à água do que palestinos(as) e 90% da água em Gaza é imprópria para consumo), o aprisionamento de crianças; entre tan</w:t>
      </w:r>
      <w:r>
        <w:rPr>
          <w:rFonts w:ascii="Times" w:eastAsia="Times" w:hAnsi="Times" w:cs="Times"/>
          <w:sz w:val="24"/>
          <w:szCs w:val="24"/>
        </w:rPr>
        <w:t xml:space="preserve">tos outros resultados dessa política desumana (SAID, 2012). Também é mister destacar que os(as) palestinos(as) estão condicionados(as) a um sistema de apartheid (considerado um crime contra a humanidade, conforme dispõe o artigo 7.1.j do Estatuto de Roma) </w:t>
      </w:r>
      <w:r>
        <w:rPr>
          <w:rFonts w:ascii="Times" w:eastAsia="Times" w:hAnsi="Times" w:cs="Times"/>
          <w:sz w:val="24"/>
          <w:szCs w:val="24"/>
        </w:rPr>
        <w:t>como, à guisa de exemplo, é possível comprovar com a ocupação militar israelense na Cisjordânia e o controle de fronteiras, do espaço aéreo e marítimo israelense na Faixa de Gaza.</w:t>
      </w:r>
    </w:p>
    <w:p w14:paraId="00000007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Ademais, a </w:t>
      </w:r>
      <w:proofErr w:type="spellStart"/>
      <w:r>
        <w:rPr>
          <w:rFonts w:ascii="Times" w:eastAsia="Times" w:hAnsi="Times" w:cs="Times"/>
          <w:sz w:val="24"/>
          <w:szCs w:val="24"/>
        </w:rPr>
        <w:t>Nakba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impede que os palestinos retornem ao seu território, o qual</w:t>
      </w:r>
      <w:r>
        <w:rPr>
          <w:rFonts w:ascii="Times" w:eastAsia="Times" w:hAnsi="Times" w:cs="Times"/>
          <w:sz w:val="24"/>
          <w:szCs w:val="24"/>
        </w:rPr>
        <w:t xml:space="preserve"> foi delimitado pelas Nações Unidas, em Resoluções como a 194, ratificada 28 vezes, como ilegítimo. Desde 1948 o território da Palestina vem sendo ocupado, ilegalmente, por Israel. Até 1946, calcula-se que a Palestina era habitada por, pelo menos, 1,2 milh</w:t>
      </w:r>
      <w:r>
        <w:rPr>
          <w:rFonts w:ascii="Times" w:eastAsia="Times" w:hAnsi="Times" w:cs="Times"/>
          <w:sz w:val="24"/>
          <w:szCs w:val="24"/>
        </w:rPr>
        <w:t xml:space="preserve">ões de árabes e 608 mil judeus. Em 1948, através da Resolução 181 das Nações Unidas, partilhou-se a Palestina em que 53% do território seria destinado aos judeus e 47% aos palestinos(as). Com a </w:t>
      </w:r>
      <w:proofErr w:type="spellStart"/>
      <w:r>
        <w:rPr>
          <w:rFonts w:ascii="Times" w:eastAsia="Times" w:hAnsi="Times" w:cs="Times"/>
          <w:sz w:val="24"/>
          <w:szCs w:val="24"/>
        </w:rPr>
        <w:t>Nakba</w:t>
      </w:r>
      <w:proofErr w:type="spellEnd"/>
      <w:r>
        <w:rPr>
          <w:rFonts w:ascii="Times" w:eastAsia="Times" w:hAnsi="Times" w:cs="Times"/>
          <w:sz w:val="24"/>
          <w:szCs w:val="24"/>
        </w:rPr>
        <w:t>, o território israelense aumenta consideravelmente e, em</w:t>
      </w:r>
      <w:r>
        <w:rPr>
          <w:rFonts w:ascii="Times" w:eastAsia="Times" w:hAnsi="Times" w:cs="Times"/>
          <w:sz w:val="24"/>
          <w:szCs w:val="24"/>
        </w:rPr>
        <w:t xml:space="preserve"> 1967, com a Guerra dos seis dias, ocupa-se uma grande e importante parcela da Palestina, indo em sentido contrário ao determinado pelas Nações Unidas, na Resolução 242 e pela Corte Internacional de Justiça, na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Advisory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Opinion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883, que ordenam a retirada </w:t>
      </w:r>
      <w:r>
        <w:rPr>
          <w:rFonts w:ascii="Times" w:eastAsia="Times" w:hAnsi="Times" w:cs="Times"/>
          <w:sz w:val="24"/>
          <w:szCs w:val="24"/>
        </w:rPr>
        <w:t>do Estado de Israel desses territórios (PAPPÉ, 2017).</w:t>
      </w:r>
    </w:p>
    <w:p w14:paraId="00000008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Entretanto, todo ser humano possui, conforme dispõem as normativas internacionais, o direito de retornar à sua terra, garantia negada por parte do Estado israelense em aras de que haja uma minoria demog</w:t>
      </w:r>
      <w:r>
        <w:rPr>
          <w:rFonts w:ascii="Times" w:eastAsia="Times" w:hAnsi="Times" w:cs="Times"/>
          <w:sz w:val="24"/>
          <w:szCs w:val="24"/>
        </w:rPr>
        <w:t>ráfica palestina no local e que, assim, se concretize o projeto sionista (CHOMSKY; PAPPÉ, 2015). A moldura jurídica dessas garantias abarca a Resolução 194 da Organização das Nações Unidas - ratificada 28 vezes - a qual determina o retorno incondicional do</w:t>
      </w:r>
      <w:r>
        <w:rPr>
          <w:rFonts w:ascii="Times" w:eastAsia="Times" w:hAnsi="Times" w:cs="Times"/>
          <w:sz w:val="24"/>
          <w:szCs w:val="24"/>
        </w:rPr>
        <w:t>s(as) refugiados(as) à sua terra natal; a Declaração Universal dos Direitos Humanos que, em seu artigo 13.2, estabelece que não só todo ser humano tem o direito de deixar qualquer país (inclusive o próprio), como também de a ele regressar; o Pacto Internac</w:t>
      </w:r>
      <w:r>
        <w:rPr>
          <w:rFonts w:ascii="Times" w:eastAsia="Times" w:hAnsi="Times" w:cs="Times"/>
          <w:sz w:val="24"/>
          <w:szCs w:val="24"/>
        </w:rPr>
        <w:t xml:space="preserve">ional de Direitos Civis e Políticos, que assegura o direito, em seu artigo 12, a entrar em seu próprio país, além de diversas outras Resoluções Internacionais e decisões da Corte Internacional de Justiça, como a </w:t>
      </w:r>
      <w:proofErr w:type="spellStart"/>
      <w:r>
        <w:rPr>
          <w:rFonts w:ascii="Times" w:eastAsia="Times" w:hAnsi="Times" w:cs="Times"/>
          <w:sz w:val="24"/>
          <w:szCs w:val="24"/>
        </w:rPr>
        <w:t>Resulção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194 das Nações Unidas, aa Resolução</w:t>
      </w:r>
      <w:r>
        <w:rPr>
          <w:rFonts w:ascii="Times" w:eastAsia="Times" w:hAnsi="Times" w:cs="Times"/>
          <w:sz w:val="24"/>
          <w:szCs w:val="24"/>
        </w:rPr>
        <w:t xml:space="preserve"> 242 também das Nações Unidas e a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Advisory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i/>
          <w:sz w:val="24"/>
          <w:szCs w:val="24"/>
        </w:rPr>
        <w:t>Opinion</w:t>
      </w:r>
      <w:proofErr w:type="spellEnd"/>
      <w:r>
        <w:rPr>
          <w:rFonts w:ascii="Times" w:eastAsia="Times" w:hAnsi="Times" w:cs="Times"/>
          <w:i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>883 da Corte Internacional de Justiça de 2004 (SAID, 1992).</w:t>
      </w:r>
    </w:p>
    <w:p w14:paraId="00000009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Desta forma, o presente estudo tem como objetivo geral analisar se os descumprimentos das normativas internacionais mencionadas acarretaram, perc</w:t>
      </w:r>
      <w:r>
        <w:rPr>
          <w:rFonts w:ascii="Times" w:eastAsia="Times" w:hAnsi="Times" w:cs="Times"/>
          <w:sz w:val="24"/>
          <w:szCs w:val="24"/>
        </w:rPr>
        <w:t xml:space="preserve">eptivelmente, impactos simbólicos e materiais, seja direta ou indiretamente, sobre a </w:t>
      </w:r>
      <w:proofErr w:type="spellStart"/>
      <w:r>
        <w:rPr>
          <w:rFonts w:ascii="Times" w:eastAsia="Times" w:hAnsi="Times" w:cs="Times"/>
          <w:sz w:val="24"/>
          <w:szCs w:val="24"/>
        </w:rPr>
        <w:t>impunibilidade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sobre os(as) palestinos(as) em relação a esse processo de limpeza étnica. Para tanto, analisa-se o processo de expulsão massiva da população palestina, o de</w:t>
      </w:r>
      <w:r>
        <w:rPr>
          <w:rFonts w:ascii="Times" w:eastAsia="Times" w:hAnsi="Times" w:cs="Times"/>
          <w:sz w:val="24"/>
          <w:szCs w:val="24"/>
        </w:rPr>
        <w:t>scumprimento do direito de retorno previsto nas normativas internacionais e suas consequências sociais e políticas. Enquanto hipótese se tem que o descumprimento desses direitos é resultado de um processo de rejeição dos(as) palestinos(as), que são pessoas</w:t>
      </w:r>
      <w:r>
        <w:rPr>
          <w:rFonts w:ascii="Times" w:eastAsia="Times" w:hAnsi="Times" w:cs="Times"/>
          <w:sz w:val="24"/>
          <w:szCs w:val="24"/>
        </w:rPr>
        <w:t xml:space="preserve"> consideradas localmente intoleráveis, como um “detalhe” que deverá ser varrido para que um projeto grandioso e desumano se concretize. Em relação às técnicas de pesquisa, se utiliza a revisão bibliográfica, valendo-se de referências de pesquisas críticas </w:t>
      </w:r>
      <w:r>
        <w:rPr>
          <w:rFonts w:ascii="Times" w:eastAsia="Times" w:hAnsi="Times" w:cs="Times"/>
          <w:sz w:val="24"/>
          <w:szCs w:val="24"/>
        </w:rPr>
        <w:t>do Direito Internacional e dos Direitos Humanos, assim como intelectuais que se dedicam à análise da jurisprudência e sua influência na realidade social desse povo.</w:t>
      </w:r>
    </w:p>
    <w:p w14:paraId="0000000A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>Embora o estudo se encontre em fase embrionária, é possível aferir que o projeto sionista d</w:t>
      </w:r>
      <w:r>
        <w:rPr>
          <w:rFonts w:ascii="Times" w:eastAsia="Times" w:hAnsi="Times" w:cs="Times"/>
          <w:sz w:val="24"/>
          <w:szCs w:val="24"/>
        </w:rPr>
        <w:t>estituiu os(as) palestinos(as) de sua pátria, de sua identidade nacional e de sua cultura. O resultado desse projeto condiciona esses seres humanos a uma realidade inabitável pois condicionados a um projeto colonialista, de apartheid e de limpeza étnica. O</w:t>
      </w:r>
      <w:r>
        <w:rPr>
          <w:rFonts w:ascii="Times" w:eastAsia="Times" w:hAnsi="Times" w:cs="Times"/>
          <w:sz w:val="24"/>
          <w:szCs w:val="24"/>
        </w:rPr>
        <w:t xml:space="preserve"> futuro dessa população é, hoje, incerto e desconhecido, apesar de que em certa medida previsível, devido às ações empreendidas há décadas e ao apoio incondicional dos Estados Unidos da América. Há, ainda, o impasse de qual seria a melhor solução alcançáve</w:t>
      </w:r>
      <w:r>
        <w:rPr>
          <w:rFonts w:ascii="Times" w:eastAsia="Times" w:hAnsi="Times" w:cs="Times"/>
          <w:sz w:val="24"/>
          <w:szCs w:val="24"/>
        </w:rPr>
        <w:t>l para as populações palestina e israelense, na qual é esperado que a coexistência pacífica seja o resultado, dispensando-se a anulação de um povo pelo outro. Para tanto, é indispensável que o Estado israelense cumpra com as inúmeras recomendações internac</w:t>
      </w:r>
      <w:r>
        <w:rPr>
          <w:rFonts w:ascii="Times" w:eastAsia="Times" w:hAnsi="Times" w:cs="Times"/>
          <w:sz w:val="24"/>
          <w:szCs w:val="24"/>
        </w:rPr>
        <w:t xml:space="preserve">ionais e, impreterivelmente, garanta o direito de retorno dos(das) palestinos(as) às suas terras, em aras de que a justiça seja, para ambos os polos, o ponto nodal e a finalidade máxima a ser seguida. </w:t>
      </w:r>
    </w:p>
    <w:p w14:paraId="0000000B" w14:textId="77777777" w:rsidR="00B0247F" w:rsidRDefault="00391DC2">
      <w:pPr>
        <w:spacing w:line="36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Palavras-chave: limpeza étnica. Palestina. impacto soc</w:t>
      </w:r>
      <w:r>
        <w:rPr>
          <w:rFonts w:ascii="Times" w:eastAsia="Times" w:hAnsi="Times" w:cs="Times"/>
          <w:sz w:val="24"/>
          <w:szCs w:val="24"/>
        </w:rPr>
        <w:t>ial.</w:t>
      </w:r>
    </w:p>
    <w:p w14:paraId="0000000C" w14:textId="77777777" w:rsidR="00B0247F" w:rsidRDefault="00B0247F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</w:p>
    <w:p w14:paraId="0000000D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REFERÊNCIAS</w:t>
      </w:r>
    </w:p>
    <w:p w14:paraId="0000000E" w14:textId="77777777" w:rsidR="00B0247F" w:rsidRPr="00391DC2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  <w:lang w:val="es-PY"/>
        </w:rPr>
      </w:pPr>
      <w:r>
        <w:rPr>
          <w:rFonts w:ascii="Times" w:eastAsia="Times" w:hAnsi="Times" w:cs="Times"/>
          <w:sz w:val="24"/>
          <w:szCs w:val="24"/>
        </w:rPr>
        <w:t xml:space="preserve">CHOMSKY, Noam; PAPPÉ, Ilan. </w:t>
      </w:r>
      <w:r w:rsidRPr="00391DC2">
        <w:rPr>
          <w:rFonts w:ascii="Times" w:eastAsia="Times" w:hAnsi="Times" w:cs="Times"/>
          <w:b/>
          <w:sz w:val="24"/>
          <w:szCs w:val="24"/>
          <w:lang w:val="es-PY"/>
        </w:rPr>
        <w:t>On Palestine</w:t>
      </w:r>
      <w:r w:rsidRPr="00391DC2">
        <w:rPr>
          <w:rFonts w:ascii="Times" w:eastAsia="Times" w:hAnsi="Times" w:cs="Times"/>
          <w:sz w:val="24"/>
          <w:szCs w:val="24"/>
          <w:lang w:val="es-PY"/>
        </w:rPr>
        <w:t>. Haymarket Books. Chicago, Illinois, 2015.</w:t>
      </w:r>
    </w:p>
    <w:p w14:paraId="0000000F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 w:rsidRPr="00391DC2">
        <w:rPr>
          <w:rFonts w:ascii="Times" w:eastAsia="Times" w:hAnsi="Times" w:cs="Times"/>
          <w:sz w:val="24"/>
          <w:szCs w:val="24"/>
          <w:lang w:val="es-PY"/>
        </w:rPr>
        <w:t xml:space="preserve">International Court of Justice. </w:t>
      </w:r>
      <w:r w:rsidRPr="00391DC2">
        <w:rPr>
          <w:rFonts w:ascii="Times" w:eastAsia="Times" w:hAnsi="Times" w:cs="Times"/>
          <w:b/>
          <w:sz w:val="24"/>
          <w:szCs w:val="24"/>
          <w:lang w:val="es-PY"/>
        </w:rPr>
        <w:t>Legal Consequences of the Construction of a Wall in the Occupied Palestinian Territory</w:t>
      </w:r>
      <w:r w:rsidRPr="00391DC2">
        <w:rPr>
          <w:rFonts w:ascii="Times" w:eastAsia="Times" w:hAnsi="Times" w:cs="Times"/>
          <w:sz w:val="24"/>
          <w:szCs w:val="24"/>
          <w:lang w:val="es-PY"/>
        </w:rPr>
        <w:t xml:space="preserve">. </w:t>
      </w:r>
      <w:r>
        <w:rPr>
          <w:rFonts w:ascii="Times" w:eastAsia="Times" w:hAnsi="Times" w:cs="Times"/>
          <w:sz w:val="24"/>
          <w:szCs w:val="24"/>
        </w:rPr>
        <w:t xml:space="preserve">Sales </w:t>
      </w:r>
      <w:proofErr w:type="spellStart"/>
      <w:r>
        <w:rPr>
          <w:rFonts w:ascii="Times" w:eastAsia="Times" w:hAnsi="Times" w:cs="Times"/>
          <w:sz w:val="24"/>
          <w:szCs w:val="24"/>
        </w:rPr>
        <w:t>number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883. 2004.</w:t>
      </w:r>
    </w:p>
    <w:p w14:paraId="00000010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ONU. </w:t>
      </w:r>
      <w:proofErr w:type="spellStart"/>
      <w:r>
        <w:rPr>
          <w:rFonts w:ascii="Times" w:eastAsia="Times" w:hAnsi="Times" w:cs="Times"/>
          <w:sz w:val="24"/>
          <w:szCs w:val="24"/>
        </w:rPr>
        <w:t>Assem</w:t>
      </w:r>
      <w:r>
        <w:rPr>
          <w:rFonts w:ascii="Times" w:eastAsia="Times" w:hAnsi="Times" w:cs="Times"/>
          <w:sz w:val="24"/>
          <w:szCs w:val="24"/>
        </w:rPr>
        <w:t>bléia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Geral. </w:t>
      </w:r>
      <w:r>
        <w:rPr>
          <w:rFonts w:ascii="Times" w:eastAsia="Times" w:hAnsi="Times" w:cs="Times"/>
          <w:b/>
          <w:sz w:val="24"/>
          <w:szCs w:val="24"/>
        </w:rPr>
        <w:t>Resolução N.º 181</w:t>
      </w:r>
      <w:r>
        <w:rPr>
          <w:rFonts w:ascii="Times" w:eastAsia="Times" w:hAnsi="Times" w:cs="Times"/>
          <w:sz w:val="24"/>
          <w:szCs w:val="24"/>
        </w:rPr>
        <w:t>. 1947.</w:t>
      </w:r>
    </w:p>
    <w:p w14:paraId="00000011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ONU. </w:t>
      </w:r>
      <w:proofErr w:type="spellStart"/>
      <w:r>
        <w:rPr>
          <w:rFonts w:ascii="Times" w:eastAsia="Times" w:hAnsi="Times" w:cs="Times"/>
          <w:sz w:val="24"/>
          <w:szCs w:val="24"/>
        </w:rPr>
        <w:t>Assembléia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Geral. </w:t>
      </w:r>
      <w:r>
        <w:rPr>
          <w:rFonts w:ascii="Times" w:eastAsia="Times" w:hAnsi="Times" w:cs="Times"/>
          <w:b/>
          <w:sz w:val="24"/>
          <w:szCs w:val="24"/>
        </w:rPr>
        <w:t>Resolução N.º 194</w:t>
      </w:r>
      <w:r>
        <w:rPr>
          <w:rFonts w:ascii="Times" w:eastAsia="Times" w:hAnsi="Times" w:cs="Times"/>
          <w:sz w:val="24"/>
          <w:szCs w:val="24"/>
        </w:rPr>
        <w:t>. 1948.</w:t>
      </w:r>
    </w:p>
    <w:p w14:paraId="00000012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ONU. </w:t>
      </w:r>
      <w:proofErr w:type="spellStart"/>
      <w:r>
        <w:rPr>
          <w:rFonts w:ascii="Times" w:eastAsia="Times" w:hAnsi="Times" w:cs="Times"/>
          <w:sz w:val="24"/>
          <w:szCs w:val="24"/>
        </w:rPr>
        <w:t>Assembléia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Geral. </w:t>
      </w:r>
      <w:r>
        <w:rPr>
          <w:rFonts w:ascii="Times" w:eastAsia="Times" w:hAnsi="Times" w:cs="Times"/>
          <w:b/>
          <w:sz w:val="24"/>
          <w:szCs w:val="24"/>
        </w:rPr>
        <w:t>Resolução Nº. 242</w:t>
      </w:r>
      <w:r>
        <w:rPr>
          <w:rFonts w:ascii="Times" w:eastAsia="Times" w:hAnsi="Times" w:cs="Times"/>
          <w:sz w:val="24"/>
          <w:szCs w:val="24"/>
        </w:rPr>
        <w:t>. 1967.</w:t>
      </w:r>
    </w:p>
    <w:p w14:paraId="00000013" w14:textId="77777777" w:rsidR="00B0247F" w:rsidRPr="00391DC2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  <w:lang w:val="es-PY"/>
        </w:rPr>
      </w:pPr>
      <w:r>
        <w:rPr>
          <w:rFonts w:ascii="Times" w:eastAsia="Times" w:hAnsi="Times" w:cs="Times"/>
          <w:sz w:val="24"/>
          <w:szCs w:val="24"/>
        </w:rPr>
        <w:t xml:space="preserve">PAPPÉ, Ilan.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Ten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Myths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</w:t>
      </w:r>
      <w:proofErr w:type="spellStart"/>
      <w:r>
        <w:rPr>
          <w:rFonts w:ascii="Times" w:eastAsia="Times" w:hAnsi="Times" w:cs="Times"/>
          <w:b/>
          <w:sz w:val="24"/>
          <w:szCs w:val="24"/>
        </w:rPr>
        <w:t>about</w:t>
      </w:r>
      <w:proofErr w:type="spellEnd"/>
      <w:r>
        <w:rPr>
          <w:rFonts w:ascii="Times" w:eastAsia="Times" w:hAnsi="Times" w:cs="Times"/>
          <w:b/>
          <w:sz w:val="24"/>
          <w:szCs w:val="24"/>
        </w:rPr>
        <w:t xml:space="preserve"> Israel</w:t>
      </w:r>
      <w:r>
        <w:rPr>
          <w:rFonts w:ascii="Times" w:eastAsia="Times" w:hAnsi="Times" w:cs="Times"/>
          <w:sz w:val="24"/>
          <w:szCs w:val="24"/>
        </w:rPr>
        <w:t xml:space="preserve">. </w:t>
      </w:r>
      <w:r w:rsidRPr="00391DC2">
        <w:rPr>
          <w:rFonts w:ascii="Times" w:eastAsia="Times" w:hAnsi="Times" w:cs="Times"/>
          <w:sz w:val="24"/>
          <w:szCs w:val="24"/>
          <w:lang w:val="es-PY"/>
        </w:rPr>
        <w:t>Verso Publishing Company. London, United Kingdom, 2017.</w:t>
      </w:r>
    </w:p>
    <w:p w14:paraId="00000014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SAID, Edward W. </w:t>
      </w:r>
      <w:r>
        <w:rPr>
          <w:rFonts w:ascii="Times" w:eastAsia="Times" w:hAnsi="Times" w:cs="Times"/>
          <w:b/>
          <w:sz w:val="24"/>
          <w:szCs w:val="24"/>
        </w:rPr>
        <w:t>A Questão da Palestina</w:t>
      </w:r>
      <w:r>
        <w:rPr>
          <w:rFonts w:ascii="Times" w:eastAsia="Times" w:hAnsi="Times" w:cs="Times"/>
          <w:sz w:val="24"/>
          <w:szCs w:val="24"/>
        </w:rPr>
        <w:t>. Editora UNESP. São Paulo, Brasil, 1992.</w:t>
      </w:r>
    </w:p>
    <w:p w14:paraId="00000015" w14:textId="77777777" w:rsidR="00B0247F" w:rsidRDefault="00391DC2">
      <w:pPr>
        <w:spacing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 </w:t>
      </w:r>
    </w:p>
    <w:p w14:paraId="00000016" w14:textId="77777777" w:rsidR="00B0247F" w:rsidRDefault="00B0247F">
      <w:pPr>
        <w:spacing w:line="360" w:lineRule="auto"/>
        <w:jc w:val="center"/>
        <w:rPr>
          <w:rFonts w:ascii="Times" w:eastAsia="Times" w:hAnsi="Times" w:cs="Times"/>
          <w:sz w:val="24"/>
          <w:szCs w:val="24"/>
        </w:rPr>
      </w:pPr>
    </w:p>
    <w:sectPr w:rsidR="00B024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7F"/>
    <w:rsid w:val="00391DC2"/>
    <w:rsid w:val="00B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6204"/>
  <w15:docId w15:val="{46376CFB-F2DA-47FB-ADB4-99FE327A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AB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5ABB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A7A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7A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A7A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7A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7A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V9/Pq5yAJI8DKrQH5uXH/nNBQ==">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Helil Aguiar</cp:lastModifiedBy>
  <cp:revision>2</cp:revision>
  <dcterms:created xsi:type="dcterms:W3CDTF">2020-11-04T21:27:00Z</dcterms:created>
  <dcterms:modified xsi:type="dcterms:W3CDTF">2020-11-17T22:23:00Z</dcterms:modified>
</cp:coreProperties>
</file>