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Proposta pedagógica para o ensino de química: diálogo entre saberes populares e científico dos tons dos frutos amazônicos.</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Bárbara Lúcia da Silva Miranda</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Instituto Federal de Educação, Ciência e </w:t>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Tecnologia do Amazonas - IFAM  </w:t>
      </w:r>
    </w:p>
    <w:p w:rsidR="00000000" w:rsidDel="00000000" w:rsidP="00000000" w:rsidRDefault="00000000" w:rsidRPr="00000000" w14:paraId="00000005">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Graduanda em licenciatura em química</w:t>
      </w:r>
    </w:p>
    <w:p w:rsidR="00000000" w:rsidDel="00000000" w:rsidP="00000000" w:rsidRDefault="00000000" w:rsidRPr="00000000" w14:paraId="00000006">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e-mail - 2022005437@ifam.edu.br</w:t>
      </w:r>
    </w:p>
    <w:p w:rsidR="00000000" w:rsidDel="00000000" w:rsidP="00000000" w:rsidRDefault="00000000" w:rsidRPr="00000000" w14:paraId="00000007">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8">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Kátia Maria Guimarães Costa</w:t>
      </w:r>
    </w:p>
    <w:p w:rsidR="00000000" w:rsidDel="00000000" w:rsidP="00000000" w:rsidRDefault="00000000" w:rsidRPr="00000000" w14:paraId="00000009">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Instituto Federal de Educação, Ciência e </w:t>
      </w:r>
    </w:p>
    <w:p w:rsidR="00000000" w:rsidDel="00000000" w:rsidP="00000000" w:rsidRDefault="00000000" w:rsidRPr="00000000" w14:paraId="0000000A">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Tecnologia do Amazonas - IFAM</w:t>
      </w:r>
    </w:p>
    <w:p w:rsidR="00000000" w:rsidDel="00000000" w:rsidP="00000000" w:rsidRDefault="00000000" w:rsidRPr="00000000" w14:paraId="0000000B">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Doutora em Educação - PPGECEM/UFMT</w:t>
      </w:r>
    </w:p>
    <w:p w:rsidR="00000000" w:rsidDel="00000000" w:rsidP="00000000" w:rsidRDefault="00000000" w:rsidRPr="00000000" w14:paraId="0000000C">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002f3c"/>
          <w:sz w:val="20"/>
          <w:szCs w:val="20"/>
        </w:rPr>
      </w:pPr>
      <w:r w:rsidDel="00000000" w:rsidR="00000000" w:rsidRPr="00000000">
        <w:rPr>
          <w:rFonts w:ascii="Arial" w:cs="Arial" w:eastAsia="Arial" w:hAnsi="Arial"/>
          <w:b w:val="1"/>
          <w:color w:val="002f3c"/>
          <w:sz w:val="20"/>
          <w:szCs w:val="20"/>
          <w:rtl w:val="0"/>
        </w:rPr>
        <w:t xml:space="preserve">Eixo 01:</w:t>
      </w:r>
      <w:r w:rsidDel="00000000" w:rsidR="00000000" w:rsidRPr="00000000">
        <w:rPr>
          <w:rFonts w:ascii="Arial" w:cs="Arial" w:eastAsia="Arial" w:hAnsi="Arial"/>
          <w:color w:val="002f3c"/>
          <w:sz w:val="20"/>
          <w:szCs w:val="20"/>
          <w:rtl w:val="0"/>
        </w:rPr>
        <w:t xml:space="preserve">Inovação e Educação: pesquisas sobre as tecnologias em contextos amazônicos: explorar metodologias; processos educativos inovadores; experiências, práticas; tecnologias em espaços educacionais amazônicos</w:t>
      </w:r>
    </w:p>
    <w:p w:rsidR="00000000" w:rsidDel="00000000" w:rsidP="00000000" w:rsidRDefault="00000000" w:rsidRPr="00000000" w14:paraId="0000000E">
      <w:pPr>
        <w:spacing w:after="0" w:line="240" w:lineRule="auto"/>
        <w:rPr>
          <w:rFonts w:ascii="Arial" w:cs="Arial" w:eastAsia="Arial" w:hAnsi="Arial"/>
          <w:color w:val="002f3c"/>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color w:val="002f3c"/>
        </w:rPr>
      </w:pPr>
      <w:r w:rsidDel="00000000" w:rsidR="00000000" w:rsidRPr="00000000">
        <w:rPr>
          <w:rFonts w:ascii="Arial" w:cs="Arial" w:eastAsia="Arial" w:hAnsi="Arial"/>
          <w:b w:val="1"/>
          <w:color w:val="002f3c"/>
          <w:rtl w:val="0"/>
        </w:rPr>
        <w:t xml:space="preserve">Resumo:</w:t>
      </w:r>
    </w:p>
    <w:p w:rsidR="00000000" w:rsidDel="00000000" w:rsidP="00000000" w:rsidRDefault="00000000" w:rsidRPr="00000000" w14:paraId="00000010">
      <w:pPr>
        <w:spacing w:after="0" w:line="240" w:lineRule="auto"/>
        <w:jc w:val="both"/>
        <w:rPr>
          <w:rFonts w:ascii="Arial" w:cs="Arial" w:eastAsia="Arial" w:hAnsi="Arial"/>
          <w:b w:val="1"/>
          <w:color w:val="002f3c"/>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O artigo apresenta uma proposta pedagógica para o ensino de Química fundamentada no diálogo entre saberes populares e saberes científicos, com enfoque na abordagem Ciência-Tecnologia-Sociedade (CTS) e na Alfabetização Científica e Tecnológica (ACT). A pesquisa qualitativa, de caráter exploratório e descritivo, investigou como os conhecimentos tradicionais, especialmente os relacionados aos frutos amazônicos e seus pigmentos bioativos, podem ser integrados ao ensino formal para promover aprendizagem significativa, mudança de perfil conceitual e formação cidadã crítica. O trabalho destaca o uso de metodologias ativas, como elaboração de infográficos e rodas de conversa, para articular mitos populares, práticas culturais e conceitos químicos.Essa integração valoriza a diversidade cultural, motiva os estudantes, contextualiza os conteúdos e fortalece a construção de um conhecimento mais reflexivo e conectado à realidade amazônica.</w:t>
      </w:r>
    </w:p>
    <w:p w:rsidR="00000000" w:rsidDel="00000000" w:rsidP="00000000" w:rsidRDefault="00000000" w:rsidRPr="00000000" w14:paraId="00000012">
      <w:pPr>
        <w:spacing w:after="0" w:line="240" w:lineRule="auto"/>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Palavras-chave: Ensino de Química; Saberes populares; Saberes científicos; Abordagem CTS; Alfabetização Científica e Tecnológica; Frutos amazônicos.</w:t>
      </w:r>
    </w:p>
    <w:p w:rsidR="00000000" w:rsidDel="00000000" w:rsidP="00000000" w:rsidRDefault="00000000" w:rsidRPr="00000000" w14:paraId="00000014">
      <w:pPr>
        <w:spacing w:line="240" w:lineRule="auto"/>
        <w:jc w:val="right"/>
        <w:rPr>
          <w:rFonts w:ascii="Arial" w:cs="Arial" w:eastAsia="Arial" w:hAnsi="Arial"/>
          <w:b w:val="1"/>
          <w:color w:val="002f3c"/>
        </w:rPr>
      </w:pPr>
      <w:r w:rsidDel="00000000" w:rsidR="00000000" w:rsidRPr="00000000">
        <w:rPr>
          <w:rFonts w:ascii="Arial" w:cs="Arial" w:eastAsia="Arial" w:hAnsi="Arial"/>
          <w:b w:val="1"/>
          <w:color w:val="002f3c"/>
          <w:rtl w:val="0"/>
        </w:rPr>
        <w:t xml:space="preserve"> </w:t>
      </w:r>
    </w:p>
    <w:p w:rsidR="00000000" w:rsidDel="00000000" w:rsidP="00000000" w:rsidRDefault="00000000" w:rsidRPr="00000000" w14:paraId="00000015">
      <w:pPr>
        <w:spacing w:line="360" w:lineRule="auto"/>
        <w:ind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Introdução</w:t>
      </w:r>
    </w:p>
    <w:p w:rsidR="00000000" w:rsidDel="00000000" w:rsidP="00000000" w:rsidRDefault="00000000" w:rsidRPr="00000000" w14:paraId="00000016">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 ensino de Química, por muito tempo, tem sido predominantemente conteudista, repetitivo e descontextualizado da realidade dos estudantes, levando à desmotivação e à percepção de que a disciplina é um conjunto de informações desconexas. Essa abordagem tradicional falha em reconhecer os saberes prévios dos alunos, que são um ponto de partida valioso para a construção do conhecimento, e dificulta a Alfabetização Científica e Tecnológica (ACT) necessária para o exercício da cidadania.</w:t>
      </w:r>
    </w:p>
    <w:p w:rsidR="00000000" w:rsidDel="00000000" w:rsidP="00000000" w:rsidRDefault="00000000" w:rsidRPr="00000000" w14:paraId="00000017">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Diante desse cenário, surge a necessidade de práticas inovadoras que promovam a aprendizagem significativa e uma formação crítica. Uma estratégia eficaz é o diálogo entre saberes populares e científicos, que permite contextualizar o conhecimento escolar e valorizar a diversidade cultural dos alunos. Autores como Zanotto (2015) defendem que esse processo pode gerar mudanças no perfil conceitual dos estudantes, transformando uma "apreciação grosseira" por meio dos sentidos em uma compreensão mais complexa e racional dos fenômenos.</w:t>
      </w:r>
    </w:p>
    <w:p w:rsidR="00000000" w:rsidDel="00000000" w:rsidP="00000000" w:rsidRDefault="00000000" w:rsidRPr="00000000" w14:paraId="00000018">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Para facilitar essa contextualização e promover uma visão ampliada da Química, a abordagem Ciência-Tecnologia-Sociedade (CTS) é fundamental. A perspectiva CTS busca a compreensão das interações entre Ciência, Tecnologia e Sociedade, associando o ensino de conceitos à problematização de mitos e a uma visão crítica, reconhecendo que a Ciência e a Tecnologia não são neutras e apresentam "situações contraditórias de riscos e vantagens". Essa abordagem permite relacionar o conhecimento químico aos contextos sociais e ambientais, valorizando as práticas culturais locais sem desconsiderar o rigor científico.</w:t>
      </w:r>
    </w:p>
    <w:p w:rsidR="00000000" w:rsidDel="00000000" w:rsidP="00000000" w:rsidRDefault="00000000" w:rsidRPr="00000000" w14:paraId="00000019">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Os frutos amazônicos, como açaí, cupuaçu, buriti, bacaba, camu-camu e pequi, exemplificam a riqueza da sociobiodiversidade e cultural, oferecendo um material didático valioso. Estes frutos contêm pigmentos bioativos (antocianinas, carotenoides, clorofilas) que lhes conferem cores intensas e variadas, além de valor nutricional e usos tradicionais na culinária, medicina popular e artesanato. Por exemplo, o açaí, consumido pelas comunidades ribeirinhas do estuário amazônico, popularizou-se em diversas formas gastronômicas. A integração desses saberes locais na sala de aula, através de metodologias como a elaboração de infográficos e rodas de conversas, não só motiva os alunos, mas também os capacita a aprofundar conceitos químicos de forma crítica e reflexiva. No entanto, é crucial que essa inserção seja feita com coerência teórica, exigindo uma reflexão epistemológica e política sobre o status dos saberes tradicionais frente à ciência/química, garantindo que não se reforce uma visão colonial ou eurocêntrica do conhecimento.</w:t>
      </w:r>
    </w:p>
    <w:p w:rsidR="00000000" w:rsidDel="00000000" w:rsidP="00000000" w:rsidRDefault="00000000" w:rsidRPr="00000000" w14:paraId="0000001A">
      <w:pPr>
        <w:spacing w:line="360" w:lineRule="auto"/>
        <w:ind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Metodologia</w:t>
      </w:r>
    </w:p>
    <w:p w:rsidR="00000000" w:rsidDel="00000000" w:rsidP="00000000" w:rsidRDefault="00000000" w:rsidRPr="00000000" w14:paraId="0000001B">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1.1. Tipo de Pesquisa</w:t>
      </w:r>
    </w:p>
    <w:p w:rsidR="00000000" w:rsidDel="00000000" w:rsidP="00000000" w:rsidRDefault="00000000" w:rsidRPr="00000000" w14:paraId="0000001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A pesquisa possui uma abordagem qualitativa, de natureza interpretativa, com observação participante. É de caráter exploratório e descritivo, buscando compreender as contribuições dos saberes populares na construção de conceitos químicos.</w:t>
      </w:r>
    </w:p>
    <w:p w:rsidR="00000000" w:rsidDel="00000000" w:rsidP="00000000" w:rsidRDefault="00000000" w:rsidRPr="00000000" w14:paraId="0000001D">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1.2. Procedimentos Metodológicos (Etapas da Pesquisa)</w:t>
      </w:r>
    </w:p>
    <w:p w:rsidR="00000000" w:rsidDel="00000000" w:rsidP="00000000" w:rsidRDefault="00000000" w:rsidRPr="00000000" w14:paraId="0000001E">
      <w:pPr>
        <w:numPr>
          <w:ilvl w:val="0"/>
          <w:numId w:val="1"/>
        </w:numPr>
        <w:spacing w:after="0" w:afterAutospacing="0" w:line="360" w:lineRule="auto"/>
        <w:ind w:left="720" w:hanging="360"/>
        <w:jc w:val="both"/>
        <w:rPr>
          <w:rFonts w:ascii="Arial" w:cs="Arial" w:eastAsia="Arial" w:hAnsi="Arial"/>
          <w:color w:val="002f3c"/>
          <w:u w:val="none"/>
        </w:rPr>
      </w:pPr>
      <w:r w:rsidDel="00000000" w:rsidR="00000000" w:rsidRPr="00000000">
        <w:rPr>
          <w:rFonts w:ascii="Arial" w:cs="Arial" w:eastAsia="Arial" w:hAnsi="Arial"/>
          <w:color w:val="002f3c"/>
          <w:rtl w:val="0"/>
        </w:rPr>
        <w:t xml:space="preserve">     Diagnóstico Inicial: Realizado através de questionários para desvendar os conhecimentos prévios dos alunos sobre saberes populares, mitos, senso comum, conhecimento científico e as relações CTS (Ciência, Tecnologia e Sociedade).</w:t>
      </w:r>
    </w:p>
    <w:p w:rsidR="00000000" w:rsidDel="00000000" w:rsidP="00000000" w:rsidRDefault="00000000" w:rsidRPr="00000000" w14:paraId="0000001F">
      <w:pPr>
        <w:numPr>
          <w:ilvl w:val="0"/>
          <w:numId w:val="1"/>
        </w:numPr>
        <w:spacing w:after="0" w:afterAutospacing="0" w:line="360" w:lineRule="auto"/>
        <w:ind w:left="720" w:hanging="360"/>
        <w:jc w:val="both"/>
        <w:rPr>
          <w:rFonts w:ascii="Arial" w:cs="Arial" w:eastAsia="Arial" w:hAnsi="Arial"/>
          <w:color w:val="002f3c"/>
          <w:u w:val="none"/>
        </w:rPr>
      </w:pPr>
      <w:r w:rsidDel="00000000" w:rsidR="00000000" w:rsidRPr="00000000">
        <w:rPr>
          <w:rFonts w:ascii="Arial" w:cs="Arial" w:eastAsia="Arial" w:hAnsi="Arial"/>
          <w:color w:val="002f3c"/>
          <w:rtl w:val="0"/>
        </w:rPr>
        <w:t xml:space="preserve">    Levantamento de Saberes Populares: Os alunos pesquisam os principais saberes populares em suas comunidades e selecionam temas para serem trabalhados na disciplina.</w:t>
      </w:r>
    </w:p>
    <w:p w:rsidR="00000000" w:rsidDel="00000000" w:rsidP="00000000" w:rsidRDefault="00000000" w:rsidRPr="00000000" w14:paraId="00000020">
      <w:pPr>
        <w:numPr>
          <w:ilvl w:val="0"/>
          <w:numId w:val="1"/>
        </w:numPr>
        <w:spacing w:after="0" w:afterAutospacing="0" w:line="360" w:lineRule="auto"/>
        <w:ind w:left="720" w:hanging="360"/>
        <w:jc w:val="both"/>
        <w:rPr>
          <w:rFonts w:ascii="Arial" w:cs="Arial" w:eastAsia="Arial" w:hAnsi="Arial"/>
          <w:color w:val="002f3c"/>
          <w:u w:val="none"/>
        </w:rPr>
      </w:pPr>
      <w:r w:rsidDel="00000000" w:rsidR="00000000" w:rsidRPr="00000000">
        <w:rPr>
          <w:rFonts w:ascii="Arial" w:cs="Arial" w:eastAsia="Arial" w:hAnsi="Arial"/>
          <w:color w:val="002f3c"/>
          <w:rtl w:val="0"/>
        </w:rPr>
        <w:t xml:space="preserve">     Planejamento e Desenvolvimento das Atividades: As atividades são planejadas para estabelecer um link entre o cotidiano do aluno e a construção do conhecimento científico, com foco em conteúdos de Funções Orgânicas, mas também retomando inorgânicas e eletroquímica. Utiliza aulas expositivas e dialogadas, resolução de exercícios, e materiais de apoio como slides.</w:t>
      </w:r>
    </w:p>
    <w:p w:rsidR="00000000" w:rsidDel="00000000" w:rsidP="00000000" w:rsidRDefault="00000000" w:rsidRPr="00000000" w14:paraId="00000021">
      <w:pPr>
        <w:numPr>
          <w:ilvl w:val="0"/>
          <w:numId w:val="1"/>
        </w:numPr>
        <w:spacing w:after="0" w:afterAutospacing="0" w:line="360" w:lineRule="auto"/>
        <w:ind w:left="720" w:hanging="360"/>
        <w:jc w:val="both"/>
        <w:rPr>
          <w:rFonts w:ascii="Arial" w:cs="Arial" w:eastAsia="Arial" w:hAnsi="Arial"/>
          <w:color w:val="002f3c"/>
          <w:u w:val="none"/>
        </w:rPr>
      </w:pPr>
      <w:r w:rsidDel="00000000" w:rsidR="00000000" w:rsidRPr="00000000">
        <w:rPr>
          <w:rFonts w:ascii="Arial" w:cs="Arial" w:eastAsia="Arial" w:hAnsi="Arial"/>
          <w:color w:val="002f3c"/>
          <w:rtl w:val="0"/>
        </w:rPr>
        <w:t xml:space="preserve">     Construção de Conhecimento Científico a Partir de Mitos: Mitos populares são "desmistificados quimicamente", explorando seus componentes e efeitos, visando a mudança de perfil conceitual.</w:t>
      </w:r>
    </w:p>
    <w:p w:rsidR="00000000" w:rsidDel="00000000" w:rsidP="00000000" w:rsidRDefault="00000000" w:rsidRPr="00000000" w14:paraId="00000022">
      <w:pPr>
        <w:numPr>
          <w:ilvl w:val="0"/>
          <w:numId w:val="1"/>
        </w:numPr>
        <w:spacing w:line="360" w:lineRule="auto"/>
        <w:ind w:left="720" w:hanging="360"/>
        <w:jc w:val="both"/>
        <w:rPr>
          <w:rFonts w:ascii="Arial" w:cs="Arial" w:eastAsia="Arial" w:hAnsi="Arial"/>
          <w:color w:val="002f3c"/>
          <w:u w:val="none"/>
        </w:rPr>
      </w:pPr>
      <w:r w:rsidDel="00000000" w:rsidR="00000000" w:rsidRPr="00000000">
        <w:rPr>
          <w:rFonts w:ascii="Arial" w:cs="Arial" w:eastAsia="Arial" w:hAnsi="Arial"/>
          <w:color w:val="002f3c"/>
          <w:rtl w:val="0"/>
        </w:rPr>
        <w:t xml:space="preserve">    Produção de Materiais: Os alunos elaboram mapas conceituais e infográficos como ferramentas para organizar ideias, acompanhar o aprendizado e refletir sobre os conceitos químicos e suas relações sociais. Um "jogo dos pares" com discos informativos também é utilizado para abordar funções orgânicas e inorgânicas.</w:t>
      </w:r>
    </w:p>
    <w:p w:rsidR="00000000" w:rsidDel="00000000" w:rsidP="00000000" w:rsidRDefault="00000000" w:rsidRPr="00000000" w14:paraId="00000023">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1.4</w:t>
      </w:r>
      <w:r w:rsidDel="00000000" w:rsidR="00000000" w:rsidRPr="00000000">
        <w:rPr>
          <w:rFonts w:ascii="Arial" w:cs="Arial" w:eastAsia="Arial" w:hAnsi="Arial"/>
          <w:b w:val="1"/>
          <w:color w:val="002f3c"/>
          <w:rtl w:val="0"/>
        </w:rPr>
        <w:t xml:space="preserve">.</w:t>
      </w:r>
      <w:r w:rsidDel="00000000" w:rsidR="00000000" w:rsidRPr="00000000">
        <w:rPr>
          <w:rFonts w:ascii="Arial" w:cs="Arial" w:eastAsia="Arial" w:hAnsi="Arial"/>
          <w:color w:val="002f3c"/>
          <w:rtl w:val="0"/>
        </w:rPr>
        <w:t xml:space="preserve"> Análise de Dados</w:t>
      </w:r>
    </w:p>
    <w:p w:rsidR="00000000" w:rsidDel="00000000" w:rsidP="00000000" w:rsidRDefault="00000000" w:rsidRPr="00000000" w14:paraId="00000024">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Utiliza-se a análise de conteúdo para identificar categorias como aproximações, contrastes e articulações entre os saberes populares e científicos. A análise busca verificar a ocorrência de mudança de perfil conceitual e aprendizagem significativa. O Diálogo entre Saberes Populares e Conhecimento Científico: Fundamentos, Desafios e Importância, discussão sobre a interação entre saberes populares e científicos é central para uma educação contextualizada e para a formação cidadã, conforme destacado nas fontes.</w:t>
      </w:r>
    </w:p>
    <w:p w:rsidR="00000000" w:rsidDel="00000000" w:rsidP="00000000" w:rsidRDefault="00000000" w:rsidRPr="00000000" w14:paraId="00000025">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Definição e Características dos Saberes</w:t>
      </w:r>
    </w:p>
    <w:p w:rsidR="00000000" w:rsidDel="00000000" w:rsidP="00000000" w:rsidRDefault="00000000" w:rsidRPr="00000000" w14:paraId="00000026">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Saberes Populares/Tradicionais: São conhecimentos intuitivos e práticos, adquiridos por meio da experiência de vida, observações e práticas passadas de geração em geração. Constituem um patrimônio sociocultural de "riqueza incalculável", que preserva a história, costumes e tradições locais. Podem ser vistos como "conceitos espontâneos" que criam estruturas cognitivas. Mitos e senso comum também se originam no conhecimento popular.</w:t>
      </w:r>
    </w:p>
    <w:p w:rsidR="00000000" w:rsidDel="00000000" w:rsidP="00000000" w:rsidRDefault="00000000" w:rsidRPr="00000000" w14:paraId="00000027">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Conhecimento Científico: É um saber historicamente construído, racional, objetivo e sistemático, baseado em métodos e conclusões testadas por experimentação, buscando relações de causa e efeito. Historicamente, a ciência ocidental moderna tem se pretendido universal e exclusiva do conhecimento válido, por vezes sendo classificada como "totalitária" e hegemônica, negando o caráter racional de outras formas de conhecimento.</w:t>
      </w:r>
    </w:p>
    <w:p w:rsidR="00000000" w:rsidDel="00000000" w:rsidP="00000000" w:rsidRDefault="00000000" w:rsidRPr="00000000" w14:paraId="00000028">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Investigar saberes tradicionais com categorias próprias da química é uma exigência pragmática em contextos acadêmicos e uma oportunidade para construir diálogos, evitando uma visão caricatural e eurocêntrica. Contudo, isso não significa impor a ciência, mas permitir que os educandos construam conhecimento a partir de sua história de vida e percepções sensoriais.</w:t>
      </w:r>
    </w:p>
    <w:p w:rsidR="00000000" w:rsidDel="00000000" w:rsidP="00000000" w:rsidRDefault="00000000" w:rsidRPr="00000000" w14:paraId="00000029">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1.6. Importância da Integração e do Enfoque CTS/ACT na Educação</w:t>
      </w:r>
    </w:p>
    <w:p w:rsidR="00000000" w:rsidDel="00000000" w:rsidP="00000000" w:rsidRDefault="00000000" w:rsidRPr="00000000" w14:paraId="0000002A">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Relevância Pedagógica: A utilização dos saberes populares como ponto de partida torna o ensino de Química mais atraente, significativo e contextualizado, combatendo um ensino fragmentado e desvinculado da realidade dos alunos Formação Cidadã (ACT): A abordagem Ciência-Tecnologia-Sociedade (CTS) e a Alfabetização Científica e Tecnológica (ACT) visam formar cidadãos críticos, capazes de compreender as interações entre CT e sociedade, refletir sobre seus impactos e tomar decisões autônomas, sem serem alienados por artefatos tecnológicos.</w:t>
      </w:r>
    </w:p>
    <w:p w:rsidR="00000000" w:rsidDel="00000000" w:rsidP="00000000" w:rsidRDefault="00000000" w:rsidRPr="00000000" w14:paraId="0000002B">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Mudança de Perfil Conceitual e Aprendizagem Significativa: O diálogo entre saberes pode favorecer a mudança de perfil conceitual dos alunos, onde novos significados coexistem com os anteriores, e a aprendizagem se torna significativa ao relacionar novos conceitos com o que o aluno já sabe. Professores precisam valorizar o conhecimento prévio dos alunos.</w:t>
      </w:r>
    </w:p>
    <w:p w:rsidR="00000000" w:rsidDel="00000000" w:rsidP="00000000" w:rsidRDefault="00000000" w:rsidRPr="00000000" w14:paraId="0000002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     Diálogo de Saberes e Parcerias Epistêmicas: É crucial promover "diálogos de saberes" e "parcerias epistêmicas" para minimizar disparidades e desigualdades, reconhecendo as "ausências e emergências" de diferentes culturas. Isso envolve traduzir e entrelaçar unidades perceptuais dos saberes tradicionais com unidades conceituais científicas.</w:t>
      </w:r>
    </w:p>
    <w:p w:rsidR="00000000" w:rsidDel="00000000" w:rsidP="00000000" w:rsidRDefault="00000000" w:rsidRPr="00000000" w14:paraId="0000002D">
      <w:pPr>
        <w:spacing w:line="360" w:lineRule="auto"/>
        <w:ind w:firstLine="0"/>
        <w:jc w:val="both"/>
        <w:rPr>
          <w:rFonts w:ascii="Arial" w:cs="Arial" w:eastAsia="Arial" w:hAnsi="Arial"/>
          <w:b w:val="1"/>
          <w:color w:val="002f3c"/>
          <w:sz w:val="28"/>
          <w:szCs w:val="28"/>
        </w:rPr>
      </w:pPr>
      <w:r w:rsidDel="00000000" w:rsidR="00000000" w:rsidRPr="00000000">
        <w:rPr>
          <w:rFonts w:ascii="Arial" w:cs="Arial" w:eastAsia="Arial" w:hAnsi="Arial"/>
          <w:color w:val="002f3c"/>
          <w:rtl w:val="0"/>
        </w:rPr>
        <w:t xml:space="preserve"> </w:t>
      </w:r>
      <w:r w:rsidDel="00000000" w:rsidR="00000000" w:rsidRPr="00000000">
        <w:rPr>
          <w:rFonts w:ascii="Arial" w:cs="Arial" w:eastAsia="Arial" w:hAnsi="Arial"/>
          <w:b w:val="1"/>
          <w:color w:val="002f3c"/>
          <w:sz w:val="28"/>
          <w:szCs w:val="28"/>
          <w:rtl w:val="0"/>
        </w:rPr>
        <w:t xml:space="preserve">Discussão</w:t>
      </w:r>
    </w:p>
    <w:p w:rsidR="00000000" w:rsidDel="00000000" w:rsidP="00000000" w:rsidRDefault="00000000" w:rsidRPr="00000000" w14:paraId="0000002E">
      <w:pPr>
        <w:spacing w:line="360" w:lineRule="auto"/>
        <w:ind w:firstLine="708"/>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2.1.O ensino de Química e a contextualização pedagógica.</w:t>
      </w:r>
    </w:p>
    <w:p w:rsidR="00000000" w:rsidDel="00000000" w:rsidP="00000000" w:rsidRDefault="00000000" w:rsidRPr="00000000" w14:paraId="0000002F">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Historicamente, o ensino de Química tem sido caracterizado pela transmissão de conteúdos de forma fragmentada, centrado em repetições de conceitos, aplicação de fórmulas e classificações de compostos, muitas vezes pobres de significação. Essa abordagem tende a valorizar principalmente a capacidade de reter informações, resultando em um saber memorístico que é, em muitos casos, incompreensível para o aluno. Como consequência, os estudantes frequentemente se sentem desmotivados e concebem a Química como um amontoado de informações desconexas de sua realidade. Questionamentos como "Para que serve este conteúdo?" e "Por que tenho que estudar Química?" são comuns, evidenciando o distanciamento entre o conhecimento científico e o cotidiano dos educandos.</w:t>
      </w:r>
    </w:p>
    <w:p w:rsidR="00000000" w:rsidDel="00000000" w:rsidP="00000000" w:rsidRDefault="00000000" w:rsidRPr="00000000" w14:paraId="00000030">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persistência de metodologias essencialmente reprodutivistas desconsidera os saberes populares dos alunos como ponto de partida para a construção do conhecimento ou para a mudança de perfil conceitual. Essa dissonância entre os avanços científicos e tecnológicos e a maneira como a Química é ensinada na maioria das escolas impede que os alunos sejam motivados e desenvolvam uma visão contextualizada, essencial para a Alfabetização Científica e Tecnológica (ACT) e o exercício da cidadania. Portanto, há uma necessidade premente de buscar alternativas que permitam abordar conceitos químicos sob uma ótica de Ciência, Tecnologia e Sociedade (CTS), oferecendo informações relevantes e conhecimentos utilizáveis no dia a dia, o que expande o senso crítico e as competências para a cidadania.</w:t>
      </w:r>
    </w:p>
    <w:p w:rsidR="00000000" w:rsidDel="00000000" w:rsidP="00000000" w:rsidRDefault="00000000" w:rsidRPr="00000000" w14:paraId="00000031">
      <w:pPr>
        <w:spacing w:line="360" w:lineRule="auto"/>
        <w:ind w:firstLine="708"/>
        <w:jc w:val="both"/>
        <w:rPr>
          <w:rFonts w:ascii="Arial" w:cs="Arial" w:eastAsia="Arial" w:hAnsi="Arial"/>
          <w:color w:val="002f3c"/>
        </w:rPr>
      </w:pPr>
      <w:r w:rsidDel="00000000" w:rsidR="00000000" w:rsidRPr="00000000">
        <w:rPr>
          <w:rFonts w:ascii="Arial" w:cs="Arial" w:eastAsia="Arial" w:hAnsi="Arial"/>
          <w:b w:val="1"/>
          <w:color w:val="002f3c"/>
          <w:rtl w:val="0"/>
        </w:rPr>
        <w:t xml:space="preserve">2.2. A integração de saberes populares e científicos no ensino de Ciências</w:t>
      </w:r>
      <w:r w:rsidDel="00000000" w:rsidR="00000000" w:rsidRPr="00000000">
        <w:rPr>
          <w:rFonts w:ascii="Arial" w:cs="Arial" w:eastAsia="Arial" w:hAnsi="Arial"/>
          <w:color w:val="002f3c"/>
          <w:rtl w:val="0"/>
        </w:rPr>
        <w:t xml:space="preserve"> </w:t>
      </w:r>
    </w:p>
    <w:p w:rsidR="00000000" w:rsidDel="00000000" w:rsidP="00000000" w:rsidRDefault="00000000" w:rsidRPr="00000000" w14:paraId="00000032">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 diálogo entre saberes populares e científicos é uma estratégia pedagógica significativa para aproximar os conteúdos de Química da realidade dos estudantes, possibilitando um ensino mais contextualizado, crítico e reflexivo. Zanotto (2015) destaca que a Química se originou de saberes e práticas ligadas à transformação da matéria e, por isso, deve ser ensinada a partir do diálogo entre os diversos saberes que integram o cotidiano dos alunos.</w:t>
      </w:r>
    </w:p>
    <w:p w:rsidR="00000000" w:rsidDel="00000000" w:rsidP="00000000" w:rsidRDefault="00000000" w:rsidRPr="00000000" w14:paraId="00000033">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Os saberes populares são conhecimentos valiosos que surgem de observações feitas ao longo de gerações, coerentes para determinados grupos e que preservam a história, costumes e tradições locais. Eles são um "patrimônio sociocultural" que, se não registrado, pode se perder com o tempo. Zanotto (2015) teve como objetivo principal verificar as contribuições desses saberes populares, sob um enfoque CTS, na construção de conceitos científicos para o ensino de Química e na promoção da mudança de perfil conceitual nos alunos.</w:t>
      </w:r>
    </w:p>
    <w:p w:rsidR="00000000" w:rsidDel="00000000" w:rsidP="00000000" w:rsidRDefault="00000000" w:rsidRPr="00000000" w14:paraId="00000034">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utilização dos saberes populares demonstrou ser um fator motivador da aprendizagem, podendo ser usados como conceitos espontâneos que favorecem a criação de estruturas cognitivas para a ancoragem de novos conceitos e a ocorrência da aprendizagem significativa. Para que essa transição ocorra, é crucial que o professor estabeleça um vínculo entre o cotidiano do aluno e o conhecimento científico, buscando estratégias que promovam a mudança de perfil conceitual.</w:t>
      </w:r>
    </w:p>
    <w:p w:rsidR="00000000" w:rsidDel="00000000" w:rsidP="00000000" w:rsidRDefault="00000000" w:rsidRPr="00000000" w14:paraId="00000035">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proposta de mudança de perfil conceitual, desenvolvida por Eduardo Fleury Mortimer, considera que a aprendizagem não se dá pela substituição de ideias intuitivas, mas pela criação de uma nova região no perfil conceitual, onde as ideias antigas coexistem com os conceitos científicos e são aplicadas em situações distintas. Esse processo é influenciado pela cultura dos alunos e permite que o estudante aprofunde seu conhecimento, passando de uma "apreciação grosseira por meio dos sentidos" para uma noção mais complexa e racional do produto ou fenômeno. Ao valorizar os saberes populares, a escola contribui para a valorização da cultura dos alunos e a formação de cidadãos críticos.</w:t>
      </w:r>
    </w:p>
    <w:p w:rsidR="00000000" w:rsidDel="00000000" w:rsidP="00000000" w:rsidRDefault="00000000" w:rsidRPr="00000000" w14:paraId="00000036">
      <w:pPr>
        <w:spacing w:line="360" w:lineRule="auto"/>
        <w:ind w:firstLine="708"/>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2.3. Frutos amazônicos e seus compostos bioativos: tons, pigmentos e significados culturais.</w:t>
      </w:r>
    </w:p>
    <w:p w:rsidR="00000000" w:rsidDel="00000000" w:rsidP="00000000" w:rsidRDefault="00000000" w:rsidRPr="00000000" w14:paraId="00000037">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Amazônia é reconhecida por sua vasta sociobiodiversidade e riqueza cultural, que oferece um contexto valioso para o ensino de Química. Os frutos amazônicos são exemplos marcantes dessa diversidade, com grande relevância econômica e gastronômica. Frutas como o açaí (Euterpe oleracea) são típicas da região Norte e se destacam por seu consumo e versatilidade gastronômica, sendo consumidas pelas comunidades ribeirinhas do estuário amazônico e se popularizando em outras regiões do Brasil e do mundo. O pequi (Caryocar brasiliense Camb.), nativo do cerrado, é valorizado por seu valor nutricional, que inclui carotenoides e vitamina C.</w:t>
      </w:r>
    </w:p>
    <w:p w:rsidR="00000000" w:rsidDel="00000000" w:rsidP="00000000" w:rsidRDefault="00000000" w:rsidRPr="00000000" w14:paraId="00000038">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As comunidades indígenas e tradicionais possuem um conhecimento profundo sobre o uso de plantas para diversas finalidades, incluindo a produção de corantes e pigmentos naturais para artesanato e pintura corporal, transmitido por gerações. Exemplos de plantas utilizadas para esse fim incluem o jenipapo (Genipa americana L.), que fornece uma tinta preta profunda para pinturas corporais e rituais, e o urucum (Bixa orellana L.), de cujas sementes se extrai uma tinta vermelha vibrante usada em bijuterias, tecidos e pinturas corporais. Outras espécies mencionadas nas fontes para tinturas são pacova (Renealmia petasites Gagnep.) que gera cor preto-azulada ou preto-marrom, e açafrão (Cúrcuma longa L.) que produz pigmento amarelo. Há também o cumatê, que fornece tintura vermelha-vinho ou escura.</w:t>
      </w:r>
    </w:p>
    <w:p w:rsidR="00000000" w:rsidDel="00000000" w:rsidP="00000000" w:rsidRDefault="00000000" w:rsidRPr="00000000" w14:paraId="00000039">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Os pigmentos metabólicos presentes nessas plantas são responsáveis por suas cores. As antocianinas, por exemplo, conferem tonalidades roxas, azuis ou rosadas, enquanto os carotenoides são responsáveis pelas cores amarela, laranja e vermelha, como a bixina do urucum. A curcumina é o pigmento amarelo do açafrão-da-terra. A clorofila é o pigmento verde encontrado em folhas.</w:t>
      </w:r>
    </w:p>
    <w:p w:rsidR="00000000" w:rsidDel="00000000" w:rsidP="00000000" w:rsidRDefault="00000000" w:rsidRPr="00000000" w14:paraId="0000003A">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Além dos usos como corantes, esses frutos e suas partes têm grande valor nutricional e medicinal. O açaí, por exemplo, é abundante em açúcares, vitamina C e minerais. O pequi é rico em lipídios, proteínas, carboidratos, fibra alimentar, carotenoides e vitamina C. O camu-camu (Myrciaria dubia) é notório por possuir as mais altas concentrações de vitamina C relatadas em frutíferas nativas da Amazônia, além de outros compostos relevantes para a saúde humana, com crescente demanda nos mercados. Suas propriedades bioativas podem prevenir alterações metabólicas (como diabetes) e até tratar doenças parasitárias e câncer. Partes do camu-camu são usadas para sucos, sorvetes, geleias, bebidas alcoólicas e cosméticos. As mulheres indígenas Ticuna, por sua vez, utilizam sementes de diversas plantas, como açaí, tucumã, dendê, paxiúba, seringueira, murumuru, saboneteira e lágrima-de-Nossa-Senhora, na confecção de seus artesanatos, que carregam profunda história cultural e significados.</w:t>
      </w:r>
    </w:p>
    <w:p w:rsidR="00000000" w:rsidDel="00000000" w:rsidP="00000000" w:rsidRDefault="00000000" w:rsidRPr="00000000" w14:paraId="0000003B">
      <w:pPr>
        <w:spacing w:line="360" w:lineRule="auto"/>
        <w:ind w:firstLine="708"/>
        <w:jc w:val="both"/>
        <w:rPr>
          <w:rFonts w:ascii="Arial" w:cs="Arial" w:eastAsia="Arial" w:hAnsi="Arial"/>
          <w:b w:val="1"/>
          <w:color w:val="002f3c"/>
        </w:rPr>
      </w:pPr>
      <w:r w:rsidDel="00000000" w:rsidR="00000000" w:rsidRPr="00000000">
        <w:rPr>
          <w:rFonts w:ascii="Arial" w:cs="Arial" w:eastAsia="Arial" w:hAnsi="Arial"/>
          <w:b w:val="1"/>
          <w:color w:val="002f3c"/>
          <w:rtl w:val="0"/>
        </w:rPr>
        <w:t xml:space="preserve">2.4. Abordagem Ciência-Tecnologia-Sociedade (CTS) e a valorização dos saberes locais.</w:t>
      </w:r>
    </w:p>
    <w:p w:rsidR="00000000" w:rsidDel="00000000" w:rsidP="00000000" w:rsidRDefault="00000000" w:rsidRPr="00000000" w14:paraId="0000003C">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No âmbito educacional, a CTS é fundamental para formar cidadãos críticos e reflexivos em relação aos avanços tecnológicos e científicos. O papel do professor, nesse sentido, é oportunizar situações de debate reflexivo, propiciando a Alfabetização Científica e Tecnológica (ACT), que é imprescindível para a compreensão dessas inter-relações e para o desenvolvimento de competências para o exercício da cidadania. A ACT visa capacitar o indivíduo a participar nas decisões sociais de uma sociedade cada vez mais tecnológica.</w:t>
      </w:r>
    </w:p>
    <w:p w:rsidR="00000000" w:rsidDel="00000000" w:rsidP="00000000" w:rsidRDefault="00000000" w:rsidRPr="00000000" w14:paraId="0000003D">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metodologia CTS permite que os alunos não apenas aprendam conceitos químicos, mas também percebam e reflitam sobre as implicações sociais do desenvolvimento científico e tecnológico, reconhecendo que a Ciência e a Tecnologia caminham juntas e que existem "situações contraditórias de riscos e vantagens" que exigem um maior conhecimento sobre os processos envolvidos. Dessa forma, os estudantes podem julgar com fundamentos as informações advindas da tradição cultural e tomar decisões autônomas.</w:t>
      </w:r>
    </w:p>
    <w:p w:rsidR="00000000" w:rsidDel="00000000" w:rsidP="00000000" w:rsidRDefault="00000000" w:rsidRPr="00000000" w14:paraId="0000003E">
      <w:pPr>
        <w:spacing w:line="360" w:lineRule="auto"/>
        <w:ind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Conclusão</w:t>
      </w:r>
    </w:p>
    <w:p w:rsidR="00000000" w:rsidDel="00000000" w:rsidP="00000000" w:rsidRDefault="00000000" w:rsidRPr="00000000" w14:paraId="0000003F">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valorização das práticas culturais locais, como os saberes populares sobre os frutos amazônicos, é um ponto de partida para o ensino de Química sob o enfoque CTS. Isso permite que os conhecimentos oriundos da comunidade sejam levados para a sala de aula e conduzidos à construção do conhecimento científico, sem desvalorizá-los. Ao fazer isso, a abordagem CTS contribui para desmistificar a ideia de que a Química é apenas para cientistas e a torna mais atraente e significativa, mostrando que ela não está dissociada do cotidiano. A integração dos saberes populares com o rigor científico promove um ensino que possibilita ao discente perceber as relações sociais dos conhecimentos em estudo, contribuindo significativamente para a formação da cidadania.</w:t>
      </w:r>
    </w:p>
    <w:p w:rsidR="00000000" w:rsidDel="00000000" w:rsidP="00000000" w:rsidRDefault="00000000" w:rsidRPr="00000000" w14:paraId="00000040">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valorização dos conhecimentos oriundos da comunidade, como os usos e significados dos frutos amazônicos, assim como as práticas tradicionais relacionadas a pigmentos e artesanatos, não só motiva os alunos, mas também os ajuda a perceber a Química como parte integrante de seu cotidiano e da cultura local. Através dessa abordagem, os alunos são capazes de desenvolver o pensamento crítico e a alfabetização Científica e Tecnológica (ACT), julgando informações da tradição cultural com base científica e tomando decisões mais autônomas e informadas.</w:t>
      </w:r>
    </w:p>
    <w:p w:rsidR="00000000" w:rsidDel="00000000" w:rsidP="00000000" w:rsidRDefault="00000000" w:rsidRPr="00000000" w14:paraId="00000041">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A análise de experiências didáticas, como o estudo dos "mitos" populares (e.g., limão, cebola, celular, creme dental), demonstrou que a investigação e o debate podem levar a uma mudança gradual no perfil conceitual dos estudantes, permitindo-lhes reconstruir conhecimentos e compreender as implicações sociais da Ciência e Tecnologia. Ferramentas como os infográficos e mapas conceituais mostraram-se eficazes para organizar informações, estimular o pensamento crítico e visualizar o progresso dos alunos na construção de um conhecimento mais elaborado.</w:t>
      </w:r>
    </w:p>
    <w:p w:rsidR="00000000" w:rsidDel="00000000" w:rsidP="00000000" w:rsidRDefault="00000000" w:rsidRPr="00000000" w14:paraId="00000042">
      <w:pPr>
        <w:spacing w:line="360" w:lineRule="auto"/>
        <w:ind w:firstLine="708"/>
        <w:jc w:val="both"/>
        <w:rPr>
          <w:rFonts w:ascii="Arial" w:cs="Arial" w:eastAsia="Arial" w:hAnsi="Arial"/>
          <w:color w:val="002f3c"/>
        </w:rPr>
      </w:pPr>
      <w:r w:rsidDel="00000000" w:rsidR="00000000" w:rsidRPr="00000000">
        <w:rPr>
          <w:rFonts w:ascii="Arial" w:cs="Arial" w:eastAsia="Arial" w:hAnsi="Arial"/>
          <w:color w:val="002f3c"/>
          <w:rtl w:val="0"/>
        </w:rPr>
        <w:t xml:space="preserve">É fundamental reconhecer que, embora existam "receios" no ambiente acadêmico em relação ao diálogo entre saberes, essa integração não precisa ser intransponível. Pelo contrário, ela oferece uma oportunidade de construção de conhecimento autêntico e contextualizado. No entanto, a inserção de saberes tradicionais no ensino de Química demanda uma reflexão epistemológica e política contínua. Essa reflexão deve assegurar a coerência entre os objetivos educacionais, o status epistemológico da Química e as dimensões éticas, históricas, sociais e culturais envolvidas, evitando a hierarquização e promovendo um diálogo genuíno de saberes.</w:t>
      </w:r>
    </w:p>
    <w:p w:rsidR="00000000" w:rsidDel="00000000" w:rsidP="00000000" w:rsidRDefault="00000000" w:rsidRPr="00000000" w14:paraId="00000043">
      <w:pPr>
        <w:spacing w:line="360" w:lineRule="auto"/>
        <w:ind w:firstLine="0"/>
        <w:jc w:val="both"/>
        <w:rPr>
          <w:rFonts w:ascii="Arial" w:cs="Arial" w:eastAsia="Arial" w:hAnsi="Arial"/>
          <w:b w:val="1"/>
          <w:color w:val="002f3c"/>
          <w:sz w:val="28"/>
          <w:szCs w:val="28"/>
        </w:rPr>
      </w:pPr>
      <w:r w:rsidDel="00000000" w:rsidR="00000000" w:rsidRPr="00000000">
        <w:rPr>
          <w:rFonts w:ascii="Arial" w:cs="Arial" w:eastAsia="Arial" w:hAnsi="Arial"/>
          <w:b w:val="1"/>
          <w:color w:val="002f3c"/>
          <w:sz w:val="28"/>
          <w:szCs w:val="28"/>
          <w:rtl w:val="0"/>
        </w:rPr>
        <w:t xml:space="preserve">Referências</w:t>
      </w:r>
    </w:p>
    <w:p w:rsidR="00000000" w:rsidDel="00000000" w:rsidP="00000000" w:rsidRDefault="00000000" w:rsidRPr="00000000" w14:paraId="00000044">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DEL PINO, José Claudio; FRISON, Marli Dallagnol. Química: um conhecimento científico para a formação do cidadão. </w:t>
      </w:r>
      <w:r w:rsidDel="00000000" w:rsidR="00000000" w:rsidRPr="00000000">
        <w:rPr>
          <w:rFonts w:ascii="Arial" w:cs="Arial" w:eastAsia="Arial" w:hAnsi="Arial"/>
          <w:b w:val="1"/>
          <w:i w:val="1"/>
          <w:color w:val="002f3c"/>
          <w:rtl w:val="0"/>
        </w:rPr>
        <w:t xml:space="preserve">Revista de Educação, Ciências e Matemática</w:t>
      </w:r>
      <w:r w:rsidDel="00000000" w:rsidR="00000000" w:rsidRPr="00000000">
        <w:rPr>
          <w:rFonts w:ascii="Arial" w:cs="Arial" w:eastAsia="Arial" w:hAnsi="Arial"/>
          <w:color w:val="002f3c"/>
          <w:rtl w:val="0"/>
        </w:rPr>
        <w:t xml:space="preserve">, Rio de Janeiro, v. 1, n. 1, p. 36-50, ago./dez. 2011.</w:t>
      </w:r>
    </w:p>
    <w:p w:rsidR="00000000" w:rsidDel="00000000" w:rsidP="00000000" w:rsidRDefault="00000000" w:rsidRPr="00000000" w14:paraId="00000045">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HORÁCIO, Ozênia. </w:t>
      </w:r>
      <w:r w:rsidDel="00000000" w:rsidR="00000000" w:rsidRPr="00000000">
        <w:rPr>
          <w:rFonts w:ascii="Arial" w:cs="Arial" w:eastAsia="Arial" w:hAnsi="Arial"/>
          <w:i w:val="1"/>
          <w:color w:val="002f3c"/>
          <w:rtl w:val="0"/>
        </w:rPr>
        <w:t xml:space="preserve">Conhecer para conservar: as espécies botânicas produtoras de sementes e tinturas utilizadas na fabricação de artesanatos indígena Ticuna no Alto Solimões</w:t>
      </w:r>
      <w:r w:rsidDel="00000000" w:rsidR="00000000" w:rsidRPr="00000000">
        <w:rPr>
          <w:rFonts w:ascii="Arial" w:cs="Arial" w:eastAsia="Arial" w:hAnsi="Arial"/>
          <w:color w:val="002f3c"/>
          <w:rtl w:val="0"/>
        </w:rPr>
        <w:t xml:space="preserve">. 2025. </w:t>
      </w:r>
      <w:r w:rsidDel="00000000" w:rsidR="00000000" w:rsidRPr="00000000">
        <w:rPr>
          <w:rFonts w:ascii="Arial" w:cs="Arial" w:eastAsia="Arial" w:hAnsi="Arial"/>
          <w:b w:val="1"/>
          <w:color w:val="002f3c"/>
          <w:rtl w:val="0"/>
        </w:rPr>
        <w:t xml:space="preserve">Trabalho de Conclusão de Curso Licenciatura em Ciências Agrárias e do Ambiente -</w:t>
      </w:r>
      <w:r w:rsidDel="00000000" w:rsidR="00000000" w:rsidRPr="00000000">
        <w:rPr>
          <w:rFonts w:ascii="Arial" w:cs="Arial" w:eastAsia="Arial" w:hAnsi="Arial"/>
          <w:color w:val="002f3c"/>
          <w:rtl w:val="0"/>
        </w:rPr>
        <w:t xml:space="preserve"> Universidade Federal do Amazonas (UFAM),Manaus, 2025.</w:t>
      </w:r>
    </w:p>
    <w:p w:rsidR="00000000" w:rsidDel="00000000" w:rsidP="00000000" w:rsidRDefault="00000000" w:rsidRPr="00000000" w14:paraId="00000046">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RODRIGUES, Gabriela Ferreira; SANTANA, Aline Gomes; SHINOHARA, Neide Kazue Sakugawa. De norte a sul: uma análise sobre as características econômicas e gastronômicas das principais frutas identitárias no Brasil. </w:t>
      </w:r>
      <w:r w:rsidDel="00000000" w:rsidR="00000000" w:rsidRPr="00000000">
        <w:rPr>
          <w:rFonts w:ascii="Arial" w:cs="Arial" w:eastAsia="Arial" w:hAnsi="Arial"/>
          <w:b w:val="1"/>
          <w:i w:val="1"/>
          <w:color w:val="002f3c"/>
          <w:rtl w:val="0"/>
        </w:rPr>
        <w:t xml:space="preserve">Revista Augustus</w:t>
      </w:r>
      <w:r w:rsidDel="00000000" w:rsidR="00000000" w:rsidRPr="00000000">
        <w:rPr>
          <w:rFonts w:ascii="Arial" w:cs="Arial" w:eastAsia="Arial" w:hAnsi="Arial"/>
          <w:b w:val="1"/>
          <w:color w:val="002f3c"/>
          <w:rtl w:val="0"/>
        </w:rPr>
        <w:t xml:space="preserve">, Rio de Janeiro</w:t>
      </w:r>
      <w:r w:rsidDel="00000000" w:rsidR="00000000" w:rsidRPr="00000000">
        <w:rPr>
          <w:rFonts w:ascii="Arial" w:cs="Arial" w:eastAsia="Arial" w:hAnsi="Arial"/>
          <w:color w:val="002f3c"/>
          <w:rtl w:val="0"/>
        </w:rPr>
        <w:t xml:space="preserve">, v. 27, n. 54, p. 29-47, jul./out. 2021.</w:t>
      </w:r>
    </w:p>
    <w:p w:rsidR="00000000" w:rsidDel="00000000" w:rsidP="00000000" w:rsidRDefault="00000000" w:rsidRPr="00000000" w14:paraId="00000047">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SILVA, Severino Felipe da; MELO NETO, José Francisco de. Saber popular e saber científico. </w:t>
      </w:r>
      <w:r w:rsidDel="00000000" w:rsidR="00000000" w:rsidRPr="00000000">
        <w:rPr>
          <w:rFonts w:ascii="Arial" w:cs="Arial" w:eastAsia="Arial" w:hAnsi="Arial"/>
          <w:b w:val="1"/>
          <w:i w:val="1"/>
          <w:color w:val="002f3c"/>
          <w:rtl w:val="0"/>
        </w:rPr>
        <w:t xml:space="preserve">Revista Temas em Educação</w:t>
      </w:r>
      <w:r w:rsidDel="00000000" w:rsidR="00000000" w:rsidRPr="00000000">
        <w:rPr>
          <w:rFonts w:ascii="Arial" w:cs="Arial" w:eastAsia="Arial" w:hAnsi="Arial"/>
          <w:color w:val="002f3c"/>
          <w:rtl w:val="0"/>
        </w:rPr>
        <w:t xml:space="preserve">, João Pessoa, v. 24, n. 2, p. 137-154, jul./dez. 2015.</w:t>
      </w:r>
    </w:p>
    <w:p w:rsidR="00000000" w:rsidDel="00000000" w:rsidP="00000000" w:rsidRDefault="00000000" w:rsidRPr="00000000" w14:paraId="00000048">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SILVA, Wesley Santos; ALMEIDA, Gilvandenys Leite de. Inserção de saberes tradicionais no ensino de Química. </w:t>
      </w:r>
      <w:r w:rsidDel="00000000" w:rsidR="00000000" w:rsidRPr="00000000">
        <w:rPr>
          <w:rFonts w:ascii="Arial" w:cs="Arial" w:eastAsia="Arial" w:hAnsi="Arial"/>
          <w:b w:val="1"/>
          <w:i w:val="1"/>
          <w:color w:val="002f3c"/>
          <w:rtl w:val="0"/>
        </w:rPr>
        <w:t xml:space="preserve">Revista Insignare Scientia </w:t>
      </w:r>
      <w:r w:rsidDel="00000000" w:rsidR="00000000" w:rsidRPr="00000000">
        <w:rPr>
          <w:rFonts w:ascii="Arial" w:cs="Arial" w:eastAsia="Arial" w:hAnsi="Arial"/>
          <w:i w:val="1"/>
          <w:color w:val="002f3c"/>
          <w:rtl w:val="0"/>
        </w:rPr>
        <w:t xml:space="preserve">– RIS</w:t>
      </w:r>
      <w:r w:rsidDel="00000000" w:rsidR="00000000" w:rsidRPr="00000000">
        <w:rPr>
          <w:rFonts w:ascii="Arial" w:cs="Arial" w:eastAsia="Arial" w:hAnsi="Arial"/>
          <w:color w:val="002f3c"/>
          <w:rtl w:val="0"/>
        </w:rPr>
        <w:t xml:space="preserve">, v. 5, n. 2, p. 198-212, 2022. DOI: https://doi.org/10.36661/2595-4520.2022v5n2.188</w:t>
      </w:r>
    </w:p>
    <w:p w:rsidR="00000000" w:rsidDel="00000000" w:rsidP="00000000" w:rsidRDefault="00000000" w:rsidRPr="00000000" w14:paraId="00000049">
      <w:pPr>
        <w:spacing w:after="240" w:before="240"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ZANOTTO, Ricardo Luiz. </w:t>
      </w:r>
      <w:r w:rsidDel="00000000" w:rsidR="00000000" w:rsidRPr="00000000">
        <w:rPr>
          <w:rFonts w:ascii="Arial" w:cs="Arial" w:eastAsia="Arial" w:hAnsi="Arial"/>
          <w:i w:val="1"/>
          <w:color w:val="002f3c"/>
          <w:rtl w:val="0"/>
        </w:rPr>
        <w:t xml:space="preserve">Saberes populares: recurso para o ensino de conceitos químicos num enfoque CTS</w:t>
      </w:r>
      <w:r w:rsidDel="00000000" w:rsidR="00000000" w:rsidRPr="00000000">
        <w:rPr>
          <w:rFonts w:ascii="Arial" w:cs="Arial" w:eastAsia="Arial" w:hAnsi="Arial"/>
          <w:color w:val="002f3c"/>
          <w:rtl w:val="0"/>
        </w:rPr>
        <w:t xml:space="preserve">. 2015. 181 f. Dissertação (Mestrado em Ensino de Ciência e Tecnologia) – Universidade Tecnológica Federal do Paraná, Ponta Grossa, 2015.</w:t>
      </w:r>
    </w:p>
    <w:p w:rsidR="00000000" w:rsidDel="00000000" w:rsidP="00000000" w:rsidRDefault="00000000" w:rsidRPr="00000000" w14:paraId="0000004A">
      <w:pPr>
        <w:spacing w:line="360" w:lineRule="auto"/>
        <w:ind w:firstLine="708"/>
        <w:jc w:val="both"/>
        <w:rPr>
          <w:rFonts w:ascii="Arial" w:cs="Arial" w:eastAsia="Arial" w:hAnsi="Arial"/>
          <w:color w:val="002f3c"/>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color w:val="002f3c"/>
        </w:rPr>
      </w:pPr>
      <w:r w:rsidDel="00000000" w:rsidR="00000000" w:rsidRPr="00000000">
        <w:rPr>
          <w:rtl w:val="0"/>
        </w:rPr>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-1105331</wp:posOffset>
          </wp:positionH>
          <wp:positionV relativeFrom="paragraph">
            <wp:posOffset>-440054</wp:posOffset>
          </wp:positionV>
          <wp:extent cx="7626753" cy="5603132"/>
          <wp:effectExtent b="0" l="0" r="0" t="0"/>
          <wp:wrapNone/>
          <wp:docPr id="196170494" name="image2.png"/>
          <a:graphic>
            <a:graphicData uri="http://schemas.openxmlformats.org/drawingml/2006/picture">
              <pic:pic>
                <pic:nvPicPr>
                  <pic:cNvPr id="0" name="image2.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MoBPfQdt+1Be6tjquXFT5YGnQ==">CgMxLjA4AHIhMXRDeXNMN0JRMVozNmpjWEpUM0Nub2lwYU1aMVpsbk9p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2025-06-14T18:52:00Z</dcterms:created>
  <dc:creator>Thaíssa Gabrielle Ferreira Henrique</dc:creator>
</cp:coreProperties>
</file>