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eastAsia="Times New Roman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FORÇA EPISTEMOLÓGICA DA A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MEFRICANIDADE: UMA PROPOSTA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DECOLONIAL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PARA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 EDUCAÇÃO E A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 CULTURA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</w:t>
      </w:r>
      <w:r>
        <w:rPr>
          <w:rFonts w:cs="Arial" w:ascii="Arial" w:hAnsi="Arial"/>
          <w:b/>
          <w:bCs/>
          <w:sz w:val="24"/>
          <w:szCs w:val="24"/>
        </w:rPr>
        <w:t>esumo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O presente trabalho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analisa a </w:t>
      </w:r>
      <w:r>
        <w:rPr>
          <w:rFonts w:cs="Arial" w:ascii="Arial" w:hAnsi="Arial"/>
          <w:b w:val="false"/>
          <w:bCs w:val="false"/>
          <w:sz w:val="24"/>
          <w:szCs w:val="24"/>
        </w:rPr>
        <w:t>potência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de Lélia Gonzalez no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contexto educacional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antirracista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 estratégia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para a efetividade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das leis 10.639/2003 e 11.645/2008, </w:t>
      </w:r>
      <w:r>
        <w:rPr>
          <w:rFonts w:cs="Arial" w:ascii="Arial" w:hAnsi="Arial"/>
          <w:b w:val="false"/>
          <w:bCs w:val="false"/>
          <w:sz w:val="24"/>
          <w:szCs w:val="24"/>
        </w:rPr>
        <w:t>através da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força epistemológica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 insurgente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de sua categoria Amefricanidade.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Utiliza-se da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revisão bibliográfica </w:t>
      </w:r>
      <w:r>
        <w:rPr>
          <w:rFonts w:cs="Arial" w:ascii="Arial" w:hAnsi="Arial"/>
          <w:b w:val="false"/>
          <w:bCs w:val="false"/>
          <w:sz w:val="24"/>
          <w:szCs w:val="24"/>
        </w:rPr>
        <w:t>para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articular pensamentos de teóricos como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Gonzalez, Boaventura de Sousa Santos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 Nilma Lino Gomes, </w:t>
      </w:r>
      <w:r>
        <w:rPr>
          <w:rFonts w:cs="Arial" w:ascii="Arial" w:hAnsi="Arial"/>
          <w:b w:val="false"/>
          <w:bCs w:val="false"/>
          <w:sz w:val="24"/>
          <w:szCs w:val="24"/>
        </w:rPr>
        <w:t>com vias a uma formação decolonial.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Conclui-se que a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</w:rPr>
        <w:t>mefricanidade, enquanto categoria teórica e política, oferece ferramentas para subverter estruturas racistas e construir pedagogias emancipatórias.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1 Intodução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cs="Times New Roman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 xml:space="preserve">A ausência de Lélia nas referências obrigatórias do ambiente acadêmico, não foi suficientemente hábil para inibir a força de seu discurso. A autora  ressurge como potência inspiradora para dar conta de demandas  silenciadas, reivindicadas por um novo perfil de ingressos e ingressas nas universidades públicas brasileiras, sobretudo a partir da aprovação das cotas raciais, fazendo emergir novas dinâmicas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educativas e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culturais, que vão na contramão do sistema de dominação orientado pelo racismo. 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Entretanto,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para que a sociedade logre êxito em mudanças significativas, não apenas pessoas pretas devem combater práticas racistas. Nesta linha de raciocínio está a ideia de que numa sociedade racista, não basta não ser racista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é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necessário ser antirracista (Angela Davis, 2016). Davis defende que é necessário que o antirracismo não esteja restrito às interações pessoais em sociedade, mas também nas instituições de ensino. 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>Do ponto de vista legal, as leis 10.639/2003 e 11.645/2008 trouxeram avanços ao tornarem obrigatório o ensino de História e Cultura Afro-Brasileira, Africana e Indígena no currículo escolar, modificando a LDB em resposta às demandas de movimentos sociais, especialmente, de intelectuais e ativistas negros e indígenas, que buscavam desafiar a visão eurocêntrica dominante.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Contudo,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a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implementação plena das leis que valorizam as culturas afro-brasileira, africana e indígena enfrenta desafios significativos no cotidiano escolar, como a formação inadequada de professores para abordá-las criticamente e a falta de materiais didáticos apropriados e atualizados que respeitem e promovam a diversidade cultural.</w:t>
      </w:r>
    </w:p>
    <w:p>
      <w:pPr>
        <w:pStyle w:val="Normal"/>
        <w:spacing w:lineRule="auto" w:line="360" w:before="0" w:after="0"/>
        <w:ind w:hanging="0"/>
        <w:jc w:val="both"/>
        <w:rPr>
          <w:shd w:fill="FFFFFF" w:val="clea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2.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shd w:fill="FFFFFF" w:val="clear"/>
          <w:lang w:eastAsia="pt-BR"/>
        </w:rPr>
        <w:t xml:space="preserve"> Metodologia</w:t>
      </w:r>
    </w:p>
    <w:p>
      <w:pPr>
        <w:pStyle w:val="Normal"/>
        <w:spacing w:lineRule="auto" w:line="360" w:before="0" w:after="0"/>
        <w:ind w:hanging="0"/>
        <w:jc w:val="both"/>
        <w:rPr>
          <w:b/>
          <w:b/>
          <w:bCs/>
          <w:shd w:fill="FFFFFF" w:val="clea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Na medida em que nos deparamos com desafios cotidianos da prática educativa, notamos a necessidade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da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busca de teorias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e de uma </w:t>
      </w:r>
      <w:r>
        <w:rPr>
          <w:rFonts w:eastAsia="Times New Roman" w:cs="Times New Roman" w:ascii="Arial" w:hAnsi="Arial"/>
          <w:i/>
          <w:iCs/>
          <w:color w:val="000000"/>
          <w:sz w:val="24"/>
          <w:szCs w:val="24"/>
          <w:lang w:eastAsia="pt-BR"/>
        </w:rPr>
        <w:t xml:space="preserve">práxis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que oportunizem a compreensão refinada das complexas dinâmicas presentes nas instituições de ensino.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Assim,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nos valemos d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a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metodologia de pesquisa qualitativa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com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revisão bibliográfica,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no sentido de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introduzir outro pensar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p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rivilegi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ando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novas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epistemol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ogias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nos processos de ensino e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aprendizagem.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3.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shd w:fill="FFFFFF" w:val="clear"/>
          <w:lang w:eastAsia="pt-BR"/>
        </w:rPr>
        <w:t>Desenvolvimento</w:t>
      </w:r>
    </w:p>
    <w:p>
      <w:pPr>
        <w:pStyle w:val="Normal"/>
        <w:spacing w:lineRule="auto" w:line="360" w:before="0" w:after="0"/>
        <w:ind w:hanging="0"/>
        <w:jc w:val="both"/>
        <w:rPr>
          <w:shd w:fill="FFFFFF" w:val="clea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ab/>
        <w:t xml:space="preserve">Lélia, intelectual orgânica, vinculada à academia e ao movimento negro comprova ser  irrelevante o lócus em que a ação do intelectual se desenvolve. Traduzindo, na sua práxis, o pensar de Gramsci de que os subalternos só se tornam sujeitos políticos mediante a luta por hegemonia, não por mera inclusão (Gramsci, 1975).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Ao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adota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r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uma postura de resistência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no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coletivo,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esta intelectual orgânica, contribui para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ressignifica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r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existências. O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movimento negro se mobiliza numa ação educadora, cujo saberes se estruturaram na luta por emancipação histórica. 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ab/>
        <w:t>M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uitos dos sujeitos desse saber que nasce da luta, passaram a alcançar espaços e posição de sujeito, negada por séculos  (LINO, 2017). Prefaciando a obra de Nilma Lino (2017), na qual aborda a reflexão retro, Boaventura de Sousa Santos ratifica: “os movimentos têm um valor epistemológico intrínseco” (Santos, 2017, p.9) promovendo “um tipo específico de conhecimento, o conhecimento nascido da luta.” Nilma Lino (2017,p. 16), compreende os movimentos sociais como “promotores e articuladores dos saberes construídos pelos grupos não hegemônicos e contra hegemônicos da nossa sociedade”.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P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ara ela, o que se sabe sobre o Brasil, sobre a diáspora negra e do conhecimento produzido pelas vítimas desse sequestro e seus descendentes que re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ú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nem boa parte do arcabouço teórico das humanidades e das ciências sociais, são atribuídas ao engajamento político- edagógico, educacional e libertador do Movimento Negro.   Assim, a ausência de Lélia do </w:t>
      </w:r>
      <w:r>
        <w:rPr>
          <w:rFonts w:eastAsia="Times New Roman" w:cs="Times New Roman" w:ascii="Arial" w:hAnsi="Arial"/>
          <w:i/>
          <w:iCs/>
          <w:color w:val="000000"/>
          <w:sz w:val="24"/>
          <w:szCs w:val="24"/>
          <w:shd w:fill="FFFFFF" w:val="clear"/>
          <w:lang w:eastAsia="pt-BR"/>
        </w:rPr>
        <w:t>mainstream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literário, foi uma tentativa de “epistemicídio, ou seja, a supressão dos conhecimentos locais perpetrada por um conhecimento alienígena” (Santos, p.17, 2014).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 xml:space="preserve">De acordo com Santos, a pós-modernidade abre margem a um "cosmopolitismo subalterno", através do qual grupos marginalizados e silenciados — como as populações negras e indígenas — podem emergir como agentes de transformação social. Nesse sentido, as conexões de Lélia e Santos se estabelecem, uma vez que convergem em torno de uma ressignificação das lutas sociais, via de consequência,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com força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epistêmica, a partir de segmentos marginalizados. Verifica-se, a valorização de saberes numa visão descolonizadora das ciências sociais e políticas, plenamente, alinhada ao contexto dos movimentos e das lutas antirracistas,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seu chute embrionário.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>As reflexões de Santos sobre “ modernidade identidade e a cultura de fronteira”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(Santos, 2010)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contribuem para o aprofundamento teórico sobre as identidades de raiz  étnica e cultural, evidenciando como o processo histórico da modernidade buscou suprimi-las, sem êxito. O autor sustenta que o entrave modernista das possibilidades emancipatórias, seja superado pelo pensamento utópico, o que para ele, se traduz em uma das tradições suprimidas pela modernidade, que demanda urgência em ser recuperada. </w:t>
      </w:r>
    </w:p>
    <w:p>
      <w:pPr>
        <w:pStyle w:val="Normal"/>
        <w:spacing w:lineRule="auto" w:line="360" w:before="240" w:after="24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 xml:space="preserve">Boaventura,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entretanto, alerta no sentido de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compreende que, apesar dos novos discursos advindos com a pós modernidade, não se pode despolitizar o enfrentamento das injustiças sociais e epistemológicas. Quanto à Lélia, o risco pode estar associado, com o que também pode-se aduzir de Quijano (1992), de que o processo de descolonização deve estar ancorado na política, para não se perder nos debates essencialmente filosóficos, apartados das práticas de resistência.</w:t>
      </w:r>
    </w:p>
    <w:p>
      <w:pPr>
        <w:pStyle w:val="Normal"/>
        <w:spacing w:lineRule="auto" w:line="360" w:before="240" w:after="24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ab/>
        <w:t>A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descolonização cultural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e educacional são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aspecto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s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 importantes neste debate, uma vez que a cultura, assim como os saberes tradicionais, foram historicamente empregados como instrumentos de dominação. O aporte teórico contido na categoria Amefricanidade de Lélia, traz a urgência do resgate de tradições culturais afrodescendentes e indígenas que inova em sentidos, na medida que buscam a criação de novos modos de ser e estar no mundo, resgat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ando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raízes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 xml:space="preserve">negadas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pela colonialidade. </w:t>
      </w:r>
    </w:p>
    <w:p>
      <w:pPr>
        <w:pStyle w:val="Normal"/>
        <w:spacing w:lineRule="auto" w:line="360" w:before="240" w:after="24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 xml:space="preserve">O retorno à valorização de línguas, tradições ritualísticas religiosas indígenas e africanas , também se constituem como ferramentas de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uma educação libertadora e decolonial.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O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surgimento de novos espaços de saberes diversos (na educação, na história, nas artes , na música, na literatura e outros campos)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em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conexão com as formulações de Lélia potencializam a pluralidade de narrativas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o cumprimento das Leis 10.639/2003 e 11.645/2008  de forma estratégica e robusta.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>4. Conclusão</w:t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ab/>
        <w:t>E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spera-se contribuir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com uma formação que efetivamente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ressignifi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que questões de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raça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 etnia, como uma nova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leitura da história, a partir da assertividade das palavras de Lélia.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C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om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a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compreensão desses novos sentidos e fazeres, propor uma alternativa teórico-metodológica, política e ideológica das contribuições da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categoria de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Amefricanidade,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enquanto potência epistemológica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.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U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ma postura pedagógica de enfrentamento ao racismo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 outras formas de opressão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. Abstrair de Lélia a força motriz que cria e modifica pela fluidez e criatividade de seu pensamento, cujos discursos e práticas trataram de encapsular. Em vão, porque Lélia está em pleno movimento, como a (em) vida, numa eterna busca pelo escapar, produzir fissuras e desconstruções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  <w:lang w:eastAsia="pt-BR"/>
        </w:rPr>
        <w:t>como linhas de fuga que rompem com referências únicas no embate entre saber e poder.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b/>
          <w:b/>
          <w:bCs/>
          <w:sz w:val="24"/>
          <w:szCs w:val="24"/>
          <w:highlight w:val="white"/>
          <w:lang w:val="pt-BR"/>
        </w:rPr>
      </w:pPr>
      <w:r>
        <w:rPr>
          <w:rFonts w:cs="Times New Roman" w:ascii="Arial" w:hAnsi="Arial"/>
          <w:b/>
          <w:bCs/>
          <w:sz w:val="24"/>
          <w:szCs w:val="24"/>
          <w:highlight w:val="white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highlight w:val="white"/>
          <w:lang w:val="pt-BR"/>
        </w:rPr>
        <w:t>REFERÊNCIAS</w:t>
      </w:r>
      <w:r>
        <w:rPr>
          <w:rFonts w:cs="Times New Roman" w:ascii="Arial" w:hAnsi="Arial"/>
          <w:b/>
          <w:bCs/>
          <w:sz w:val="24"/>
          <w:szCs w:val="24"/>
          <w:lang w:val="pt-BR"/>
        </w:rPr>
        <w:t>: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Arial" w:hAnsi="Arial"/>
          <w:b/>
          <w:bCs/>
          <w:sz w:val="24"/>
          <w:szCs w:val="24"/>
          <w:lang w:val="pt-BR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BRASIL. Lei nº 9.394, de 20 de dezembro de 1996. Estabelece as diretrizes e bases da educação nacional. </w:t>
      </w:r>
      <w:r>
        <w:rPr>
          <w:rStyle w:val="Nfase"/>
          <w:rFonts w:cs="Times New Roman" w:ascii="Arial" w:hAnsi="Arial"/>
          <w:sz w:val="24"/>
          <w:szCs w:val="24"/>
        </w:rPr>
        <w:t>Diário Oficial da União</w:t>
      </w:r>
      <w:r>
        <w:rPr>
          <w:rFonts w:cs="Times New Roman" w:ascii="Arial" w:hAnsi="Arial"/>
          <w:sz w:val="24"/>
          <w:szCs w:val="24"/>
        </w:rPr>
        <w:t xml:space="preserve">, Brasília, DF, 23 dez. 1996. Disponível em: </w:t>
      </w:r>
      <w:hyperlink r:id="rId2" w:tgtFrame="_new">
        <w:r>
          <w:rPr>
            <w:rStyle w:val="LinkdaInternet"/>
            <w:rFonts w:cs="Times New Roman" w:ascii="Arial" w:hAnsi="Arial"/>
            <w:sz w:val="24"/>
            <w:szCs w:val="24"/>
          </w:rPr>
          <w:t>http://www.planalto.gov.br/ccivil_03/leis/l9394.htm</w:t>
        </w:r>
      </w:hyperlink>
      <w:r>
        <w:rPr>
          <w:rFonts w:cs="Times New Roman" w:ascii="Arial" w:hAnsi="Arial"/>
          <w:sz w:val="24"/>
          <w:szCs w:val="24"/>
        </w:rPr>
        <w:t>. Acesso em: 10 out. 2024.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BRASIL. Lei nº 10.639, de 9 de janeiro de 2003. Altera a Lei nº 9.394, de 20 de dezembro de 1996, modificada pela Lei nº 11.645, de 10 de março de 2008, que estabelece as diretrizes e bases da educação nacional, para incluir no currículo oficial da Rede de Ensino a obrigatoriedade da temática "História e Cultura Afro-Brasileira". </w:t>
      </w:r>
      <w:r>
        <w:rPr>
          <w:rStyle w:val="Nfase"/>
          <w:rFonts w:cs="Times New Roman" w:ascii="Arial" w:hAnsi="Arial"/>
          <w:sz w:val="24"/>
          <w:szCs w:val="24"/>
        </w:rPr>
        <w:t>Diário Oficial da União</w:t>
      </w:r>
      <w:r>
        <w:rPr>
          <w:rFonts w:cs="Times New Roman" w:ascii="Arial" w:hAnsi="Arial"/>
          <w:sz w:val="24"/>
          <w:szCs w:val="24"/>
        </w:rPr>
        <w:t xml:space="preserve">, Brasília, DF, 10 jan. 2003. Disponível em: </w:t>
      </w:r>
      <w:hyperlink r:id="rId3" w:tgtFrame="_new">
        <w:r>
          <w:rPr>
            <w:rStyle w:val="LinkdaInternet"/>
            <w:rFonts w:cs="Times New Roman" w:ascii="Arial" w:hAnsi="Arial"/>
            <w:sz w:val="24"/>
            <w:szCs w:val="24"/>
          </w:rPr>
          <w:t>http://www.planalto.gov.br/ccivil_03/leis/2003/l10.639.htm</w:t>
        </w:r>
      </w:hyperlink>
      <w:r>
        <w:rPr>
          <w:rFonts w:cs="Times New Roman" w:ascii="Arial" w:hAnsi="Arial"/>
          <w:sz w:val="24"/>
          <w:szCs w:val="24"/>
        </w:rPr>
        <w:t>. Acesso em: 10 out. 2024</w:t>
      </w:r>
    </w:p>
    <w:p>
      <w:pPr>
        <w:pStyle w:val="Normal"/>
        <w:shd w:fill="FFFFFF" w:val="clear"/>
        <w:spacing w:lineRule="auto" w:line="360" w:before="180" w:after="0"/>
        <w:jc w:val="both"/>
        <w:textAlignment w:val="baseline"/>
        <w:rPr/>
      </w:pP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DAVIS, Angela. </w:t>
      </w:r>
      <w:r>
        <w:rPr>
          <w:rFonts w:eastAsia="Times New Roman" w:cs="Times New Roman" w:ascii="Arial" w:hAnsi="Arial"/>
          <w:b/>
          <w:bCs/>
          <w:color w:val="403D39"/>
          <w:sz w:val="24"/>
          <w:szCs w:val="24"/>
          <w:shd w:fill="FFFFFF" w:val="clear"/>
          <w:lang w:eastAsia="pt-BR"/>
        </w:rPr>
        <w:t>Mulheres, raça e classe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. Tradução de Heci Regina Candiani. São Paulo: Boitempo, 2016. Disponível em </w:t>
      </w:r>
      <w:hyperlink r:id="rId4">
        <w:r>
          <w:rPr>
            <w:rStyle w:val="LinkdaInternet"/>
            <w:rFonts w:eastAsia="Times New Roman" w:cs="Times New Roman" w:ascii="Arial" w:hAnsi="Arial"/>
            <w:sz w:val="24"/>
            <w:szCs w:val="24"/>
            <w:shd w:fill="FFFFFF" w:val="clear"/>
            <w:lang w:eastAsia="pt-BR"/>
          </w:rPr>
          <w:t>http://piape.prograd.ufsc.br/files/2020/07/Angela-Davis-Mulheres-ra%C3%A7a-e-classe-Boitempo.pdf</w:t>
        </w:r>
      </w:hyperlink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>. Acesso em 24/10/2024</w:t>
      </w:r>
    </w:p>
    <w:p>
      <w:pPr>
        <w:pStyle w:val="Normal"/>
        <w:shd w:fill="FFFFFF" w:val="clear"/>
        <w:spacing w:lineRule="auto" w:line="360" w:before="0" w:after="0"/>
        <w:jc w:val="both"/>
        <w:textAlignment w:val="baseline"/>
        <w:rPr/>
      </w:pP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FANON, Frantz. </w:t>
      </w:r>
      <w:r>
        <w:rPr>
          <w:rFonts w:eastAsia="Times New Roman" w:cs="Times New Roman" w:ascii="Arial" w:hAnsi="Arial"/>
          <w:b/>
          <w:bCs/>
          <w:color w:val="403D39"/>
          <w:sz w:val="24"/>
          <w:szCs w:val="24"/>
          <w:shd w:fill="FFFFFF" w:val="clear"/>
          <w:lang w:eastAsia="pt-BR"/>
        </w:rPr>
        <w:t>Pele negra, máscaras brancas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>. 1 ed. Salvador: UFBA, 2008. Disponívele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>m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 </w:t>
      </w:r>
      <w:hyperlink r:id="rId5">
        <w:r>
          <w:rPr>
            <w:rStyle w:val="LinkdaInternet"/>
            <w:rFonts w:eastAsia="Times New Roman" w:cs="Times New Roman" w:ascii="Arial" w:hAnsi="Arial"/>
            <w:color w:val="1155CC"/>
            <w:sz w:val="24"/>
            <w:szCs w:val="24"/>
            <w:u w:val="single"/>
            <w:shd w:fill="FFFFFF" w:val="clear"/>
            <w:lang w:eastAsia="pt-BR"/>
          </w:rPr>
          <w:t>https://www.geledes.org.br/wp-content/uploads/2014/05/Frantz_Fanon_Pele_negra_mascaras_brancas.pdf</w:t>
        </w:r>
      </w:hyperlink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>. Tradução de Renato da Silveira Prefácio de Lewis R. Gordon </w:t>
      </w:r>
    </w:p>
    <w:p>
      <w:pPr>
        <w:pStyle w:val="Normal"/>
        <w:shd w:fill="FFFFFF" w:val="clear"/>
        <w:spacing w:lineRule="auto" w:line="360" w:before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FOUCAULT, M. (1999b). </w:t>
      </w:r>
      <w:r>
        <w:rPr>
          <w:rFonts w:eastAsia="Times New Roman" w:cs="Times New Roman" w:ascii="Arial" w:hAnsi="Arial"/>
          <w:b/>
          <w:bCs/>
          <w:i/>
          <w:iCs/>
          <w:color w:val="403D39"/>
          <w:sz w:val="24"/>
          <w:szCs w:val="24"/>
          <w:shd w:fill="FFFFFF" w:val="clear"/>
          <w:lang w:eastAsia="pt-BR"/>
        </w:rPr>
        <w:t>Em defesa da sociedade</w:t>
      </w:r>
      <w:r>
        <w:rPr>
          <w:rFonts w:eastAsia="Times New Roman" w:cs="Times New Roman" w:ascii="Arial" w:hAnsi="Arial"/>
          <w:b/>
          <w:bCs/>
          <w:color w:val="403D39"/>
          <w:sz w:val="24"/>
          <w:szCs w:val="24"/>
          <w:shd w:fill="FFFFFF" w:val="clear"/>
          <w:lang w:eastAsia="pt-BR"/>
        </w:rPr>
        <w:t xml:space="preserve">: o curso no Collège de France 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>(1975-1976). São Paulo: Martins Fontes.          ( Link )</w:t>
      </w:r>
    </w:p>
    <w:p>
      <w:pPr>
        <w:pStyle w:val="Normal"/>
        <w:shd w:fill="FFFFFF" w:val="clear"/>
        <w:spacing w:lineRule="auto" w:line="360" w:before="0" w:after="20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GOMES, NILMA LINO. </w:t>
      </w:r>
      <w:r>
        <w:rPr>
          <w:rFonts w:eastAsia="Times New Roman" w:cs="Times New Roman" w:ascii="Arial" w:hAnsi="Arial"/>
          <w:b/>
          <w:bCs/>
          <w:color w:val="403D39"/>
          <w:sz w:val="24"/>
          <w:szCs w:val="24"/>
          <w:shd w:fill="FFFFFF" w:val="clear"/>
          <w:lang w:eastAsia="pt-BR"/>
        </w:rPr>
        <w:t>O Movimento Negro Educador. Saberes construídos na luta por emancipação.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 Petrópolis, RJ: Vozes, 2017 - resenha de Roberto Borges, in Educação em Revista. Belo Horizonate. v.34 . 2018</w:t>
      </w:r>
      <w:bookmarkStart w:id="0" w:name="docs-internal-guid-96a03ecd-7fff-1be5-d5"/>
      <w:bookmarkEnd w:id="0"/>
    </w:p>
    <w:p>
      <w:pPr>
        <w:pStyle w:val="Normal"/>
        <w:shd w:fill="FFFFFF" w:val="clear"/>
        <w:spacing w:lineRule="auto" w:line="360" w:before="0" w:after="20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Cs/>
          <w:color w:val="5F6368"/>
          <w:sz w:val="24"/>
          <w:szCs w:val="24"/>
          <w:shd w:fill="FFFFFF" w:val="clear"/>
          <w:lang w:eastAsia="pt-BR"/>
        </w:rPr>
        <w:t>GONZALEZ</w:t>
      </w:r>
      <w:r>
        <w:rPr>
          <w:rFonts w:eastAsia="Times New Roman" w:cs="Times New Roman" w:ascii="Arial" w:hAnsi="Arial"/>
          <w:bCs/>
          <w:color w:val="1F1F1F"/>
          <w:sz w:val="24"/>
          <w:szCs w:val="24"/>
          <w:shd w:fill="FFFFFF" w:val="clear"/>
          <w:lang w:eastAsia="pt-BR"/>
        </w:rPr>
        <w:t xml:space="preserve">, </w:t>
      </w:r>
      <w:r>
        <w:rPr>
          <w:rFonts w:eastAsia="Times New Roman" w:cs="Times New Roman" w:ascii="Arial" w:hAnsi="Arial"/>
          <w:bCs/>
          <w:color w:val="5F6368"/>
          <w:sz w:val="24"/>
          <w:szCs w:val="24"/>
          <w:shd w:fill="FFFFFF" w:val="clear"/>
          <w:lang w:eastAsia="pt-BR"/>
        </w:rPr>
        <w:t>Lélia</w:t>
      </w:r>
      <w:r>
        <w:rPr>
          <w:rFonts w:eastAsia="Times New Roman" w:cs="Times New Roman" w:ascii="Arial" w:hAnsi="Arial"/>
          <w:bCs/>
          <w:color w:val="1F1F1F"/>
          <w:sz w:val="24"/>
          <w:szCs w:val="24"/>
          <w:shd w:fill="FFFFFF" w:val="clear"/>
          <w:lang w:eastAsia="pt-BR"/>
        </w:rPr>
        <w:t xml:space="preserve">. . </w:t>
      </w:r>
      <w:r>
        <w:rPr>
          <w:rFonts w:eastAsia="Times New Roman" w:cs="Times New Roman" w:ascii="Arial" w:hAnsi="Arial"/>
          <w:bCs/>
          <w:color w:val="5F6368"/>
          <w:sz w:val="24"/>
          <w:szCs w:val="24"/>
          <w:shd w:fill="FFFFFF" w:val="clear"/>
          <w:lang w:eastAsia="pt-BR"/>
        </w:rPr>
        <w:t>2020</w:t>
      </w:r>
      <w:r>
        <w:rPr>
          <w:rFonts w:eastAsia="Times New Roman" w:cs="Times New Roman" w:ascii="Arial" w:hAnsi="Arial"/>
          <w:color w:val="1F1F1F"/>
          <w:sz w:val="24"/>
          <w:szCs w:val="24"/>
          <w:shd w:fill="FFFFFF" w:val="clear"/>
          <w:lang w:eastAsia="pt-BR"/>
        </w:rPr>
        <w:t xml:space="preserve">. </w:t>
      </w:r>
      <w:r>
        <w:rPr>
          <w:rFonts w:eastAsia="Times New Roman" w:cs="Times New Roman" w:ascii="Arial" w:hAnsi="Arial"/>
          <w:b/>
          <w:bCs/>
          <w:color w:val="1F1F1F"/>
          <w:sz w:val="24"/>
          <w:szCs w:val="24"/>
          <w:shd w:fill="FFFFFF" w:val="clear"/>
          <w:lang w:eastAsia="pt-BR"/>
        </w:rPr>
        <w:t xml:space="preserve">Por um </w:t>
      </w:r>
      <w:r>
        <w:rPr>
          <w:rFonts w:eastAsia="Times New Roman" w:cs="Times New Roman" w:ascii="Arial" w:hAnsi="Arial"/>
          <w:b/>
          <w:bCs/>
          <w:color w:val="5F6368"/>
          <w:sz w:val="24"/>
          <w:szCs w:val="24"/>
          <w:shd w:fill="FFFFFF" w:val="clear"/>
          <w:lang w:eastAsia="pt-BR"/>
        </w:rPr>
        <w:t>Feminismo Afro</w:t>
      </w:r>
      <w:r>
        <w:rPr>
          <w:rFonts w:eastAsia="Times New Roman" w:cs="Times New Roman" w:ascii="Arial" w:hAnsi="Arial"/>
          <w:b/>
          <w:bCs/>
          <w:color w:val="1F1F1F"/>
          <w:sz w:val="24"/>
          <w:szCs w:val="24"/>
          <w:shd w:fill="FFFFFF" w:val="clear"/>
          <w:lang w:eastAsia="pt-BR"/>
        </w:rPr>
        <w:t>-</w:t>
      </w:r>
      <w:r>
        <w:rPr>
          <w:rFonts w:eastAsia="Times New Roman" w:cs="Times New Roman" w:ascii="Arial" w:hAnsi="Arial"/>
          <w:b/>
          <w:bCs/>
          <w:color w:val="5F6368"/>
          <w:sz w:val="24"/>
          <w:szCs w:val="24"/>
          <w:shd w:fill="FFFFFF" w:val="clear"/>
          <w:lang w:eastAsia="pt-BR"/>
        </w:rPr>
        <w:t>Latino</w:t>
      </w:r>
      <w:r>
        <w:rPr>
          <w:rFonts w:eastAsia="Times New Roman" w:cs="Times New Roman" w:ascii="Arial" w:hAnsi="Arial"/>
          <w:b/>
          <w:bCs/>
          <w:color w:val="1F1F1F"/>
          <w:sz w:val="24"/>
          <w:szCs w:val="24"/>
          <w:shd w:fill="FFFFFF" w:val="clear"/>
          <w:lang w:eastAsia="pt-BR"/>
        </w:rPr>
        <w:t>-</w:t>
      </w:r>
      <w:r>
        <w:rPr>
          <w:rFonts w:eastAsia="Times New Roman" w:cs="Times New Roman" w:ascii="Arial" w:hAnsi="Arial"/>
          <w:b/>
          <w:bCs/>
          <w:color w:val="5F6368"/>
          <w:sz w:val="24"/>
          <w:szCs w:val="24"/>
          <w:shd w:fill="FFFFFF" w:val="clear"/>
          <w:lang w:eastAsia="pt-BR"/>
        </w:rPr>
        <w:t>Americano</w:t>
      </w:r>
      <w:r>
        <w:rPr>
          <w:rFonts w:eastAsia="Times New Roman" w:cs="Times New Roman" w:ascii="Arial" w:hAnsi="Arial"/>
          <w:b/>
          <w:bCs/>
          <w:color w:val="1F1F1F"/>
          <w:sz w:val="24"/>
          <w:szCs w:val="24"/>
          <w:shd w:fill="FFFFFF" w:val="clear"/>
          <w:lang w:eastAsia="pt-BR"/>
        </w:rPr>
        <w:t xml:space="preserve">: Ensaios, Intervenções e Diálogos </w:t>
      </w:r>
      <w:r>
        <w:rPr>
          <w:rFonts w:eastAsia="Times New Roman" w:cs="Times New Roman" w:ascii="Arial" w:hAnsi="Arial"/>
          <w:color w:val="1F1F1F"/>
          <w:sz w:val="24"/>
          <w:szCs w:val="24"/>
          <w:shd w:fill="FFFFFF" w:val="clear"/>
          <w:lang w:eastAsia="pt-BR"/>
        </w:rPr>
        <w:t>. Rio Janeiro: Zahar.</w:t>
      </w:r>
    </w:p>
    <w:p>
      <w:pPr>
        <w:pStyle w:val="Normal"/>
        <w:shd w:fill="FFFFFF" w:val="clear"/>
        <w:spacing w:lineRule="auto" w:line="360" w:before="0" w:after="200"/>
        <w:ind w:firstLine="720"/>
        <w:jc w:val="both"/>
        <w:textAlignment w:val="baseline"/>
        <w:rPr>
          <w:shd w:fill="FFFFFF" w:val="clear"/>
        </w:rPr>
      </w:pPr>
      <w:r>
        <w:rPr>
          <w:rFonts w:eastAsia="Times New Roman" w:cs="Times New Roman" w:ascii="Arial" w:hAnsi="Arial"/>
          <w:b/>
          <w:bCs/>
          <w:color w:val="403D39"/>
          <w:sz w:val="24"/>
          <w:szCs w:val="24"/>
          <w:highlight w:val="white"/>
          <w:shd w:fill="FFFFFF" w:val="clear"/>
          <w:lang w:val="pt-BR" w:eastAsia="pt-BR"/>
        </w:rPr>
      </w:r>
    </w:p>
    <w:p>
      <w:pPr>
        <w:pStyle w:val="Normal"/>
        <w:shd w:fill="FFFFFF" w:val="clear"/>
        <w:spacing w:lineRule="auto" w:line="360" w:before="0" w:after="200"/>
        <w:jc w:val="both"/>
        <w:textAlignment w:val="baseline"/>
        <w:rPr/>
      </w:pP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GRAMSCI, A. </w:t>
      </w:r>
      <w:r>
        <w:rPr>
          <w:rFonts w:eastAsia="Times New Roman" w:cs="Times New Roman" w:ascii="Arial" w:hAnsi="Arial"/>
          <w:b/>
          <w:bCs/>
          <w:i/>
          <w:iCs/>
          <w:color w:val="403D39"/>
          <w:sz w:val="24"/>
          <w:szCs w:val="24"/>
          <w:shd w:fill="FFFFFF" w:val="clear"/>
          <w:lang w:eastAsia="pt-BR"/>
        </w:rPr>
        <w:t>Quaderni del carcere</w:t>
      </w:r>
      <w:r>
        <w:rPr>
          <w:rFonts w:eastAsia="Times New Roman" w:cs="Times New Roman" w:ascii="Arial" w:hAnsi="Arial"/>
          <w:b/>
          <w:bCs/>
          <w:color w:val="403D39"/>
          <w:sz w:val="24"/>
          <w:szCs w:val="24"/>
          <w:shd w:fill="FFFFFF" w:val="clear"/>
          <w:lang w:eastAsia="pt-BR"/>
        </w:rPr>
        <w:t xml:space="preserve"> Turim: Einaudi</w:t>
      </w:r>
      <w:r>
        <w:rPr>
          <w:rFonts w:eastAsia="Times New Roman" w:cs="Times New Roman" w:ascii="Arial" w:hAnsi="Arial"/>
          <w:color w:val="403D39"/>
          <w:sz w:val="24"/>
          <w:szCs w:val="24"/>
          <w:shd w:fill="FFFFFF" w:val="clear"/>
          <w:lang w:eastAsia="pt-BR"/>
        </w:rPr>
        <w:t xml:space="preserve">, 1975. Citação em </w:t>
      </w:r>
      <w:r>
        <w:rPr>
          <w:rFonts w:eastAsia="Times New Roman" w:cs="Times New Roman" w:ascii="Arial" w:hAnsi="Arial"/>
          <w:color w:val="333333"/>
          <w:sz w:val="24"/>
          <w:szCs w:val="24"/>
          <w:shd w:fill="FFFFFF" w:val="clear"/>
          <w:lang w:eastAsia="pt-BR"/>
        </w:rPr>
        <w:t xml:space="preserve">SEMERARO, G.. Intelectuais "orgânicos" em tempos de pós-modernidade. </w:t>
      </w:r>
      <w:r>
        <w:rPr>
          <w:rFonts w:eastAsia="Times New Roman" w:cs="Times New Roman" w:ascii="Arial" w:hAnsi="Arial"/>
          <w:b/>
          <w:bCs/>
          <w:color w:val="333333"/>
          <w:sz w:val="24"/>
          <w:szCs w:val="24"/>
          <w:shd w:fill="FFFFFF" w:val="clear"/>
          <w:lang w:eastAsia="pt-BR"/>
        </w:rPr>
        <w:t>Cadernos CEDES</w:t>
      </w:r>
      <w:r>
        <w:rPr>
          <w:rFonts w:eastAsia="Times New Roman" w:cs="Times New Roman" w:ascii="Arial" w:hAnsi="Arial"/>
          <w:color w:val="333333"/>
          <w:sz w:val="24"/>
          <w:szCs w:val="24"/>
          <w:shd w:fill="FFFFFF" w:val="clear"/>
          <w:lang w:eastAsia="pt-BR"/>
        </w:rPr>
        <w:t xml:space="preserve">, v. 26, n. 70, p. 373–391, set. 2006. disponível em: </w:t>
      </w:r>
      <w:hyperlink r:id="rId6">
        <w:r>
          <w:rPr>
            <w:rStyle w:val="LinkdaInternet"/>
            <w:rFonts w:eastAsia="Times New Roman" w:cs="Times New Roman" w:ascii="Arial" w:hAnsi="Arial"/>
            <w:color w:val="1155CC"/>
            <w:sz w:val="24"/>
            <w:szCs w:val="24"/>
            <w:u w:val="single"/>
            <w:shd w:fill="FFFFFF" w:val="clear"/>
            <w:lang w:eastAsia="pt-BR"/>
          </w:rPr>
          <w:t>https://www.scielo.br/j/ccedes/a/tMQPbyYGVwLjsjcT9Kjf9Tx/</w:t>
        </w:r>
      </w:hyperlink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  <w:t>SANTOS, Boaventura de Sousa; MENESES.</w:t>
      </w:r>
      <w:r>
        <w:rPr>
          <w:rFonts w:eastAsia="Times New Roman" w:cs="Times New Roman" w:ascii="Arial" w:hAnsi="Arial"/>
          <w:color w:val="474747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  <w:t>Maria Paula [orgs.].</w:t>
      </w:r>
      <w:r>
        <w:rPr>
          <w:rFonts w:eastAsia="Times New Roman" w:cs="Times New Roman" w:ascii="Arial" w:hAnsi="Arial"/>
          <w:color w:val="474747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Arial" w:hAnsi="Arial"/>
          <w:b/>
          <w:bCs/>
          <w:color w:val="040C28"/>
          <w:sz w:val="24"/>
          <w:szCs w:val="24"/>
          <w:shd w:fill="FFFFFF" w:val="clear"/>
          <w:lang w:eastAsia="pt-BR"/>
        </w:rPr>
        <w:t>Epistemologias do Sul.</w:t>
      </w:r>
      <w:r>
        <w:rPr>
          <w:rFonts w:eastAsia="Times New Roman" w:cs="Times New Roman" w:ascii="Arial" w:hAnsi="Arial"/>
          <w:color w:val="474747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  <w:t>São Paulo: Cortez, 2010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Times New Roman"/>
          <w:color w:val="040C28"/>
          <w:sz w:val="24"/>
          <w:szCs w:val="24"/>
          <w:shd w:fill="FFFFFF" w:val="clear"/>
          <w:lang w:eastAsia="pt-BR"/>
        </w:rPr>
      </w:pPr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  <w:t xml:space="preserve">SANTOS, Gislaine da Silva. </w:t>
      </w:r>
      <w:r>
        <w:rPr>
          <w:rFonts w:eastAsia="Times New Roman" w:cs="Times New Roman" w:ascii="Arial" w:hAnsi="Arial"/>
          <w:b/>
          <w:bCs/>
          <w:color w:val="040C28"/>
          <w:sz w:val="24"/>
          <w:szCs w:val="24"/>
          <w:shd w:fill="FFFFFF" w:val="clear"/>
          <w:lang w:eastAsia="pt-BR"/>
        </w:rPr>
        <w:t>"Quando a mulher negra se movimenta, toda a estrutura da sociedade se movimenta com ela": a importância da teoria e militância de Angela Davis para (re)pensar os feminismos no Brasil.</w:t>
      </w:r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  <w:t xml:space="preserve"> 2018. Trabalho de Conclusão de Curso (Bacharelado em Direito) – Faculdade de Direito de Vitória, Vitória, 2018. Disponível em </w:t>
      </w:r>
      <w:hyperlink r:id="rId7">
        <w:r>
          <w:rPr>
            <w:rStyle w:val="LinkdaInternet"/>
            <w:rFonts w:eastAsia="Times New Roman" w:cs="Times New Roman" w:ascii="Arial" w:hAnsi="Arial"/>
            <w:color w:val="1155CC"/>
            <w:sz w:val="24"/>
            <w:szCs w:val="24"/>
            <w:u w:val="single"/>
            <w:shd w:fill="FFFFFF" w:val="clear"/>
            <w:lang w:eastAsia="pt-BR"/>
          </w:rPr>
          <w:t>http://repositorio.fdv.br:8080/handle/fdv/571</w:t>
        </w:r>
      </w:hyperlink>
      <w:r>
        <w:rPr>
          <w:rFonts w:eastAsia="Times New Roman" w:cs="Times New Roman" w:ascii="Arial" w:hAnsi="Arial"/>
          <w:color w:val="040C28"/>
          <w:sz w:val="24"/>
          <w:szCs w:val="24"/>
          <w:shd w:fill="FFFFFF" w:val="clear"/>
          <w:lang w:eastAsia="pt-BR"/>
        </w:rPr>
        <w:t>, acesso em 23/10/2024.</w:t>
      </w:r>
    </w:p>
    <w:p>
      <w:pPr>
        <w:pStyle w:val="Normal"/>
        <w:shd w:fill="FFFFFF" w:val="clear"/>
        <w:spacing w:lineRule="auto" w:line="360" w:before="180" w:after="0"/>
        <w:jc w:val="both"/>
        <w:rPr>
          <w:rFonts w:ascii="Arial" w:hAnsi="Arial" w:eastAsia="Times New Roman" w:cs="Times New Roman"/>
          <w:b/>
          <w:b/>
          <w:bCs/>
          <w:color w:val="040C28"/>
          <w:sz w:val="24"/>
          <w:szCs w:val="24"/>
          <w:shd w:fill="FFFFFF" w:val="clear"/>
          <w:lang w:eastAsia="pt-BR"/>
        </w:rPr>
      </w:pPr>
      <w:r>
        <w:rPr>
          <w:rFonts w:eastAsia="Times New Roman" w:cs="Times New Roman" w:ascii="Arial" w:hAnsi="Arial"/>
          <w:b/>
          <w:bCs/>
          <w:color w:val="040C28"/>
          <w:sz w:val="24"/>
          <w:szCs w:val="24"/>
          <w:shd w:fill="FFFFFF" w:val="clear"/>
          <w:lang w:eastAsia="pt-BR"/>
        </w:rPr>
      </w:r>
    </w:p>
    <w:p>
      <w:pPr>
        <w:pStyle w:val="Normal"/>
        <w:shd w:fill="FFFFFF" w:val="clear"/>
        <w:spacing w:lineRule="auto" w:line="360" w:before="0" w:after="0"/>
        <w:jc w:val="both"/>
        <w:rPr>
          <w:rFonts w:ascii="Arial" w:hAnsi="Arial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9" w:top="1701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1560" w:hanging="0"/>
      <w:jc w:val="center"/>
      <w:rPr/>
    </w:pPr>
    <w:r>
      <w:rPr/>
      <w:drawing>
        <wp:inline distT="0" distB="0" distL="0" distR="0">
          <wp:extent cx="7391400" cy="365125"/>
          <wp:effectExtent l="0" t="0" r="0" b="0"/>
          <wp:docPr id="2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6463" r="0" b="34641"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504"/>
        <w:tab w:val="center" w:pos="4252" w:leader="none"/>
      </w:tabs>
      <w:ind w:right="2267" w:hanging="0"/>
      <w:jc w:val="center"/>
      <w:rPr>
        <w:rFonts w:ascii="Arial" w:hAnsi="Arial" w:cs="Arial"/>
        <w:b/>
        <w:b/>
        <w:bCs/>
        <w:color w:val="0A2F41" w:themeColor="accent1" w:themeShade="80"/>
      </w:rPr>
    </w:pPr>
    <w:r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3810000</wp:posOffset>
          </wp:positionH>
          <wp:positionV relativeFrom="paragraph">
            <wp:posOffset>-323215</wp:posOffset>
          </wp:positionV>
          <wp:extent cx="2566670" cy="121729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71" t="16777" r="8359" b="0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217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A2F41" w:themeColor="accent1" w:themeShade="80"/>
        <w:sz w:val="28"/>
        <w:szCs w:val="28"/>
      </w:rPr>
      <w:t>X</w:t>
    </w:r>
    <w:r>
      <w:rPr>
        <w:rFonts w:cs="Arial" w:ascii="Arial" w:hAnsi="Arial"/>
        <w:b/>
        <w:bCs/>
        <w:color w:val="0A2F41" w:themeColor="accent1" w:themeShade="80"/>
        <w:sz w:val="28"/>
        <w:szCs w:val="28"/>
      </w:rPr>
      <w:t>XII ENCONTRO NACIONAL DA ANFOPE</w:t>
    </w:r>
  </w:p>
  <w:p>
    <w:pPr>
      <w:pStyle w:val="Cabealho"/>
      <w:tabs>
        <w:tab w:val="clear" w:pos="8504"/>
        <w:tab w:val="center" w:pos="4252" w:leader="none"/>
      </w:tabs>
      <w:ind w:right="2267" w:hanging="0"/>
      <w:jc w:val="center"/>
      <w:rPr>
        <w:rFonts w:ascii="Arial" w:hAnsi="Arial" w:cs="Arial"/>
        <w:color w:val="0A2F41" w:themeColor="accent1" w:themeShade="80"/>
      </w:rPr>
    </w:pPr>
    <w:r>
      <w:rPr>
        <w:rFonts w:cs="Arial" w:ascii="Arial" w:hAnsi="Arial"/>
        <w:color w:val="0A2F41" w:themeColor="accent1" w:themeShade="80"/>
      </w:rPr>
      <w:t xml:space="preserve">39 anos da carta de Goiânia: momento de celebrar conquistas e enfrentando os desafios </w:t>
    </w:r>
  </w:p>
  <w:p>
    <w:pPr>
      <w:pStyle w:val="Cabealho"/>
      <w:tabs>
        <w:tab w:val="clear" w:pos="8504"/>
        <w:tab w:val="center" w:pos="4252" w:leader="none"/>
      </w:tabs>
      <w:ind w:right="2267" w:hanging="0"/>
      <w:jc w:val="center"/>
      <w:rPr>
        <w:rFonts w:ascii="Arial" w:hAnsi="Arial" w:cs="Arial"/>
        <w:color w:val="0A2F41" w:themeColor="accent1" w:themeShade="80"/>
      </w:rPr>
    </w:pPr>
    <w:r>
      <w:rPr>
        <w:rFonts w:cs="Arial" w:ascii="Arial" w:hAnsi="Arial"/>
        <w:color w:val="0A2F41" w:themeColor="accent1" w:themeShade="80"/>
      </w:rPr>
      <w:t>Reunião da Associação Nacional pela Formação dos Profissionais da Educação - ANFOPE</w:t>
    </w:r>
  </w:p>
</w:hdr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42a4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442a4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42a4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442a47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442a47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442a47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442a47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442a47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442a47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442a4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442a4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442a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2a47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42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42a4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42a47"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42a4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42a4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a4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leis/l9394.htm" TargetMode="External"/><Relationship Id="rId3" Type="http://schemas.openxmlformats.org/officeDocument/2006/relationships/hyperlink" Target="http://www.planalto.gov.br/ccivil_03/leis/2003/l10.639.htm" TargetMode="External"/><Relationship Id="rId4" Type="http://schemas.openxmlformats.org/officeDocument/2006/relationships/hyperlink" Target="http://piape.prograd.ufsc.br/files/2020/07/Angela-Davis-Mulheres-ra&#231;a-e-classe-Boitempo.pdf" TargetMode="External"/><Relationship Id="rId5" Type="http://schemas.openxmlformats.org/officeDocument/2006/relationships/hyperlink" Target="https://www.geledes.org.br/wp-content/uploads/2014/05/Frantz_Fanon_Pele_negra_mascaras_brancas.pdf" TargetMode="External"/><Relationship Id="rId6" Type="http://schemas.openxmlformats.org/officeDocument/2006/relationships/hyperlink" Target="https://www.scielo.br/j/ccedes/a/tMQPbyYGVwLjsjcT9Kjf9Tx/" TargetMode="External"/><Relationship Id="rId7" Type="http://schemas.openxmlformats.org/officeDocument/2006/relationships/hyperlink" Target="http://repositorio.fdv.br:8080/handle/fdv/57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LibreOffice/7.0.2.2$Windows_X86_64 LibreOffice_project/8349ace3c3162073abd90d81fd06dcfb6b36b994</Application>
  <Pages>6</Pages>
  <Words>1495</Words>
  <Characters>9008</Characters>
  <CharactersWithSpaces>10511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2025-02-11T20:29:00Z</dcterms:created>
  <dc:creator>Renato Barros de Almeida</dc:creator>
  <dc:description/>
  <dc:language>pt-BR</dc:language>
  <cp:lastModifiedBy/>
  <dcterms:modified xsi:type="dcterms:W3CDTF">2025-04-10T21:56:54Z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