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C3555" w14:textId="77777777" w:rsidR="00184291" w:rsidRDefault="00184291">
      <w:pPr>
        <w:jc w:val="right"/>
        <w:rPr>
          <w:rFonts w:ascii="Times New Roman" w:eastAsia="Times New Roman" w:hAnsi="Times New Roman" w:cs="Times New Roman"/>
        </w:rPr>
      </w:pPr>
      <w:bookmarkStart w:id="0" w:name="_Hlk167977017"/>
      <w:bookmarkEnd w:id="0"/>
    </w:p>
    <w:p w14:paraId="3C96E0C9" w14:textId="77777777" w:rsidR="00184291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COMO NOS VEMOS, COMO SOMOS VISTAS: A FORMAÇÃO DE PROFESSORAS NEGRAS E A EDUCAÇÃO DAS RELAÇÕES RACIAIS</w:t>
      </w:r>
    </w:p>
    <w:p w14:paraId="033A4FDF" w14:textId="77777777" w:rsidR="00184291" w:rsidRDefault="00184291">
      <w:pPr>
        <w:jc w:val="center"/>
        <w:rPr>
          <w:rFonts w:ascii="Times New Roman" w:eastAsia="Times New Roman" w:hAnsi="Times New Roman" w:cs="Times New Roman"/>
          <w:b/>
        </w:rPr>
      </w:pPr>
    </w:p>
    <w:p w14:paraId="6F16D11C" w14:textId="77777777" w:rsidR="00184291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Leidiane dos Santos Aguiar Macambira, IEPIC / CPII</w:t>
      </w:r>
    </w:p>
    <w:p w14:paraId="59611ABB" w14:textId="77777777" w:rsidR="00184291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Valter Filé, PPGEDU-UFF</w:t>
      </w:r>
    </w:p>
    <w:p w14:paraId="7D4B5691" w14:textId="77777777" w:rsidR="00184291" w:rsidRDefault="00184291">
      <w:pPr>
        <w:rPr>
          <w:rFonts w:ascii="Times New Roman" w:eastAsia="Times New Roman" w:hAnsi="Times New Roman" w:cs="Times New Roman"/>
        </w:rPr>
      </w:pPr>
    </w:p>
    <w:p w14:paraId="4E44E253" w14:textId="77777777" w:rsidR="00184291" w:rsidRDefault="00184291">
      <w:pPr>
        <w:rPr>
          <w:rFonts w:ascii="Times New Roman" w:eastAsia="Times New Roman" w:hAnsi="Times New Roman" w:cs="Times New Roman"/>
        </w:rPr>
      </w:pPr>
    </w:p>
    <w:p w14:paraId="43AB687D" w14:textId="77777777" w:rsidR="00184291" w:rsidRDefault="00184291">
      <w:pPr>
        <w:rPr>
          <w:rFonts w:ascii="Times New Roman" w:eastAsia="Times New Roman" w:hAnsi="Times New Roman" w:cs="Times New Roman"/>
        </w:rPr>
      </w:pPr>
    </w:p>
    <w:p w14:paraId="21D45130" w14:textId="77777777" w:rsidR="00184291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Resumo</w:t>
      </w:r>
      <w:r>
        <w:rPr>
          <w:rFonts w:ascii="Times New Roman" w:eastAsia="Times New Roman" w:hAnsi="Times New Roman" w:cs="Times New Roman"/>
        </w:rPr>
        <w:t xml:space="preserve"> </w:t>
      </w:r>
    </w:p>
    <w:p w14:paraId="693B66BE" w14:textId="77777777" w:rsidR="00184291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Como temos sido formadas/os para uma educação das relações raciais? Quais táticas temos forjado ao longo de nossas trajetórias a fim de enfrentarmos as desigualdades produzidas em nossa sociedade? Estas e outras questões fizeram movimentar este trabalho que tem por objetivo, refletir sobre o modo como as imagens influem na formação de professores. Neste sentido, problematizamos o conceito de formação e os seus entrecruzamentos com a educação das relações raciais, articulada com as mídias e suas linguagens. Pensando nos modos como as imagens atuam na educação o olhar, na produção da normalidade e na manutenção do racismo.</w:t>
      </w:r>
    </w:p>
    <w:p w14:paraId="26E16BBB" w14:textId="77777777" w:rsidR="00184291" w:rsidRDefault="00184291">
      <w:pPr>
        <w:jc w:val="both"/>
        <w:rPr>
          <w:rFonts w:ascii="Times New Roman" w:eastAsia="Times New Roman" w:hAnsi="Times New Roman" w:cs="Times New Roman"/>
        </w:rPr>
      </w:pPr>
    </w:p>
    <w:p w14:paraId="30EE9D35" w14:textId="77777777" w:rsidR="00184291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 Chaves:</w:t>
      </w:r>
      <w:r>
        <w:rPr>
          <w:rFonts w:ascii="Times New Roman" w:eastAsia="Times New Roman" w:hAnsi="Times New Roman" w:cs="Times New Roman"/>
        </w:rPr>
        <w:t xml:space="preserve"> Mulheres negras; Formação de professores; Relações raciais; Imagens de controle.</w:t>
      </w:r>
    </w:p>
    <w:p w14:paraId="4D11BD8A" w14:textId="77777777" w:rsidR="00184291" w:rsidRDefault="00184291">
      <w:pPr>
        <w:jc w:val="both"/>
        <w:rPr>
          <w:rFonts w:ascii="Times New Roman" w:eastAsia="Times New Roman" w:hAnsi="Times New Roman" w:cs="Times New Roman"/>
        </w:rPr>
      </w:pPr>
    </w:p>
    <w:p w14:paraId="3CA13551" w14:textId="77777777" w:rsidR="00184291" w:rsidRDefault="001842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F874AA2" w14:textId="77777777" w:rsidR="00184291" w:rsidRDefault="0000000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Como as desigualdades produzidas nas relações étnico-raciais se materializam na formação de professoras negras? Quais rotas, caminhos e táticas temos forjado ao longo das nossas trajetórias para o enfrentamento das desigualdades produzidas em nossa sociedade? Estas e outras questões fizeram movimentar este trabalho que tem por objetivo, refletir sobre o modo como as imagens influem na formação de professores.</w:t>
      </w:r>
    </w:p>
    <w:p w14:paraId="5446D309" w14:textId="77777777" w:rsidR="00184291" w:rsidRDefault="0000000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Fazemos parte do LEAM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>, um grupo de pesquisa formado por professoras, estudantes de graduação e pós-graduação empenhadas/os no enfrentamento do racismo, na busca por compreender seus efeitos na formação de professores, tendo como pano de fundo a cultura digital.</w:t>
      </w:r>
    </w:p>
    <w:p w14:paraId="3C1AE439" w14:textId="77777777" w:rsidR="00184291" w:rsidRDefault="0000000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No período de 2017 a 2021, por meio da pesquisa de doutoramento em educação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</w:rPr>
        <w:t xml:space="preserve">, vinculada ao grupo, buscamos conhecer como acontecem os processos formativos de professoras negras em nosso país. Para isso, conversamos com cinco mulheres negras educadoras de diferentes campos, a fim de conhecer como se </w:t>
      </w:r>
      <w:r>
        <w:rPr>
          <w:rFonts w:ascii="Times New Roman" w:eastAsia="Times New Roman" w:hAnsi="Times New Roman" w:cs="Times New Roman"/>
          <w:i/>
        </w:rPr>
        <w:t>tornaram negras</w:t>
      </w:r>
      <w:r>
        <w:rPr>
          <w:rFonts w:ascii="Times New Roman" w:eastAsia="Times New Roman" w:hAnsi="Times New Roman" w:cs="Times New Roman"/>
        </w:rPr>
        <w:t xml:space="preserve"> (SOUZA, 2021) e suas táticas de sobrevivência em um mundo de supremacia patriarcal e branca.</w:t>
      </w:r>
    </w:p>
    <w:p w14:paraId="6EB24462" w14:textId="77777777" w:rsidR="00184291" w:rsidRDefault="0000000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Tal empreitada, alinhou-se ao projeto de pesquisa até então em vigência no grupo chamado “Educação das relações raciais na cultura digital”, com o apoio da FAPERJ</w:t>
      </w:r>
      <w:r>
        <w:rPr>
          <w:rFonts w:ascii="Times New Roman" w:eastAsia="Times New Roman" w:hAnsi="Times New Roman" w:cs="Times New Roman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</w:rPr>
        <w:t>, que nasceu da necessidade de ampliação das questões geradas pelas TICs, as desigualdades produzidas nas relações étnico-raciais e as repercussões destas questões na formação de professores. Demandando o esforço de pensar em outras questões: o papel da escola e as demandas da chamada sociedade do conhecimento; o papel das professoras e professores frente às desigualdades, frente às necessidades de educar para a eliminação de todos os preconceitos e mais especificamente do racismo. Como educar para as relações raciais dentro de uma sociedade que se estruturou a partir do racismo? Como formar as/os formadoras/es que estão imersas/os nessa estrutura para uma educação das relações raciais? O que estamos chamando de formação? Será que ela compreende apenas os cursos de formação de professoras/es? Quanto às mulheres negras, que em grande número fazem parte do corpo docente da educação básica pública em nosso país, quais seriam as suas condições de formação?</w:t>
      </w:r>
    </w:p>
    <w:p w14:paraId="47F65019" w14:textId="3C8CD341" w:rsidR="00184291" w:rsidRDefault="0000000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 esforços aqui, concentram-se na busca por ampliar a ideia de formação, pondo em questão a complexidade das tramas que estruturam as relações raciais no Brasil; Segundo Souza (2021): “continuum de cor, ideologia do branqueamento e democracia racial” (p. 50). O primeiro elemento, o continuum de cor, traduz-se no</w:t>
      </w:r>
    </w:p>
    <w:p w14:paraId="4F6BA985" w14:textId="77777777" w:rsidR="00184291" w:rsidRDefault="00000000">
      <w:pPr>
        <w:shd w:val="clear" w:color="auto" w:fill="FFFFFF"/>
        <w:spacing w:after="200" w:line="276" w:lineRule="auto"/>
        <w:ind w:left="2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fato de que o branco e negro representavam apenas os extremos de uma linha ininterrupta na qual, as diferentes nuances de cor, se adscreviam significados diversos, segundo o critério de que quanto maior a brancura, maiores as possibilidades de êxito e aceitação (p. 50).</w:t>
      </w:r>
    </w:p>
    <w:p w14:paraId="7053365E" w14:textId="7199AE2D" w:rsidR="00184291" w:rsidRDefault="00000000">
      <w:pPr>
        <w:shd w:val="clear" w:color="auto" w:fill="FFFFFF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segundo elemento, a democracia racial, pauta-se no discurso da “inexistência de barreiras de cor e de segregação racial em nosso país” (p. 50). O terceiro elemento, a ideologia do embranquecimento: constitutivo das inúmeras investidas do Estado por meio das diferentes instituições socializadoras – família, religião, escola, arte, mídias, política etc. – para embranquecer a população brasileira. Todos esses elementos citados acima contribuíram/contribuem para a negação de si, tendo como efeito as dificuldades que muitas/os de nós temos no reconhecimento de nossas origens negras, de nossos pertencimentos e na reprodução de valores que nos eliminam. </w:t>
      </w:r>
    </w:p>
    <w:p w14:paraId="4359B94C" w14:textId="77777777" w:rsidR="00184291" w:rsidRDefault="00000000">
      <w:pPr>
        <w:shd w:val="clear" w:color="auto" w:fill="FFFFFF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Vivemos em um país que, através de muitas instituições sociais, nos ensina que o padrão de humanidade é ser branco, hétero e cristão. “O cidadão era o branco, os serviços respeitáveis eram os ‘serviços-de-branco’, ser bem tratado era ser tratado como branco” (SOUZA, 2021. p. 21). Incentivadas/os a este ideário social, temos investido esforços contínuos na busca por “dignidade”, mesmo que o amargo preço seja o de eliminar os vestígios que possam nos aproximar do </w:t>
      </w:r>
      <w:r>
        <w:rPr>
          <w:rFonts w:ascii="Times New Roman" w:eastAsia="Times New Roman" w:hAnsi="Times New Roman" w:cs="Times New Roman"/>
          <w:i/>
        </w:rPr>
        <w:t>ser negro</w:t>
      </w:r>
      <w:r>
        <w:rPr>
          <w:rFonts w:ascii="Times New Roman" w:eastAsia="Times New Roman" w:hAnsi="Times New Roman" w:cs="Times New Roman"/>
        </w:rPr>
        <w:t>, alisando os cabelos crespos, demonizando as religiões de matrizes africanas, rejeitando práticas culturais de origem negra… Para então ser possível nos olharmos pelo espectro imaginário branco.</w:t>
      </w:r>
    </w:p>
    <w:p w14:paraId="642669E8" w14:textId="77777777" w:rsidR="00184291" w:rsidRDefault="00000000">
      <w:pPr>
        <w:shd w:val="clear" w:color="auto" w:fill="FFFFFF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Olhamos a nós mesmas/os e aos outros a partir deste desejo/expectativa do ideal de branqueamento, que segundo Souza (2021), são uma série de investimentos a que somos submetidas/os ao conquistarmos ascensão social pagando “o preço do massacre mais ou menos dramático de sua identidade” (p. 46), tomando “o branco como modelo de identificação, como única possibilidade de ‘tornar-se gente’” (p. 46). </w:t>
      </w:r>
    </w:p>
    <w:p w14:paraId="70E9F7FB" w14:textId="77777777" w:rsidR="00CB00B6" w:rsidRDefault="00000000">
      <w:pPr>
        <w:shd w:val="clear" w:color="auto" w:fill="FFFFFF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Ver a si e aos outros passa pela educação do olhar, ou seja, “</w:t>
      </w:r>
      <w:r w:rsidRPr="00CB00B6">
        <w:rPr>
          <w:rFonts w:ascii="Times New Roman" w:eastAsia="Times New Roman" w:hAnsi="Times New Roman" w:cs="Times New Roman"/>
          <w:lang w:val="es-ES_tradnl"/>
        </w:rPr>
        <w:t>el control sobre la mirada de los otros, el control sobre cómo habría que mirar, qué habría que mirar, dónde habría que mirar, etc</w:t>
      </w:r>
      <w:r>
        <w:rPr>
          <w:rFonts w:ascii="Times New Roman" w:eastAsia="Times New Roman" w:hAnsi="Times New Roman" w:cs="Times New Roman"/>
        </w:rPr>
        <w:t xml:space="preserve">” (SKLIAR, 2009. MEIO DIGITAL). As imagens têm papel </w:t>
      </w:r>
      <w:r>
        <w:rPr>
          <w:rFonts w:ascii="Times New Roman" w:eastAsia="Times New Roman" w:hAnsi="Times New Roman" w:cs="Times New Roman"/>
        </w:rPr>
        <w:lastRenderedPageBreak/>
        <w:t xml:space="preserve">importante nos processos educativos, de subjetivação e socialização da população, sugerindo modelos de representação para cada grupo. Os quais produzem uma certa naturalização das articulações de tais modelos com as marcações de lugar e de possibilidades de vida, ou de </w:t>
      </w:r>
      <w:r>
        <w:rPr>
          <w:rFonts w:ascii="Times New Roman" w:eastAsia="Times New Roman" w:hAnsi="Times New Roman" w:cs="Times New Roman"/>
          <w:i/>
        </w:rPr>
        <w:t>morte em vida</w:t>
      </w:r>
      <w:r>
        <w:rPr>
          <w:rFonts w:ascii="Times New Roman" w:eastAsia="Times New Roman" w:hAnsi="Times New Roman" w:cs="Times New Roman"/>
        </w:rPr>
        <w:t xml:space="preserve"> como diria Trindade (2000). Trazemos então, uma primeira imagem que de algum modo povoa o nosso imaginário social. </w:t>
      </w:r>
    </w:p>
    <w:p w14:paraId="5ADB43C8" w14:textId="42CE4732" w:rsidR="00CB00B6" w:rsidRPr="008A3106" w:rsidRDefault="00CB00B6" w:rsidP="00CB00B6">
      <w:pPr>
        <w:jc w:val="center"/>
        <w:textDirection w:val="btLr"/>
        <w:rPr>
          <w:rFonts w:ascii="Times New Roman" w:hAnsi="Times New Roman" w:cs="Times New Roman"/>
          <w:sz w:val="22"/>
          <w:szCs w:val="22"/>
          <w:lang w:val="es-ES_tradnl"/>
        </w:rPr>
      </w:pPr>
      <w:r w:rsidRPr="008A3106">
        <w:rPr>
          <w:rFonts w:ascii="Times New Roman" w:eastAsia="Arial" w:hAnsi="Times New Roman" w:cs="Times New Roman"/>
          <w:color w:val="000000"/>
          <w:sz w:val="18"/>
          <w:szCs w:val="22"/>
          <w:lang w:val="es-ES_tradnl"/>
        </w:rPr>
        <w:t xml:space="preserve">Figura 1 - </w:t>
      </w:r>
      <w:r w:rsidRPr="008A3106">
        <w:rPr>
          <w:rFonts w:ascii="Times New Roman" w:eastAsia="Arial" w:hAnsi="Times New Roman" w:cs="Times New Roman"/>
          <w:i/>
          <w:color w:val="000000"/>
          <w:sz w:val="18"/>
          <w:szCs w:val="22"/>
          <w:lang w:val="es-ES_tradnl"/>
        </w:rPr>
        <w:t>América</w:t>
      </w:r>
      <w:r w:rsidRPr="008A3106">
        <w:rPr>
          <w:rFonts w:ascii="Times New Roman" w:eastAsia="Arial" w:hAnsi="Times New Roman" w:cs="Times New Roman"/>
          <w:color w:val="000000"/>
          <w:sz w:val="18"/>
          <w:szCs w:val="22"/>
          <w:lang w:val="es-ES_tradnl"/>
        </w:rPr>
        <w:t>, de Jan Van der Straet (1575)</w:t>
      </w:r>
    </w:p>
    <w:p w14:paraId="2770094D" w14:textId="1FD0606B" w:rsidR="008A3106" w:rsidRDefault="002F49A7" w:rsidP="00CB00B6">
      <w:pPr>
        <w:jc w:val="center"/>
        <w:textDirection w:val="btLr"/>
        <w:rPr>
          <w:rFonts w:ascii="Times New Roman" w:eastAsia="Arial" w:hAnsi="Times New Roman" w:cs="Times New Roman"/>
          <w:color w:val="000000"/>
          <w:sz w:val="18"/>
          <w:szCs w:val="22"/>
          <w:lang w:val="es-ES_tradnl"/>
        </w:rPr>
      </w:pPr>
      <w:r>
        <w:rPr>
          <w:noProof/>
        </w:rPr>
        <w:drawing>
          <wp:inline distT="0" distB="0" distL="0" distR="0" wp14:anchorId="22F15063" wp14:editId="66685B22">
            <wp:extent cx="5400040" cy="3678555"/>
            <wp:effectExtent l="0" t="0" r="0" b="0"/>
            <wp:docPr id="959745281" name="Imagem 4" descr="Foto em preto e branco de grupo de pessoas lado a l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45281" name="Imagem 4" descr="Foto em preto e branco de grupo de pessoas lado a l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F67B0" w14:textId="4C27143B" w:rsidR="008A3106" w:rsidRDefault="008A3106" w:rsidP="00CB00B6">
      <w:pPr>
        <w:jc w:val="center"/>
        <w:textDirection w:val="btLr"/>
        <w:rPr>
          <w:rFonts w:ascii="Times New Roman" w:eastAsia="Arial" w:hAnsi="Times New Roman" w:cs="Times New Roman"/>
          <w:color w:val="000000"/>
          <w:sz w:val="18"/>
          <w:szCs w:val="22"/>
          <w:lang w:val="es-ES_tradnl"/>
        </w:rPr>
      </w:pPr>
    </w:p>
    <w:p w14:paraId="7FC59D62" w14:textId="33B94A69" w:rsidR="00CB00B6" w:rsidRPr="002F49A7" w:rsidRDefault="00CB00B6" w:rsidP="00CB00B6">
      <w:pPr>
        <w:jc w:val="center"/>
        <w:textDirection w:val="btLr"/>
        <w:rPr>
          <w:rFonts w:ascii="Times New Roman" w:eastAsia="Arial" w:hAnsi="Times New Roman" w:cs="Times New Roman"/>
          <w:color w:val="000000"/>
          <w:sz w:val="18"/>
          <w:szCs w:val="22"/>
        </w:rPr>
      </w:pPr>
      <w:r w:rsidRPr="002F49A7">
        <w:rPr>
          <w:rFonts w:ascii="Times New Roman" w:eastAsia="Arial" w:hAnsi="Times New Roman" w:cs="Times New Roman"/>
          <w:color w:val="000000"/>
          <w:sz w:val="18"/>
          <w:szCs w:val="22"/>
        </w:rPr>
        <w:t>Fonte:</w:t>
      </w:r>
      <w:r w:rsidR="002F49A7" w:rsidRPr="002F49A7">
        <w:t xml:space="preserve"> </w:t>
      </w:r>
      <w:r w:rsidR="002F49A7" w:rsidRPr="002F49A7">
        <w:rPr>
          <w:rFonts w:ascii="Times New Roman" w:eastAsia="Arial" w:hAnsi="Times New Roman" w:cs="Times New Roman"/>
          <w:color w:val="000000"/>
          <w:sz w:val="18"/>
          <w:szCs w:val="22"/>
        </w:rPr>
        <w:t>https://upload.wikimedia.org/wikipedia/commons/thumb/c/cb/Stradanus_America.jpg/2560px-Stradanus_America.jpg</w:t>
      </w:r>
    </w:p>
    <w:p w14:paraId="61F528A1" w14:textId="2ABCFE25" w:rsidR="00184291" w:rsidRDefault="00000000">
      <w:pPr>
        <w:shd w:val="clear" w:color="auto" w:fill="FFFFFF"/>
        <w:spacing w:before="240" w:after="200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Américo Vespúcio, o Descobridor, vem do mar. De pé, vestido, encouraçado, cruzado, trazendo as armas europeias do sentido e tendo por detrás dele os navios que trarão para o Ocidente os tesouros de um paraíso. Diante dele a América Índia, mulher estendida, nua, presença não nomeada da diferença, corpo que desperta num espaço de vegetações e animais exóticos. Cena inaugural. Após um momento de espanto neste limiar marcado por uma colunata de árvores, o conquistador irá escrever o corpo do outro e nele traçar a sua própria história. Fará dele o corpo historiado – o brasão – de seus trabalhos e de seus fantasmas. Isto será a América “Latina” (CERTEAU, 1982, p. 9).</w:t>
      </w:r>
    </w:p>
    <w:p w14:paraId="152498BC" w14:textId="77777777" w:rsidR="00184291" w:rsidRDefault="00000000">
      <w:pPr>
        <w:spacing w:before="240" w:after="20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 composição acima remonta uma espécie de cena inaugural da colonização das Américas e consequentemente do nosso país. Nos livros didáticos e nas aulas de História que circulam pelas escolas, essa mesma cena é reconstituída de inúmeras formas. A história de chegada, de conquista, de descobrimento... Uma imagem que também dá a ver o encontro entre europeus e não europeus – nativos da terra e os que posteriormente, chegaram por meio do tráfico de pessoas – todos esses considerados os </w:t>
      </w:r>
      <w:r>
        <w:rPr>
          <w:rFonts w:ascii="Times New Roman" w:eastAsia="Times New Roman" w:hAnsi="Times New Roman" w:cs="Times New Roman"/>
          <w:i/>
        </w:rPr>
        <w:t>Outros</w:t>
      </w:r>
      <w:r>
        <w:rPr>
          <w:rFonts w:ascii="Times New Roman" w:eastAsia="Times New Roman" w:hAnsi="Times New Roman" w:cs="Times New Roman"/>
        </w:rPr>
        <w:t xml:space="preserve">, ligados à natureza, incivilizados/as, bestiais, irracionais, monstruosos/as… Os/as quais deveriam se render à civilização trazida por aqueles autodenominados racionais, culturais, tecnológicos e civilizados. Dentre as tecnologias bélicas trouxeram como arma do sentido a escrita conquistadora (CERTEAU, 1982), com a qual inventaram para si o lugar central no mundo, a referência de ser humano: branco, macho, hétero, cristão e europeu. Um modelo a ser aprendido, respeitado, desejado </w:t>
      </w:r>
      <w:r>
        <w:rPr>
          <w:rFonts w:ascii="Times New Roman" w:eastAsia="Times New Roman" w:hAnsi="Times New Roman" w:cs="Times New Roman"/>
          <w:highlight w:val="white"/>
        </w:rPr>
        <w:t xml:space="preserve">e produzir resignação aos </w:t>
      </w:r>
      <w:r>
        <w:rPr>
          <w:rFonts w:ascii="Times New Roman" w:eastAsia="Times New Roman" w:hAnsi="Times New Roman" w:cs="Times New Roman"/>
          <w:i/>
        </w:rPr>
        <w:t>Outros</w:t>
      </w:r>
      <w:r>
        <w:rPr>
          <w:rFonts w:ascii="Times New Roman" w:eastAsia="Times New Roman" w:hAnsi="Times New Roman" w:cs="Times New Roman"/>
          <w:highlight w:val="white"/>
        </w:rPr>
        <w:t xml:space="preserve"> pelas suas condições já definidas de antemão</w:t>
      </w:r>
      <w:r>
        <w:rPr>
          <w:rFonts w:ascii="Times New Roman" w:eastAsia="Times New Roman" w:hAnsi="Times New Roman" w:cs="Times New Roman"/>
        </w:rPr>
        <w:t>; os “</w:t>
      </w:r>
      <w:r>
        <w:rPr>
          <w:rFonts w:ascii="Times New Roman" w:eastAsia="Times New Roman" w:hAnsi="Times New Roman" w:cs="Times New Roman"/>
          <w:i/>
        </w:rPr>
        <w:t>‘Outros’</w:t>
      </w:r>
      <w:r>
        <w:rPr>
          <w:rFonts w:ascii="Times New Roman" w:eastAsia="Times New Roman" w:hAnsi="Times New Roman" w:cs="Times New Roman"/>
        </w:rPr>
        <w:t xml:space="preserve"> da sociedade, aqueles [e aquelas] que nunca poderão ser realmente parte dela, os estranhos [que] ameaçam a ordem moral e social” (COLLINS, 2019, p. 136), cujas formas de vida, pensamento, religiosidade e conhecimento não se enquadram no que fora determinado como a referência, o modelo, a matriz… Um padrão de normalidade que “</w:t>
      </w:r>
      <w:r w:rsidRPr="008A3106">
        <w:rPr>
          <w:rFonts w:ascii="Times New Roman" w:eastAsia="Times New Roman" w:hAnsi="Times New Roman" w:cs="Times New Roman"/>
          <w:lang w:val="es-ES_tradnl"/>
        </w:rPr>
        <w:t>se transforma en regla indiscutible e indisimulable.</w:t>
      </w:r>
      <w:r>
        <w:rPr>
          <w:rFonts w:ascii="Times New Roman" w:eastAsia="Times New Roman" w:hAnsi="Times New Roman" w:cs="Times New Roman"/>
        </w:rPr>
        <w:t xml:space="preserve"> </w:t>
      </w:r>
      <w:r w:rsidRPr="00CB00B6">
        <w:rPr>
          <w:rFonts w:ascii="Times New Roman" w:eastAsia="Times New Roman" w:hAnsi="Times New Roman" w:cs="Times New Roman"/>
          <w:lang w:val="es-ES_tradnl"/>
        </w:rPr>
        <w:t xml:space="preserve">[que] autoriza a la segregación, la violencia. y también a la promesa de inclusión” (SKLIAR, 2011, p. 279). </w:t>
      </w:r>
      <w:r>
        <w:rPr>
          <w:rFonts w:ascii="Times New Roman" w:eastAsia="Times New Roman" w:hAnsi="Times New Roman" w:cs="Times New Roman"/>
        </w:rPr>
        <w:t xml:space="preserve">Todos esses </w:t>
      </w:r>
      <w:r>
        <w:rPr>
          <w:rFonts w:ascii="Times New Roman" w:eastAsia="Times New Roman" w:hAnsi="Times New Roman" w:cs="Times New Roman"/>
          <w:i/>
        </w:rPr>
        <w:t>Outros</w:t>
      </w:r>
      <w:r>
        <w:rPr>
          <w:rFonts w:ascii="Times New Roman" w:eastAsia="Times New Roman" w:hAnsi="Times New Roman" w:cs="Times New Roman"/>
        </w:rPr>
        <w:t xml:space="preserve">, inomináveis, depositários dos demônios da civilização, “ao mesmo tempo, são fundamentais para sua sobrevivência, porque os indivíduos que estão à margem são os que explicitam os limites da sociedade” (COLLINS, 2019, p. 136). </w:t>
      </w:r>
    </w:p>
    <w:p w14:paraId="38041B85" w14:textId="6AFDA6CC" w:rsidR="00184291" w:rsidRDefault="00000000">
      <w:pPr>
        <w:spacing w:before="240" w:after="20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Vemos este mesmo fenômeno – o de objetificação e destituição da humanidade – na história de Sarah Baartman, uma mulher nascida “em 1789 nas proximidades do rio Gamtoos, na atual província sul-africana de Cabo Oriental. A jovem pertencia ao povo Khoi”. Sua popularidade no mundo deu-se pelo motivo de seu corpo ter servido como espetáculo circense para europeus – na França, Irlanda e Grã-Bretanha. Pejorativamente a chamavam de Vênus de Hotentote, fazendo alusão às suas nádegas, que eram </w:t>
      </w:r>
      <w:r>
        <w:rPr>
          <w:rFonts w:ascii="Times New Roman" w:eastAsia="Times New Roman" w:hAnsi="Times New Roman" w:cs="Times New Roman"/>
        </w:rPr>
        <w:lastRenderedPageBreak/>
        <w:t>consideradas grandes em relação aos padrões de beleza da época. Aos 26 anos (1815), faleceu na França, e mesmo após, a imagem de seu corpo continuou sendo explorada, com ampla divulgação com conotação erótica e científica.</w:t>
      </w:r>
    </w:p>
    <w:p w14:paraId="0FCF0098" w14:textId="3CEAAE0C" w:rsidR="00CB00B6" w:rsidRDefault="00CB00B6" w:rsidP="00CB00B6">
      <w:pPr>
        <w:spacing w:before="24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Figura 2: </w:t>
      </w:r>
      <w:r w:rsidRPr="00CB00B6">
        <w:rPr>
          <w:rFonts w:ascii="Times New Roman" w:eastAsia="Times New Roman" w:hAnsi="Times New Roman" w:cs="Times New Roman"/>
          <w:sz w:val="18"/>
          <w:szCs w:val="18"/>
        </w:rPr>
        <w:t>Sarah Baartman</w:t>
      </w:r>
    </w:p>
    <w:p w14:paraId="6A1846AA" w14:textId="0430C8CC" w:rsidR="00CB00B6" w:rsidRDefault="00CB00B6" w:rsidP="00CB00B6">
      <w:pPr>
        <w:spacing w:after="200"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2848" behindDoc="0" locked="0" layoutInCell="1" allowOverlap="1" wp14:anchorId="586AB67A" wp14:editId="68C57C9F">
            <wp:simplePos x="0" y="0"/>
            <wp:positionH relativeFrom="column">
              <wp:posOffset>548640</wp:posOffset>
            </wp:positionH>
            <wp:positionV relativeFrom="paragraph">
              <wp:posOffset>100006</wp:posOffset>
            </wp:positionV>
            <wp:extent cx="4223909" cy="2808007"/>
            <wp:effectExtent l="0" t="0" r="5715" b="0"/>
            <wp:wrapTopAndBottom/>
            <wp:docPr id="8" name="image2.png" descr="Foto preta e branca de rosto de homem visto de per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 descr="Foto preta e branca de rosto de homem visto de perto&#10;&#10;Descrição gerada automaticamente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909" cy="2808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  <w:szCs w:val="18"/>
        </w:rPr>
        <w:t>Fonte: https://www.ufrgs.br/africanas/wp-content/uploads/2021/01/Sara-Baartman-1.jpg</w:t>
      </w:r>
    </w:p>
    <w:p w14:paraId="10A09223" w14:textId="28FB101F" w:rsidR="00184291" w:rsidRDefault="00000000">
      <w:pPr>
        <w:spacing w:before="240" w:after="20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Seu corpo serviu como objeto de divertimento e especulação para a população e para a comunidade científica europeia. Segundo relatos históricos, partes do seu corpo – cérebro e genitálias – foram dissecados e deixados em exposição no Museu do Homem de Paris até 1974</w:t>
      </w:r>
      <w:r>
        <w:rPr>
          <w:rFonts w:ascii="Times New Roman" w:eastAsia="Times New Roman" w:hAnsi="Times New Roman" w:cs="Times New Roman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</w:rPr>
        <w:t xml:space="preserve">. </w:t>
      </w:r>
    </w:p>
    <w:p w14:paraId="386671F2" w14:textId="77777777" w:rsidR="00184291" w:rsidRDefault="00000000">
      <w:pPr>
        <w:spacing w:before="240" w:after="20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duas cenas trazidas acima, em conjunto com a discussão sobre a produção da normalidade apontada pelas autoras e autores com os quais dialogamos, nos ajudam a articular as questões postas à mesa no início deste trabalho com os enfrentamentos empreendidos por mulheres negras ao tornarem-se professoras de uma população que em sua maioria é composta por negras e negros e as diversas resistências na implementação </w:t>
      </w:r>
      <w:r>
        <w:rPr>
          <w:rFonts w:ascii="Times New Roman" w:eastAsia="Times New Roman" w:hAnsi="Times New Roman" w:cs="Times New Roman"/>
        </w:rPr>
        <w:lastRenderedPageBreak/>
        <w:t>da Lei 10.639/2003 que insere na LDB 9.394/1996, a inclusão da temática "História e Cultura Afro-Brasileira" no currículo. Por que mesmo após tantos anos de promulgação legal, ainda presenciamos resistências ou o tratamento das questões étnico-raciais como temas isolados e relegados apenas a dias comemorativos como o 20 de novembro?</w:t>
      </w:r>
    </w:p>
    <w:p w14:paraId="4D2E305F" w14:textId="77777777" w:rsidR="00184291" w:rsidRDefault="00000000">
      <w:pPr>
        <w:spacing w:before="240" w:after="20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Citamos apenas o quadro “América” e a história de Sara Baartman, mas existem muitas outras imagens que estão à nossa volta educando nossos modos de ser e estar no mundo… O conceito de imagens de controle de Collins (2019) nos ajuda a entender como essas imagens se articulam e atravessam as nossas trajetórias formativas. As imagens de controle são atualizadas aos contextos sociais e culturais para que se mantenham os modos de controle. Ou seja, as imagens podem mudar, mas a matriz de dominação será sempre a mesma. Imagens produzidas "para fazer com que o racismo, o sexismo, a pobreza e outras formas de injustiça social pareçam naturais, normais e inevitáveis na vida cotidiana” (COLLINS, 2019, p. 136). Servem de exemplos, orientando condutas, oferecendo valores e mantendo as opressões de raça, gênero e classe social.</w:t>
      </w:r>
    </w:p>
    <w:p w14:paraId="00029617" w14:textId="1E746028" w:rsidR="00184291" w:rsidRDefault="00000000">
      <w:pPr>
        <w:spacing w:before="240" w:after="200" w:line="36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No entanto, existem fissuras provocadas em meio a essa profusão de visualidades que tentam nos resignar o tempo todo. “É a luta pela sobrevivência do grupo, que consiste em ações que levam as mulheres negras a </w:t>
      </w:r>
      <w:r w:rsidR="008A3106">
        <w:rPr>
          <w:rFonts w:ascii="Times New Roman" w:eastAsia="Times New Roman" w:hAnsi="Times New Roman" w:cs="Times New Roman"/>
        </w:rPr>
        <w:t>criarem</w:t>
      </w:r>
      <w:r>
        <w:rPr>
          <w:rFonts w:ascii="Times New Roman" w:eastAsia="Times New Roman" w:hAnsi="Times New Roman" w:cs="Times New Roman"/>
        </w:rPr>
        <w:t xml:space="preserve"> esferas de influência no interior das estruturas sociais existentes” (COLLINS, 2019. p. 332). Pois, ao percebermos as opressões a que estamos submetidas/os, produzimos para si e para outras, modos de vida possíveis de serem vividos, com os quais podemos romper com os destinos impostos pelo racismo. Nas diversas redes de apoio, professoras negras nutrem-se para a luta contra as opressões, </w:t>
      </w:r>
      <w:r w:rsidR="008A3106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provocam transformações na educação e na formação de professoras e professores. </w:t>
      </w:r>
    </w:p>
    <w:p w14:paraId="7E44A135" w14:textId="77777777" w:rsidR="00184291" w:rsidRDefault="00000000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>
        <w:rPr>
          <w:rFonts w:ascii="Times New Roman" w:eastAsia="Times New Roman" w:hAnsi="Times New Roman" w:cs="Times New Roman"/>
          <w:color w:val="7A1A1C"/>
          <w:sz w:val="28"/>
          <w:szCs w:val="28"/>
        </w:rPr>
        <w:t>Referências bibliográficas</w:t>
      </w:r>
    </w:p>
    <w:p w14:paraId="29E95895" w14:textId="77777777" w:rsidR="00184291" w:rsidRDefault="00000000">
      <w:pPr>
        <w:spacing w:before="24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CERTEAU, Michel de. A escrita da história. Trad. Maria de Lourdes Menezes. Rio de Janeiro: Forense Universitária, 1982. </w:t>
      </w:r>
    </w:p>
    <w:p w14:paraId="77F803CC" w14:textId="77777777" w:rsidR="00184291" w:rsidRDefault="00000000">
      <w:pPr>
        <w:spacing w:before="24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COLLINS, Patricia Hill. Pensamento feminista negro: conhecimento, consciência e a política do empoderamento. São Paulo: Boitempo, 2019.</w:t>
      </w:r>
    </w:p>
    <w:p w14:paraId="00B6A7BE" w14:textId="77777777" w:rsidR="00184291" w:rsidRDefault="00000000">
      <w:pPr>
        <w:spacing w:before="24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SKLIAR, Carlos. Educar la mirada. Revista Sin puntero.  N. 3. Jul. 2009. Disponível em: </w:t>
      </w:r>
      <w:hyperlink r:id="rId9">
        <w:r>
          <w:rPr>
            <w:rFonts w:ascii="Times New Roman" w:eastAsia="Times New Roman" w:hAnsi="Times New Roman" w:cs="Times New Roman"/>
            <w:u w:val="single"/>
          </w:rPr>
          <w:t>http://laescuelaylosjovenes.blogspot.com.br201002educar-la-mirada.html</w:t>
        </w:r>
      </w:hyperlink>
    </w:p>
    <w:p w14:paraId="7A4DD699" w14:textId="77777777" w:rsidR="00184291" w:rsidRDefault="00000000">
      <w:pPr>
        <w:spacing w:before="24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KILOMBA, Grada. Memórias da plantação: episódios de racismo cotidiano. Rio de Janeiro: Cobogó, 2019.</w:t>
      </w:r>
    </w:p>
    <w:p w14:paraId="172E9CBA" w14:textId="77777777" w:rsidR="00184291" w:rsidRDefault="00000000">
      <w:pPr>
        <w:spacing w:before="24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SKLIAR, Carlos. A materialidade da morte e o eufemismo da tolerância. Duas faces, dentre as milhões de faces, desse monstro (humano) chamado racismo. Revista Prâksis, Novo Hamburgo, v. 1, n. 1, p. 15-26, mai. 2020.</w:t>
      </w:r>
    </w:p>
    <w:p w14:paraId="723F5539" w14:textId="77777777" w:rsidR="00184291" w:rsidRDefault="00000000">
      <w:pPr>
        <w:spacing w:before="24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SOUZA, Neusa Santos. Tornar-se negro: As vicissitudes da identidade do negro brasileiro em ascensão social. Rio de Janeiro: Zahar, 2021.</w:t>
      </w:r>
    </w:p>
    <w:p w14:paraId="02B55AC1" w14:textId="77777777" w:rsidR="00184291" w:rsidRDefault="00000000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TRINDADE, Azoilda Loretto da. Olhando com o coração e sentindo com o corpo inteiro no cotidiano escolar. In: TRINDADE, Azoilda Loretto da; SANTOS, Rafael dos (Orgs.). Multiculturalismo: as mil e uma faces da escola. 2. ed. Rio de Janeiro: DP&amp;A, 2000. p. 7-16.</w:t>
      </w:r>
    </w:p>
    <w:sectPr w:rsidR="001842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2AA70" w14:textId="77777777" w:rsidR="00B00780" w:rsidRDefault="00B00780">
      <w:r>
        <w:separator/>
      </w:r>
    </w:p>
  </w:endnote>
  <w:endnote w:type="continuationSeparator" w:id="0">
    <w:p w14:paraId="7D181840" w14:textId="77777777" w:rsidR="00B00780" w:rsidRDefault="00B00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53B6D" w14:textId="77777777" w:rsidR="00184291" w:rsidRDefault="001842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C152B" w14:textId="77777777" w:rsidR="00184291" w:rsidRDefault="001842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52D71" w14:textId="77777777" w:rsidR="00184291" w:rsidRDefault="001842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4209E2" w14:textId="77777777" w:rsidR="00B00780" w:rsidRDefault="00B00780">
      <w:r>
        <w:separator/>
      </w:r>
    </w:p>
  </w:footnote>
  <w:footnote w:type="continuationSeparator" w:id="0">
    <w:p w14:paraId="520A4AAC" w14:textId="77777777" w:rsidR="00B00780" w:rsidRDefault="00B00780">
      <w:r>
        <w:continuationSeparator/>
      </w:r>
    </w:p>
  </w:footnote>
  <w:footnote w:id="1">
    <w:p w14:paraId="07BE7DDF" w14:textId="77777777" w:rsidR="001842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LEAM - Laboratório de Estudos e Aprontos Multimídia: educação das relações étnico-raciais na cultura digital. Site: https://leam.uff.br/</w:t>
      </w:r>
    </w:p>
  </w:footnote>
  <w:footnote w:id="2">
    <w:p w14:paraId="31EF7668" w14:textId="77777777" w:rsidR="00184291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>Tese: “Os modos como vamos nos tornando mulheres negras e educadoras antirracistas: Narrativas de formação para pensar a educação das relações raciais”. Disponível: https://app.uff.br/riuff/bitstream/handle/1/23907/Leidiane_Tese_final_Biblioteca_Dez_2021.pdf?sequence=1&amp;isAllowed=y</w:t>
      </w:r>
    </w:p>
  </w:footnote>
  <w:footnote w:id="3">
    <w:p w14:paraId="4A9E3591" w14:textId="77777777" w:rsidR="00184291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Bolsa Jovem Cientista do Nosso Estado - 2017.</w:t>
      </w:r>
    </w:p>
  </w:footnote>
  <w:footnote w:id="4">
    <w:p w14:paraId="3279E7F3" w14:textId="77777777" w:rsidR="00184291" w:rsidRDefault="00000000">
      <w:pPr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 xml:space="preserve"> Disponível em: &lt;</w:t>
      </w:r>
      <w:hyperlink r:id="rId1">
        <w:r>
          <w:rPr>
            <w:rFonts w:ascii="Times New Roman" w:eastAsia="Times New Roman" w:hAnsi="Times New Roman" w:cs="Times New Roman"/>
            <w:color w:val="434343"/>
            <w:sz w:val="20"/>
            <w:szCs w:val="20"/>
          </w:rPr>
          <w:t>https://www.bbc.com/portuguese/noticias/2016/01/160110_mulher_circo_africa_lab</w:t>
        </w:r>
      </w:hyperlink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&gt;. Acesso em: 21 jan.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90667" w14:textId="77777777" w:rsidR="00184291" w:rsidRDefault="001842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7B37F" w14:textId="77777777" w:rsidR="001842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3925B957" wp14:editId="7744069C">
          <wp:extent cx="5400040" cy="1771650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17783" w14:textId="77777777" w:rsidR="00184291" w:rsidRDefault="001842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291"/>
    <w:rsid w:val="00184291"/>
    <w:rsid w:val="001F2940"/>
    <w:rsid w:val="002F49A7"/>
    <w:rsid w:val="008A3106"/>
    <w:rsid w:val="00B00780"/>
    <w:rsid w:val="00BB69B1"/>
    <w:rsid w:val="00CB00B6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A32D2"/>
  <w15:docId w15:val="{0730AE0E-93EC-433A-8864-7A340557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laescuelaylosjovenes.blogspot.com.br201002educar-la-mirada.html" TargetMode="Externa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bc.com/portuguese/noticias/2016/01/160110_mulher_circo_africa_lab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9VE7hTUcn7y6GOayepw/IGOHw==">CgMxLjA4AHIhMTB6UzE4cUpTOWRyS25yM3pFeXlCT2dpWDdheWVoRW41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2009</Words>
  <Characters>11336</Characters>
  <Application>Microsoft Office Word</Application>
  <DocSecurity>0</DocSecurity>
  <Lines>188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Leidiane Macambira;Valter Filé</dc:creator>
  <cp:keywords>Seminário Redes 2024;Resumo Expandido</cp:keywords>
  <cp:lastModifiedBy>Leidiane Macambira</cp:lastModifiedBy>
  <cp:revision>3</cp:revision>
  <dcterms:created xsi:type="dcterms:W3CDTF">2024-05-30T19:15:00Z</dcterms:created>
  <dcterms:modified xsi:type="dcterms:W3CDTF">2024-05-30T19:18:00Z</dcterms:modified>
</cp:coreProperties>
</file>