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bookmarkStart w:id="0" w:name="_GoBack"/>
            <w:bookmarkEnd w:id="0"/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3ECFB403" w:rsidR="00E60D89" w:rsidRPr="00C0261A" w:rsidRDefault="00C534E3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ATIVIDADE </w:t>
      </w:r>
      <w:r w:rsidR="00764D91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FUNGICIDA DA NANOEMULSÃO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50057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SINÉRGICA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DO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ÓLEO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ESSENCIA</w:t>
      </w:r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IS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DE </w:t>
      </w:r>
      <w:r w:rsidR="004C03E2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Citrus sinensis 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(</w:t>
      </w:r>
      <w:r w:rsidR="000F4ED6" w:rsidRPr="000F4ED6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L.</w:t>
      </w:r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) </w:t>
      </w:r>
      <w:proofErr w:type="spellStart"/>
      <w:r w:rsidR="004C03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Osbeck</w:t>
      </w:r>
      <w:proofErr w:type="spellEnd"/>
      <w:r w:rsid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e </w:t>
      </w:r>
      <w:proofErr w:type="spellStart"/>
      <w:r w:rsidR="00B11287" w:rsidRPr="00B1128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>Cymbopogon</w:t>
      </w:r>
      <w:proofErr w:type="spellEnd"/>
      <w:r w:rsidR="00B11287" w:rsidRPr="00B1128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 xml:space="preserve"> </w:t>
      </w:r>
      <w:proofErr w:type="spellStart"/>
      <w:r w:rsidR="00B11287" w:rsidRPr="00B11287">
        <w:rPr>
          <w:rFonts w:ascii="Adobe Devanagari" w:hAnsi="Adobe Devanagari" w:cs="Adobe Devanagari"/>
          <w:b/>
          <w:bCs/>
          <w:i/>
          <w:color w:val="385623" w:themeColor="accent6" w:themeShade="80"/>
          <w:sz w:val="28"/>
          <w:szCs w:val="28"/>
        </w:rPr>
        <w:t>winterianus</w:t>
      </w:r>
      <w:proofErr w:type="spellEnd"/>
      <w:r w:rsidR="00B11287" w:rsidRP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proofErr w:type="spellStart"/>
      <w:r w:rsidR="00B11287" w:rsidRP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Jowitt</w:t>
      </w:r>
      <w:proofErr w:type="spellEnd"/>
      <w:r w:rsidR="00B11287" w:rsidRPr="00B11287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.</w:t>
      </w:r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6FEB0C4" w14:textId="2714BD59" w:rsidR="00E60D89" w:rsidRPr="004C4D30" w:rsidRDefault="004A6572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Thércia Gabrielle Teixeira MARTINS</w:t>
      </w:r>
      <w:r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*;</w:t>
      </w:r>
      <w:r w:rsidR="00C036A8" w:rsidRP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Iure Bernardino de SOUSA</w:t>
      </w:r>
      <w:r w:rsidR="00C036A8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C036A8" w:rsidRP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Larissa Gabrielle Pinheiro FERREIRA</w:t>
      </w:r>
      <w:r w:rsidR="00C036A8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3"/>
      </w:r>
      <w:r w:rsid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C036A8" w:rsidRPr="00C036A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C036A8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Everton Holanda SALES</w:t>
      </w:r>
      <w:r w:rsidR="00C036A8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4"/>
      </w:r>
      <w:r w:rsidR="00C036A8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4F5EAD" w:rsidRPr="004F5EA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4F5EA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Thayane Lopes de SOUSA</w:t>
      </w:r>
      <w:r w:rsidR="004F5EA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5"/>
      </w:r>
      <w:r w:rsidR="004F5EA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502C04" w:rsidRPr="00502C04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Maria </w:t>
      </w:r>
      <w:proofErr w:type="spellStart"/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Giullia</w:t>
      </w:r>
      <w:proofErr w:type="spellEnd"/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Alves Carneiro FELIZARDO</w:t>
      </w:r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6"/>
      </w:r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Gustavo Oliveira EVERTON</w:t>
      </w:r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7"/>
      </w:r>
      <w:r w:rsidR="00502C04" w:rsidRPr="006E7B3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14:paraId="4170CDE3" w14:textId="77777777" w:rsidR="009B655D" w:rsidRPr="0019487F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7991FD7A" w14:textId="47479AED" w:rsidR="0019487F" w:rsidRPr="00865334" w:rsidRDefault="00674774" w:rsidP="008C3518">
      <w:pPr>
        <w:pStyle w:val="SemEspaamento"/>
        <w:jc w:val="both"/>
        <w:rPr>
          <w:sz w:val="28"/>
          <w:szCs w:val="28"/>
        </w:rPr>
      </w:pPr>
      <w:r w:rsidRPr="008227E2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INTRODUÇÃO:</w:t>
      </w:r>
      <w:r w:rsidRPr="008227E2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8227E2" w:rsidRPr="00865334">
        <w:rPr>
          <w:rFonts w:ascii="Adobe Devanagari" w:hAnsi="Adobe Devanagari"/>
          <w:sz w:val="28"/>
          <w:szCs w:val="28"/>
        </w:rPr>
        <w:t>Problem</w:t>
      </w:r>
      <w:r w:rsidR="000A149D">
        <w:rPr>
          <w:rFonts w:ascii="Adobe Devanagari" w:hAnsi="Adobe Devanagari"/>
          <w:sz w:val="28"/>
          <w:szCs w:val="28"/>
        </w:rPr>
        <w:t>áticas atuais referentes</w:t>
      </w:r>
      <w:r w:rsidR="008227E2" w:rsidRPr="00865334">
        <w:rPr>
          <w:rFonts w:ascii="Adobe Devanagari" w:hAnsi="Adobe Devanagari"/>
          <w:sz w:val="28"/>
          <w:szCs w:val="28"/>
        </w:rPr>
        <w:t xml:space="preserve"> </w:t>
      </w:r>
      <w:r w:rsidR="000A149D">
        <w:rPr>
          <w:rFonts w:ascii="Adobe Devanagari" w:hAnsi="Adobe Devanagari"/>
          <w:sz w:val="28"/>
          <w:szCs w:val="28"/>
        </w:rPr>
        <w:t xml:space="preserve">aos </w:t>
      </w:r>
      <w:r w:rsidR="008227E2" w:rsidRPr="00865334">
        <w:rPr>
          <w:rFonts w:ascii="Adobe Devanagari" w:hAnsi="Adobe Devanagari"/>
          <w:sz w:val="28"/>
          <w:szCs w:val="28"/>
        </w:rPr>
        <w:t xml:space="preserve">efeitos tóxicos de produtos químicos sintéticos aos </w:t>
      </w:r>
      <w:proofErr w:type="gramStart"/>
      <w:r w:rsidR="008227E2" w:rsidRPr="00865334">
        <w:rPr>
          <w:rFonts w:ascii="Adobe Devanagari" w:hAnsi="Adobe Devanagari"/>
          <w:sz w:val="28"/>
          <w:szCs w:val="28"/>
        </w:rPr>
        <w:t>organismos não alvo</w:t>
      </w:r>
      <w:proofErr w:type="gramEnd"/>
      <w:r w:rsidR="008227E2" w:rsidRPr="00865334">
        <w:rPr>
          <w:rFonts w:ascii="Adobe Devanagari" w:hAnsi="Adobe Devanagari"/>
          <w:sz w:val="28"/>
          <w:szCs w:val="28"/>
        </w:rPr>
        <w:t xml:space="preserve"> estimularam as pesquisas em torno do potencial de pesticidas de origem vegetal. Os óleos essenciais </w:t>
      </w:r>
      <w:r w:rsidR="009733BC">
        <w:rPr>
          <w:rFonts w:ascii="Adobe Devanagari" w:hAnsi="Adobe Devanagari"/>
          <w:sz w:val="28"/>
          <w:szCs w:val="28"/>
        </w:rPr>
        <w:t xml:space="preserve">(OE’s) </w:t>
      </w:r>
      <w:r w:rsidR="008227E2" w:rsidRPr="00865334">
        <w:rPr>
          <w:rFonts w:ascii="Adobe Devanagari" w:hAnsi="Adobe Devanagari"/>
          <w:sz w:val="28"/>
          <w:szCs w:val="28"/>
        </w:rPr>
        <w:t xml:space="preserve">constituem os elementos voláteis contidos em muitos órgãos vegetais, e, estão relacionados com diversas funções necessárias à sobrevivência vegetal, exercendo papel fundamental na defesa contra microrganismos. Ainda, tem sido estabelecido cientificamente que cerca de 60% dos </w:t>
      </w:r>
      <w:r w:rsidR="009733BC">
        <w:rPr>
          <w:rFonts w:ascii="Adobe Devanagari" w:hAnsi="Adobe Devanagari"/>
          <w:sz w:val="28"/>
          <w:szCs w:val="28"/>
        </w:rPr>
        <w:t>OE’s</w:t>
      </w:r>
      <w:r w:rsidR="008227E2" w:rsidRPr="00865334">
        <w:rPr>
          <w:rFonts w:ascii="Adobe Devanagari" w:hAnsi="Adobe Devanagari"/>
          <w:sz w:val="28"/>
          <w:szCs w:val="28"/>
        </w:rPr>
        <w:t xml:space="preserve"> p</w:t>
      </w:r>
      <w:r w:rsidR="00865334">
        <w:rPr>
          <w:rFonts w:ascii="Adobe Devanagari" w:hAnsi="Adobe Devanagari"/>
          <w:sz w:val="28"/>
          <w:szCs w:val="28"/>
        </w:rPr>
        <w:t>ossuem propriedades antifúngicas</w:t>
      </w:r>
      <w:r w:rsidR="00865334" w:rsidRPr="00865334">
        <w:rPr>
          <w:rFonts w:ascii="Adobe Devanagari" w:hAnsi="Adobe Devanagari"/>
          <w:sz w:val="28"/>
          <w:szCs w:val="28"/>
        </w:rPr>
        <w:t xml:space="preserve">. </w:t>
      </w:r>
      <w:r w:rsidR="008227E2" w:rsidRPr="00865334">
        <w:rPr>
          <w:rFonts w:ascii="Adobe Devanagari" w:hAnsi="Adobe Devanagari"/>
          <w:sz w:val="28"/>
          <w:szCs w:val="28"/>
        </w:rPr>
        <w:t xml:space="preserve">Como a busca pelo uso de componentes naturais em formulações vem crescendo nos últimos anos, estudos demonstram que extratos e óleos essenciais podem ser facilmente </w:t>
      </w:r>
      <w:r w:rsidR="009733BC" w:rsidRPr="00865334">
        <w:rPr>
          <w:rFonts w:ascii="Adobe Devanagari" w:hAnsi="Adobe Devanagari"/>
          <w:sz w:val="28"/>
          <w:szCs w:val="28"/>
        </w:rPr>
        <w:t>veiculados</w:t>
      </w:r>
      <w:r w:rsidR="008227E2" w:rsidRPr="00865334">
        <w:rPr>
          <w:rFonts w:ascii="Adobe Devanagari" w:hAnsi="Adobe Devanagari"/>
          <w:sz w:val="28"/>
          <w:szCs w:val="28"/>
        </w:rPr>
        <w:t xml:space="preserve"> em nanoemul</w:t>
      </w:r>
      <w:r w:rsidR="009733BC">
        <w:rPr>
          <w:rFonts w:ascii="Adobe Devanagari" w:hAnsi="Adobe Devanagari"/>
          <w:sz w:val="28"/>
          <w:szCs w:val="28"/>
        </w:rPr>
        <w:t>s</w:t>
      </w:r>
      <w:r w:rsidR="008227E2" w:rsidRPr="00865334">
        <w:rPr>
          <w:rFonts w:ascii="Adobe Devanagari" w:hAnsi="Adobe Devanagari"/>
          <w:sz w:val="28"/>
          <w:szCs w:val="28"/>
        </w:rPr>
        <w:t>ões.</w:t>
      </w:r>
      <w:r w:rsidR="00865334" w:rsidRPr="00865334">
        <w:rPr>
          <w:rFonts w:ascii="Adobe Devanagari" w:hAnsi="Adobe Devanagari"/>
          <w:sz w:val="28"/>
          <w:szCs w:val="28"/>
        </w:rPr>
        <w:t xml:space="preserve"> Várias pesquisas recentes relataram a formação de nanoemulsões contendo </w:t>
      </w:r>
      <w:r w:rsidR="009733BC">
        <w:rPr>
          <w:rFonts w:ascii="Adobe Devanagari" w:hAnsi="Adobe Devanagari"/>
          <w:sz w:val="28"/>
          <w:szCs w:val="28"/>
        </w:rPr>
        <w:t>OE’s</w:t>
      </w:r>
      <w:r w:rsidR="00865334" w:rsidRPr="00865334">
        <w:rPr>
          <w:rFonts w:ascii="Adobe Devanagari" w:hAnsi="Adobe Devanagari"/>
          <w:sz w:val="28"/>
          <w:szCs w:val="28"/>
        </w:rPr>
        <w:t xml:space="preserve"> como uma estratégia para melhorar sua funcionalidade. </w:t>
      </w:r>
      <w:r w:rsidR="009733BC">
        <w:rPr>
          <w:rFonts w:ascii="Adobe Devanagari" w:hAnsi="Adobe Devanagari"/>
          <w:sz w:val="28"/>
          <w:szCs w:val="28"/>
        </w:rPr>
        <w:t>OE’s</w:t>
      </w:r>
      <w:r w:rsidR="00865334" w:rsidRPr="00865334">
        <w:rPr>
          <w:rFonts w:ascii="Adobe Devanagari" w:hAnsi="Adobe Devanagari"/>
          <w:sz w:val="28"/>
          <w:szCs w:val="28"/>
        </w:rPr>
        <w:t xml:space="preserve"> incorporados em nanoemulsões levaram a um aumento da permea</w:t>
      </w:r>
      <w:r w:rsidR="00865334">
        <w:rPr>
          <w:rFonts w:ascii="Adobe Devanagari" w:hAnsi="Adobe Devanagari"/>
          <w:sz w:val="28"/>
          <w:szCs w:val="28"/>
        </w:rPr>
        <w:t xml:space="preserve">bilidade na membrana do microorganismo </w:t>
      </w:r>
      <w:r w:rsidR="00865334" w:rsidRPr="00865334">
        <w:rPr>
          <w:rFonts w:ascii="Adobe Devanagari" w:hAnsi="Adobe Devanagari"/>
          <w:sz w:val="28"/>
          <w:szCs w:val="28"/>
        </w:rPr>
        <w:t xml:space="preserve">reduzindo a concentração para se </w:t>
      </w:r>
      <w:proofErr w:type="gramStart"/>
      <w:r w:rsidR="00865334" w:rsidRPr="00865334">
        <w:rPr>
          <w:rFonts w:ascii="Adobe Devanagari" w:hAnsi="Adobe Devanagari"/>
          <w:sz w:val="28"/>
          <w:szCs w:val="28"/>
        </w:rPr>
        <w:t>obter</w:t>
      </w:r>
      <w:proofErr w:type="gramEnd"/>
      <w:r w:rsidR="00865334" w:rsidRPr="00865334">
        <w:rPr>
          <w:rFonts w:ascii="Adobe Devanagari" w:hAnsi="Adobe Devanagari"/>
          <w:sz w:val="28"/>
          <w:szCs w:val="28"/>
        </w:rPr>
        <w:t xml:space="preserve"> um efeito antimicrobiano</w:t>
      </w:r>
      <w:r w:rsidR="0086533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.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7D2C5E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Avaliar a atividade </w:t>
      </w:r>
      <w:r w:rsidR="00DE2670" w:rsidRPr="00F8309F">
        <w:rPr>
          <w:rFonts w:ascii="Adobe Devanagari" w:hAnsi="Adobe Devanagari" w:cs="Adobe Devanagari"/>
          <w:sz w:val="28"/>
          <w:szCs w:val="28"/>
        </w:rPr>
        <w:t>fungicida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d</w:t>
      </w:r>
      <w:r w:rsidR="00DE2670" w:rsidRPr="00F8309F">
        <w:rPr>
          <w:rFonts w:ascii="Adobe Devanagari" w:hAnsi="Adobe Devanagari" w:cs="Adobe Devanagari"/>
          <w:sz w:val="28"/>
          <w:szCs w:val="28"/>
        </w:rPr>
        <w:t>a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DE2670" w:rsidRPr="00F8309F">
        <w:rPr>
          <w:rFonts w:ascii="Adobe Devanagari" w:hAnsi="Adobe Devanagari" w:cs="Adobe Devanagari"/>
          <w:sz w:val="28"/>
          <w:szCs w:val="28"/>
        </w:rPr>
        <w:t>nanoemulsão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9C0DED">
        <w:rPr>
          <w:rFonts w:ascii="Adobe Devanagari" w:hAnsi="Adobe Devanagari" w:cs="Adobe Devanagari"/>
          <w:sz w:val="28"/>
          <w:szCs w:val="28"/>
        </w:rPr>
        <w:t xml:space="preserve">sinérgica </w:t>
      </w:r>
      <w:r w:rsidR="000F4ED6" w:rsidRPr="00F8309F">
        <w:rPr>
          <w:rFonts w:ascii="Adobe Devanagari" w:hAnsi="Adobe Devanagari" w:cs="Adobe Devanagari"/>
          <w:sz w:val="28"/>
          <w:szCs w:val="28"/>
        </w:rPr>
        <w:t>do</w:t>
      </w:r>
      <w:r w:rsidR="009C0DED">
        <w:rPr>
          <w:rFonts w:ascii="Adobe Devanagari" w:hAnsi="Adobe Devanagari" w:cs="Adobe Devanagari"/>
          <w:sz w:val="28"/>
          <w:szCs w:val="28"/>
        </w:rPr>
        <w:t>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OE</w:t>
      </w:r>
      <w:r w:rsidR="009C0DED">
        <w:rPr>
          <w:rFonts w:ascii="Adobe Devanagari" w:hAnsi="Adobe Devanagari" w:cs="Adobe Devanagari"/>
          <w:sz w:val="28"/>
          <w:szCs w:val="28"/>
        </w:rPr>
        <w:t>’s</w:t>
      </w:r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de </w:t>
      </w:r>
      <w:r w:rsidR="00DE2670" w:rsidRPr="00F8309F">
        <w:rPr>
          <w:rFonts w:ascii="Adobe Devanagari" w:hAnsi="Adobe Devanagari" w:cs="Adobe Devanagari"/>
          <w:i/>
          <w:iCs/>
          <w:sz w:val="28"/>
          <w:szCs w:val="28"/>
        </w:rPr>
        <w:t xml:space="preserve">Citrus sinensis </w:t>
      </w:r>
      <w:r w:rsidR="00DE2670" w:rsidRPr="00F8309F">
        <w:rPr>
          <w:rFonts w:ascii="Adobe Devanagari" w:hAnsi="Adobe Devanagari" w:cs="Adobe Devanagari"/>
          <w:sz w:val="28"/>
          <w:szCs w:val="28"/>
        </w:rPr>
        <w:t>(L</w:t>
      </w:r>
      <w:r w:rsidR="000F4ED6" w:rsidRPr="00F8309F">
        <w:rPr>
          <w:rFonts w:ascii="Adobe Devanagari" w:hAnsi="Adobe Devanagari" w:cs="Adobe Devanagari"/>
          <w:sz w:val="28"/>
          <w:szCs w:val="28"/>
        </w:rPr>
        <w:t>.</w:t>
      </w:r>
      <w:r w:rsidR="00DE2670" w:rsidRPr="00F8309F">
        <w:rPr>
          <w:rFonts w:ascii="Adobe Devanagari" w:hAnsi="Adobe Devanagari" w:cs="Adobe Devanagari"/>
          <w:sz w:val="28"/>
          <w:szCs w:val="28"/>
        </w:rPr>
        <w:t>)</w:t>
      </w:r>
      <w:r w:rsidR="00DE2670" w:rsidRPr="00F8309F">
        <w:rPr>
          <w:rFonts w:ascii="Adobe Devanagari" w:hAnsi="Adobe Devanagari" w:cs="Adobe Devanagari"/>
          <w:iCs/>
          <w:sz w:val="28"/>
          <w:szCs w:val="28"/>
        </w:rPr>
        <w:t xml:space="preserve"> </w:t>
      </w:r>
      <w:proofErr w:type="spellStart"/>
      <w:r w:rsidR="00DE2670" w:rsidRPr="00F8309F">
        <w:rPr>
          <w:rFonts w:ascii="Adobe Devanagari" w:hAnsi="Adobe Devanagari" w:cs="Adobe Devanagari"/>
          <w:iCs/>
          <w:sz w:val="28"/>
          <w:szCs w:val="28"/>
        </w:rPr>
        <w:t>Osbeck</w:t>
      </w:r>
      <w:proofErr w:type="spellEnd"/>
      <w:r w:rsidR="009C0DED">
        <w:rPr>
          <w:rFonts w:ascii="Adobe Devanagari" w:hAnsi="Adobe Devanagari" w:cs="Adobe Devanagari"/>
          <w:iCs/>
          <w:sz w:val="28"/>
          <w:szCs w:val="28"/>
        </w:rPr>
        <w:t xml:space="preserve"> e </w:t>
      </w:r>
      <w:proofErr w:type="spellStart"/>
      <w:r w:rsidR="009C0DED" w:rsidRPr="009C0DED">
        <w:rPr>
          <w:rFonts w:ascii="Adobe Devanagari" w:hAnsi="Adobe Devanagari" w:cs="Adobe Devanagari"/>
          <w:i/>
          <w:sz w:val="28"/>
          <w:szCs w:val="28"/>
        </w:rPr>
        <w:t>Cymbopogon</w:t>
      </w:r>
      <w:proofErr w:type="spellEnd"/>
      <w:r w:rsidR="009C0DED" w:rsidRPr="009C0DED">
        <w:rPr>
          <w:rFonts w:ascii="Adobe Devanagari" w:hAnsi="Adobe Devanagari" w:cs="Adobe Devanagari"/>
          <w:i/>
          <w:sz w:val="28"/>
          <w:szCs w:val="28"/>
        </w:rPr>
        <w:t xml:space="preserve"> </w:t>
      </w:r>
      <w:proofErr w:type="spellStart"/>
      <w:r w:rsidR="009C0DED" w:rsidRPr="009C0DED">
        <w:rPr>
          <w:rFonts w:ascii="Adobe Devanagari" w:hAnsi="Adobe Devanagari" w:cs="Adobe Devanagari"/>
          <w:i/>
          <w:sz w:val="28"/>
          <w:szCs w:val="28"/>
        </w:rPr>
        <w:t>winterianus</w:t>
      </w:r>
      <w:proofErr w:type="spellEnd"/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 w:rsidR="00B11287" w:rsidRPr="00B11287">
        <w:rPr>
          <w:rFonts w:ascii="Adobe Devanagari" w:hAnsi="Adobe Devanagari" w:cs="Adobe Devanagari"/>
          <w:sz w:val="28"/>
          <w:szCs w:val="28"/>
        </w:rPr>
        <w:t>Jowitt</w:t>
      </w:r>
      <w:proofErr w:type="spellEnd"/>
      <w:r w:rsidR="00B11287" w:rsidRPr="00B11287">
        <w:rPr>
          <w:rFonts w:ascii="Adobe Devanagari" w:hAnsi="Adobe Devanagari" w:cs="Adobe Devanagari"/>
          <w:sz w:val="28"/>
          <w:szCs w:val="28"/>
        </w:rPr>
        <w:t xml:space="preserve">. </w:t>
      </w:r>
      <w:proofErr w:type="gramStart"/>
      <w:r w:rsidR="000F4ED6" w:rsidRPr="00F8309F">
        <w:rPr>
          <w:rFonts w:ascii="Adobe Devanagari" w:hAnsi="Adobe Devanagari" w:cs="Adobe Devanagari"/>
          <w:sz w:val="28"/>
          <w:szCs w:val="28"/>
        </w:rPr>
        <w:t>frente</w:t>
      </w:r>
      <w:proofErr w:type="gramEnd"/>
      <w:r w:rsidR="000F4ED6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Aspergillus niger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Colletotrichum gloeosporioides</w:t>
      </w:r>
      <w:r w:rsidR="008C3518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8C3518" w:rsidRPr="00F8309F">
        <w:rPr>
          <w:rFonts w:ascii="Adobe Devanagari" w:hAnsi="Adobe Devanagari" w:cs="Adobe Devanagari"/>
          <w:i/>
          <w:iCs/>
          <w:sz w:val="28"/>
          <w:szCs w:val="28"/>
        </w:rPr>
        <w:t>Penicillium chrysogenum</w:t>
      </w:r>
      <w:r w:rsidR="008C3518" w:rsidRPr="00F8309F">
        <w:rPr>
          <w:rFonts w:ascii="Adobe Devanagari" w:hAnsi="Adobe Devanagari" w:cs="Adobe Devanagari"/>
          <w:sz w:val="28"/>
          <w:szCs w:val="28"/>
        </w:rPr>
        <w:t>.</w:t>
      </w:r>
      <w:r w:rsidR="007D2C5E" w:rsidRPr="00F8309F">
        <w:rPr>
          <w:rFonts w:ascii="Adobe Devanagari" w:hAnsi="Adobe Devanagari" w:cs="Adobe Devanagari"/>
          <w:sz w:val="28"/>
          <w:szCs w:val="28"/>
        </w:rPr>
        <w:t>;</w:t>
      </w:r>
      <w:r w:rsidR="007D2C5E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Foram coletadas cascas do fruto de </w:t>
      </w:r>
      <w:r w:rsidR="00764D91" w:rsidRPr="00F8309F">
        <w:rPr>
          <w:rFonts w:ascii="Adobe Devanagari" w:hAnsi="Adobe Devanagari" w:cs="Adobe Devanagari"/>
          <w:i/>
          <w:iCs/>
          <w:sz w:val="28"/>
          <w:szCs w:val="28"/>
          <w:lang w:val="de-DE"/>
        </w:rPr>
        <w:t>C. sinensis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em São Luís (MA)</w:t>
      </w:r>
      <w:r w:rsidR="00BC6524">
        <w:rPr>
          <w:rFonts w:ascii="Adobe Devanagari" w:hAnsi="Adobe Devanagari" w:cs="Adobe Devanagari"/>
          <w:sz w:val="28"/>
          <w:szCs w:val="28"/>
          <w:lang w:val="de-DE"/>
        </w:rPr>
        <w:t xml:space="preserve"> e folhas de </w:t>
      </w:r>
      <w:r w:rsidR="00BC6524" w:rsidRPr="00BC6524">
        <w:rPr>
          <w:rFonts w:ascii="Adobe Devanagari" w:hAnsi="Adobe Devanagari" w:cs="Adobe Devanagari"/>
          <w:i/>
          <w:iCs/>
          <w:sz w:val="28"/>
          <w:szCs w:val="28"/>
          <w:lang w:val="de-DE"/>
        </w:rPr>
        <w:t>C. winterianus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, posteriormente secas, trituradas e moídas. Foram utilizadas 100g das cascas secas </w:t>
      </w:r>
      <w:r w:rsidR="00BC6524">
        <w:rPr>
          <w:rFonts w:ascii="Adobe Devanagari" w:hAnsi="Adobe Devanagari" w:cs="Adobe Devanagari"/>
          <w:sz w:val="28"/>
          <w:szCs w:val="28"/>
          <w:lang w:val="de-DE"/>
        </w:rPr>
        <w:t>e 100g das folhas secas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 xml:space="preserve">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para obtenção do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 xml:space="preserve">s 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>OE</w:t>
      </w:r>
      <w:r w:rsidR="00F542D3">
        <w:rPr>
          <w:rFonts w:ascii="Adobe Devanagari" w:hAnsi="Adobe Devanagari" w:cs="Adobe Devanagari"/>
          <w:sz w:val="28"/>
          <w:szCs w:val="28"/>
        </w:rPr>
        <w:t>’</w:t>
      </w:r>
      <w:r w:rsidR="00F542D3">
        <w:rPr>
          <w:rFonts w:ascii="Adobe Devanagari" w:hAnsi="Adobe Devanagari" w:cs="Adobe Devanagari"/>
          <w:sz w:val="28"/>
          <w:szCs w:val="28"/>
          <w:lang w:val="de-DE"/>
        </w:rPr>
        <w:t>s</w:t>
      </w:r>
      <w:r w:rsidR="00764D91" w:rsidRPr="00F8309F">
        <w:rPr>
          <w:rFonts w:ascii="Adobe Devanagari" w:hAnsi="Adobe Devanagari" w:cs="Adobe Devanagari"/>
          <w:sz w:val="28"/>
          <w:szCs w:val="28"/>
          <w:lang w:val="de-DE"/>
        </w:rPr>
        <w:t xml:space="preserve"> pelo método de hidrodestilação.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>A nanoemulsão óleo-em-água foi formulada com cada óleo, surfactante não iônico (</w:t>
      </w:r>
      <w:proofErr w:type="spellStart"/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>tween</w:t>
      </w:r>
      <w:proofErr w:type="spellEnd"/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20) e água. A concentração </w:t>
      </w:r>
      <w:r w:rsidR="00296A7D">
        <w:rPr>
          <w:rFonts w:ascii="Adobe Devanagari" w:hAnsi="Adobe Devanagari" w:cs="Adobe Devanagari"/>
          <w:bCs/>
          <w:iCs/>
          <w:sz w:val="28"/>
          <w:szCs w:val="28"/>
        </w:rPr>
        <w:t xml:space="preserve">final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de óleo (5% v/v) foi fixada para a formulação. As </w:t>
      </w:r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lastRenderedPageBreak/>
        <w:t xml:space="preserve">quantidades necessárias de cada constituinte da fase oleosa (óleo+Tween20) foram aquecidas a 65 ± 5 °C. A fase aquosa foi aquecida separadamente a 65 ± 5 °C, adicionada suavemente e misturada com a fase oleosa, proporcionando uma formulação primária, pelo método de inversão de fases. A homogeneização final foi conseguida utilizando um agitador magnético, no qual a formulação permaneceu em agitação constante a 6000 </w:t>
      </w:r>
      <w:proofErr w:type="gramStart"/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>rpm</w:t>
      </w:r>
      <w:proofErr w:type="gramEnd"/>
      <w:r w:rsidR="00F51324" w:rsidRPr="00F8309F">
        <w:rPr>
          <w:rFonts w:ascii="Adobe Devanagari" w:hAnsi="Adobe Devanagari" w:cs="Adobe Devanagari"/>
          <w:bCs/>
          <w:iCs/>
          <w:sz w:val="28"/>
          <w:szCs w:val="28"/>
        </w:rPr>
        <w:t>, até atingir a redução da temperatura para 25 ºC ± 2 ºC.</w:t>
      </w:r>
      <w:r w:rsidR="00764D9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A atividade fungicida foi executada segundo as técnicas do CLSI (2020) que padroniza os testes </w:t>
      </w:r>
      <w:r w:rsidR="00AF0FB4" w:rsidRPr="00F8309F">
        <w:rPr>
          <w:rFonts w:ascii="Adobe Devanagari" w:hAnsi="Adobe Devanagari" w:cs="Adobe Devanagari"/>
          <w:bCs/>
          <w:iCs/>
          <w:sz w:val="28"/>
          <w:szCs w:val="28"/>
        </w:rPr>
        <w:t>d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e Diluição em Caldo para determinação da Concentração Inibitória Mínima (CIM) e Concentração Fungicida Mínima (CFM). Foram utilizadas suspensões padronizadas de cepas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Aspergillus niger </w:t>
      </w:r>
      <w:r w:rsidR="001A26B2" w:rsidRPr="00F8309F">
        <w:rPr>
          <w:rFonts w:ascii="Adobe Devanagari" w:hAnsi="Adobe Devanagari" w:cs="Adobe Devanagari"/>
          <w:sz w:val="28"/>
          <w:szCs w:val="28"/>
          <w:lang w:bidi="pt-BR"/>
        </w:rPr>
        <w:t>(ATCC 6275)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Colletotrichum gloeosporioides</w:t>
      </w:r>
      <w:r w:rsidR="001A26B2" w:rsidRPr="00F8309F">
        <w:rPr>
          <w:rFonts w:ascii="Adobe Devanagari" w:hAnsi="Adobe Devanagari" w:cs="Adobe Devanagari"/>
          <w:b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bCs/>
          <w:sz w:val="28"/>
          <w:szCs w:val="28"/>
          <w:lang w:bidi="pt-BR"/>
        </w:rPr>
        <w:t>(ATCC 96723)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, </w:t>
      </w:r>
      <w:r w:rsidR="001A26B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Penicillium chrysogenum</w:t>
      </w:r>
      <w:r w:rsidR="001A26B2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1A26B2" w:rsidRPr="00F8309F">
        <w:rPr>
          <w:rFonts w:ascii="Adobe Devanagari" w:hAnsi="Adobe Devanagari" w:cs="Adobe Devanagari"/>
          <w:iCs/>
          <w:sz w:val="28"/>
          <w:szCs w:val="28"/>
          <w:lang w:bidi="pt-BR"/>
        </w:rPr>
        <w:t>(ATCC 10106)</w:t>
      </w:r>
      <w:r w:rsidR="001A26B2" w:rsidRPr="00F8309F">
        <w:rPr>
          <w:rFonts w:ascii="Adobe Devanagari" w:hAnsi="Adobe Devanagari" w:cs="Adobe Devanagari"/>
          <w:b/>
          <w:bCs/>
          <w:iCs/>
          <w:sz w:val="28"/>
          <w:szCs w:val="28"/>
          <w:lang w:bidi="pt-BR"/>
        </w:rPr>
        <w:t xml:space="preserve"> </w:t>
      </w:r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em Ágar </w:t>
      </w:r>
      <w:proofErr w:type="spellStart"/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>Sabourad</w:t>
      </w:r>
      <w:proofErr w:type="spellEnd"/>
      <w:r w:rsidR="001E7AF1" w:rsidRPr="00F8309F">
        <w:rPr>
          <w:rFonts w:ascii="Adobe Devanagari" w:hAnsi="Adobe Devanagari" w:cs="Adobe Devanagari"/>
          <w:bCs/>
          <w:iCs/>
          <w:sz w:val="28"/>
          <w:szCs w:val="28"/>
        </w:rPr>
        <w:t xml:space="preserve"> Dextrose e Caldo BHI, RPMI e MH. 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A nanoemulsão </w:t>
      </w:r>
      <w:r w:rsidR="00296A7D">
        <w:rPr>
          <w:rFonts w:ascii="Adobe Devanagari" w:hAnsi="Adobe Devanagari" w:cs="Adobe Devanagari"/>
          <w:sz w:val="28"/>
          <w:szCs w:val="28"/>
        </w:rPr>
        <w:t xml:space="preserve">sinérgica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possui atividade fungicida frente </w:t>
      </w:r>
      <w:r w:rsidR="00125372" w:rsidRPr="00F8309F">
        <w:rPr>
          <w:rFonts w:ascii="Adobe Devanagari" w:hAnsi="Adobe Devanagari" w:cs="Adobe Devanagari"/>
          <w:i/>
          <w:sz w:val="28"/>
          <w:szCs w:val="28"/>
        </w:rPr>
        <w:t xml:space="preserve">a </w:t>
      </w:r>
      <w:proofErr w:type="spellStart"/>
      <w:r w:rsidR="0012537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</w:t>
      </w:r>
      <w:proofErr w:type="spellEnd"/>
      <w:r w:rsidR="0012537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. niger, C. gloeosporioides, 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</w:t>
      </w:r>
      <w:r w:rsidR="00AF0FB4" w:rsidRPr="00F8309F">
        <w:rPr>
          <w:rFonts w:ascii="Adobe Devanagari" w:hAnsi="Adobe Devanagari" w:cs="Adobe Devanagari"/>
          <w:sz w:val="28"/>
          <w:szCs w:val="28"/>
        </w:rPr>
        <w:t xml:space="preserve">A nanoemulsão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foi mais eficiente frente a </w:t>
      </w:r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quando comparado a </w:t>
      </w:r>
      <w:proofErr w:type="spellStart"/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</w:t>
      </w:r>
      <w:proofErr w:type="spellEnd"/>
      <w:r w:rsidR="00836E39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. niger e C. gloeosporioides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O valor da CIM do OE frente às cepas de </w:t>
      </w:r>
      <w:r w:rsidR="0004130F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A. niger, C. gloeosporioides </w:t>
      </w:r>
      <w:r w:rsidR="0004130F" w:rsidRPr="00F8309F">
        <w:rPr>
          <w:rFonts w:ascii="Adobe Devanagari" w:hAnsi="Adobe Devanagari" w:cs="Adobe Devanagari"/>
          <w:bCs/>
          <w:sz w:val="28"/>
          <w:szCs w:val="28"/>
        </w:rPr>
        <w:t>e</w:t>
      </w:r>
      <w:r w:rsidR="0004130F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 P. chrysogenum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foram</w:t>
      </w:r>
      <w:r w:rsidR="0004130F" w:rsidRPr="00F8309F">
        <w:rPr>
          <w:rFonts w:ascii="Adobe Devanagari" w:hAnsi="Adobe Devanagari" w:cs="Adobe Devanagari"/>
          <w:sz w:val="28"/>
          <w:szCs w:val="28"/>
        </w:rPr>
        <w:t>, respectivamente,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de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0,2</w:t>
      </w:r>
      <w:r w:rsidR="0038549F">
        <w:rPr>
          <w:rFonts w:ascii="Adobe Devanagari" w:hAnsi="Adobe Devanagari" w:cs="Adobe Devanagari"/>
          <w:sz w:val="28"/>
          <w:szCs w:val="28"/>
        </w:rPr>
        <w:t>4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836E39" w:rsidRPr="00F8309F">
        <w:rPr>
          <w:rFonts w:ascii="Adobe Devanagari" w:hAnsi="Adobe Devanagari" w:cs="Adobe Devanagari"/>
          <w:sz w:val="28"/>
          <w:szCs w:val="28"/>
        </w:rPr>
        <w:t>2</w:t>
      </w:r>
      <w:r w:rsidR="0038549F">
        <w:rPr>
          <w:rFonts w:ascii="Adobe Devanagari" w:hAnsi="Adobe Devanagari" w:cs="Adobe Devanagari"/>
          <w:sz w:val="28"/>
          <w:szCs w:val="28"/>
        </w:rPr>
        <w:t>0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e </w:t>
      </w:r>
      <w:r w:rsidR="002848DD" w:rsidRPr="00F8309F">
        <w:rPr>
          <w:rFonts w:ascii="Adobe Devanagari" w:hAnsi="Adobe Devanagari" w:cs="Adobe Devanagari"/>
          <w:sz w:val="28"/>
          <w:szCs w:val="28"/>
        </w:rPr>
        <w:t>0,</w:t>
      </w:r>
      <w:r w:rsidR="0038549F">
        <w:rPr>
          <w:rFonts w:ascii="Adobe Devanagari" w:hAnsi="Adobe Devanagari" w:cs="Adobe Devanagari"/>
          <w:sz w:val="28"/>
          <w:szCs w:val="28"/>
        </w:rPr>
        <w:t>18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proofErr w:type="gramStart"/>
      <w:r w:rsidR="002848DD" w:rsidRPr="00F8309F">
        <w:rPr>
          <w:rFonts w:ascii="Adobe Devanagari" w:hAnsi="Adobe Devanagari" w:cs="Adobe Devanagari"/>
          <w:sz w:val="28"/>
          <w:szCs w:val="28"/>
        </w:rPr>
        <w:t>mg</w:t>
      </w:r>
      <w:proofErr w:type="gramEnd"/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. A CFM demonstrou ação fungicida a partir de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</w:t>
      </w:r>
      <w:r w:rsidR="0038549F">
        <w:rPr>
          <w:rFonts w:ascii="Adobe Devanagari" w:hAnsi="Adobe Devanagari" w:cs="Adobe Devanagari"/>
          <w:sz w:val="28"/>
          <w:szCs w:val="28"/>
        </w:rPr>
        <w:t>09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proofErr w:type="gramStart"/>
      <w:r w:rsidR="00C57B82" w:rsidRPr="00F8309F">
        <w:rPr>
          <w:rFonts w:ascii="Adobe Devanagari" w:hAnsi="Adobe Devanagari" w:cs="Adobe Devanagari"/>
          <w:sz w:val="28"/>
          <w:szCs w:val="28"/>
        </w:rPr>
        <w:t>mg</w:t>
      </w:r>
      <w:proofErr w:type="gramEnd"/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frente a </w:t>
      </w:r>
      <w:proofErr w:type="spellStart"/>
      <w:r w:rsidR="00125372" w:rsidRPr="00F8309F">
        <w:rPr>
          <w:rFonts w:ascii="Adobe Devanagari" w:hAnsi="Adobe Devanagari" w:cs="Adobe Devanagari"/>
          <w:i/>
          <w:sz w:val="28"/>
          <w:szCs w:val="28"/>
        </w:rPr>
        <w:t>Penicilium</w:t>
      </w:r>
      <w:proofErr w:type="spellEnd"/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sp.,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0,1</w:t>
      </w:r>
      <w:r w:rsidR="0069473C">
        <w:rPr>
          <w:rFonts w:ascii="Adobe Devanagari" w:hAnsi="Adobe Devanagari" w:cs="Adobe Devanagari"/>
          <w:sz w:val="28"/>
          <w:szCs w:val="28"/>
        </w:rPr>
        <w:t>0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</w:t>
      </w:r>
      <w:r w:rsidR="00C57B82" w:rsidRPr="00F8309F">
        <w:rPr>
          <w:rFonts w:ascii="Adobe Devanagari" w:hAnsi="Adobe Devanagari" w:cs="Adobe Devanagari"/>
          <w:sz w:val="28"/>
          <w:szCs w:val="28"/>
        </w:rPr>
        <w:t>mg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mL</w:t>
      </w:r>
      <w:r w:rsidR="0004130F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 frente a</w:t>
      </w:r>
      <w:r w:rsidR="00C57B82" w:rsidRPr="00F8309F">
        <w:rPr>
          <w:rFonts w:ascii="Adobe Devanagari" w:hAnsi="Adobe Devanagari" w:cs="Adobe Devanagari"/>
          <w:sz w:val="28"/>
          <w:szCs w:val="28"/>
        </w:rPr>
        <w:t xml:space="preserve">  </w:t>
      </w:r>
      <w:r w:rsidR="00C57B8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C. gloeosporioides</w:t>
      </w:r>
      <w:r w:rsidR="0004130F" w:rsidRPr="00F8309F">
        <w:rPr>
          <w:rFonts w:ascii="Adobe Devanagari" w:hAnsi="Adobe Devanagari" w:cs="Adobe Devanagari"/>
          <w:sz w:val="28"/>
          <w:szCs w:val="28"/>
        </w:rPr>
        <w:t xml:space="preserve">, 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enquanto ação a partir de </w:t>
      </w:r>
      <w:r w:rsidR="00C57B82" w:rsidRPr="00F8309F">
        <w:rPr>
          <w:rFonts w:ascii="Adobe Devanagari" w:hAnsi="Adobe Devanagari" w:cs="Adobe Devanagari"/>
          <w:sz w:val="28"/>
          <w:szCs w:val="28"/>
        </w:rPr>
        <w:t>0,1</w:t>
      </w:r>
      <w:r w:rsidR="0069473C">
        <w:rPr>
          <w:rFonts w:ascii="Adobe Devanagari" w:hAnsi="Adobe Devanagari" w:cs="Adobe Devanagari"/>
          <w:sz w:val="28"/>
          <w:szCs w:val="28"/>
        </w:rPr>
        <w:t>2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µg mL</w:t>
      </w:r>
      <w:r w:rsidR="00125372" w:rsidRPr="00F8309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125372" w:rsidRPr="00F8309F">
        <w:rPr>
          <w:rFonts w:ascii="Adobe Devanagari" w:hAnsi="Adobe Devanagari" w:cs="Adobe Devanagari"/>
          <w:sz w:val="28"/>
          <w:szCs w:val="28"/>
        </w:rPr>
        <w:t xml:space="preserve"> para </w:t>
      </w:r>
      <w:r w:rsidR="00C57B82" w:rsidRPr="00F8309F">
        <w:rPr>
          <w:rFonts w:ascii="Adobe Devanagari" w:hAnsi="Adobe Devanagari" w:cs="Adobe Devanagari"/>
          <w:bCs/>
          <w:i/>
          <w:iCs/>
          <w:sz w:val="28"/>
          <w:szCs w:val="28"/>
        </w:rPr>
        <w:t>A. niger.</w:t>
      </w:r>
      <w:r w:rsidR="00110068" w:rsidRPr="00F8309F">
        <w:rPr>
          <w:rFonts w:ascii="Adobe Devanagari" w:hAnsi="Adobe Devanagari" w:cs="Adobe Devanagari"/>
          <w:b/>
          <w:bCs/>
          <w:sz w:val="28"/>
          <w:szCs w:val="28"/>
        </w:rPr>
        <w:t xml:space="preserve">; </w:t>
      </w:r>
      <w:r w:rsidR="00203A60"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 FINAIS</w:t>
      </w:r>
      <w:r w:rsidRPr="00F8309F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110068" w:rsidRPr="00F8309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0E01D2" w:rsidRPr="00F8309F">
        <w:rPr>
          <w:rFonts w:ascii="Adobe Devanagari" w:hAnsi="Adobe Devanagari" w:cs="Adobe Devanagari"/>
          <w:sz w:val="28"/>
          <w:szCs w:val="28"/>
        </w:rPr>
        <w:t>Os resultados encontrados demonstram-se satisfatórios frente a todos os microrganismos testados. A ação de inibição fungicida está relacionada aos constituintes químicos majoritários presente neste</w:t>
      </w:r>
      <w:r w:rsidR="0069473C">
        <w:rPr>
          <w:rFonts w:ascii="Adobe Devanagari" w:hAnsi="Adobe Devanagari" w:cs="Adobe Devanagari"/>
          <w:sz w:val="28"/>
          <w:szCs w:val="28"/>
        </w:rPr>
        <w:t>s</w:t>
      </w:r>
      <w:r w:rsidR="000E01D2" w:rsidRPr="00F8309F">
        <w:rPr>
          <w:rFonts w:ascii="Adobe Devanagari" w:hAnsi="Adobe Devanagari" w:cs="Adobe Devanagari"/>
          <w:sz w:val="28"/>
          <w:szCs w:val="28"/>
        </w:rPr>
        <w:t xml:space="preserve"> OE</w:t>
      </w:r>
      <w:r w:rsidR="0069473C">
        <w:rPr>
          <w:rFonts w:ascii="Adobe Devanagari" w:hAnsi="Adobe Devanagari" w:cs="Adobe Devanagari"/>
          <w:sz w:val="28"/>
          <w:szCs w:val="28"/>
        </w:rPr>
        <w:t>’s</w:t>
      </w:r>
      <w:r w:rsidR="000E01D2" w:rsidRPr="00F8309F">
        <w:rPr>
          <w:rFonts w:ascii="Adobe Devanagari" w:hAnsi="Adobe Devanagari" w:cs="Adobe Devanagari"/>
          <w:sz w:val="28"/>
          <w:szCs w:val="28"/>
        </w:rPr>
        <w:t>, incentivando sua aplicação e produção como nanoemulsão</w:t>
      </w:r>
      <w:r w:rsidR="0069473C">
        <w:rPr>
          <w:rFonts w:ascii="Adobe Devanagari" w:hAnsi="Adobe Devanagari" w:cs="Adobe Devanagari"/>
          <w:sz w:val="28"/>
          <w:szCs w:val="28"/>
        </w:rPr>
        <w:t xml:space="preserve"> sinérgica</w:t>
      </w:r>
      <w:r w:rsidR="000E01D2" w:rsidRPr="00F8309F">
        <w:rPr>
          <w:rFonts w:ascii="Adobe Devanagari" w:hAnsi="Adobe Devanagari" w:cs="Adobe Devanagari"/>
          <w:sz w:val="28"/>
          <w:szCs w:val="28"/>
        </w:rPr>
        <w:t xml:space="preserve"> fungicida.</w:t>
      </w:r>
    </w:p>
    <w:p w14:paraId="6D412D4F" w14:textId="78741839" w:rsidR="00512BEA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4D0EA114" w:rsidR="00512BEA" w:rsidRPr="000B7E85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>PALAVRAS-CHAVE:</w:t>
      </w:r>
      <w:r w:rsidR="008227E2">
        <w:rPr>
          <w:rFonts w:ascii="Adobe Devanagari" w:hAnsi="Adobe Devanagari" w:cs="Adobe Devanagari"/>
          <w:sz w:val="28"/>
          <w:szCs w:val="28"/>
        </w:rPr>
        <w:t xml:space="preserve"> Óleos essenciais; Nanoemulsões</w:t>
      </w:r>
      <w:r w:rsidR="00865334">
        <w:rPr>
          <w:rFonts w:ascii="Adobe Devanagari" w:hAnsi="Adobe Devanagari" w:cs="Adobe Devanagari"/>
          <w:sz w:val="28"/>
          <w:szCs w:val="28"/>
        </w:rPr>
        <w:t>; Fungicida</w:t>
      </w:r>
      <w:r>
        <w:rPr>
          <w:rFonts w:ascii="Adobe Devanagari" w:hAnsi="Adobe Devanagari" w:cs="Adobe Devanagari"/>
          <w:sz w:val="28"/>
          <w:szCs w:val="28"/>
        </w:rPr>
        <w:t>;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8"/>
      <w:footerReference w:type="default" r:id="rId9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6B6D1" w14:textId="77777777" w:rsidR="00BA503C" w:rsidRDefault="00BA503C" w:rsidP="00065E6E">
      <w:pPr>
        <w:spacing w:after="0" w:line="240" w:lineRule="auto"/>
      </w:pPr>
      <w:r>
        <w:separator/>
      </w:r>
    </w:p>
  </w:endnote>
  <w:endnote w:type="continuationSeparator" w:id="0">
    <w:p w14:paraId="7183C776" w14:textId="77777777" w:rsidR="00BA503C" w:rsidRDefault="00BA503C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A3D03" w14:textId="77777777" w:rsidR="00BA503C" w:rsidRDefault="00BA503C" w:rsidP="00065E6E">
      <w:pPr>
        <w:spacing w:after="0" w:line="240" w:lineRule="auto"/>
      </w:pPr>
      <w:r>
        <w:separator/>
      </w:r>
    </w:p>
  </w:footnote>
  <w:footnote w:type="continuationSeparator" w:id="0">
    <w:p w14:paraId="570D7EAF" w14:textId="77777777" w:rsidR="00BA503C" w:rsidRDefault="00BA503C" w:rsidP="00065E6E">
      <w:pPr>
        <w:spacing w:after="0" w:line="240" w:lineRule="auto"/>
      </w:pPr>
      <w:r>
        <w:continuationSeparator/>
      </w:r>
    </w:p>
  </w:footnote>
  <w:footnote w:id="1">
    <w:p w14:paraId="283F5E7F" w14:textId="3FA846AA" w:rsidR="004A6572" w:rsidRPr="00195F92" w:rsidRDefault="004A6572" w:rsidP="004A657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502C04">
        <w:rPr>
          <w:rFonts w:ascii="Adobe Devanagari" w:hAnsi="Adobe Devanagari" w:cs="Adobe Devanagari"/>
          <w:sz w:val="16"/>
          <w:szCs w:val="16"/>
        </w:rPr>
        <w:t>*</w:t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502C04">
        <w:rPr>
          <w:rFonts w:ascii="Adobe Devanagari" w:hAnsi="Adobe Devanagari" w:cs="Adobe Devanagari"/>
          <w:sz w:val="16"/>
          <w:szCs w:val="16"/>
        </w:rPr>
        <w:t xml:space="preserve">autor correspondente;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thercia.martins@hotmail.com;</w:t>
      </w:r>
    </w:p>
  </w:footnote>
  <w:footnote w:id="2">
    <w:p w14:paraId="5FEBBD3B" w14:textId="77777777" w:rsidR="00C036A8" w:rsidRPr="00195F92" w:rsidRDefault="00C036A8" w:rsidP="00C036A8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iurebdes@gmail.com;</w:t>
      </w:r>
    </w:p>
  </w:footnote>
  <w:footnote w:id="3">
    <w:p w14:paraId="0C62A162" w14:textId="77777777" w:rsidR="00C036A8" w:rsidRDefault="00C036A8" w:rsidP="00C036A8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lgabriellepinheiro@gmail.com;</w:t>
      </w:r>
    </w:p>
  </w:footnote>
  <w:footnote w:id="4">
    <w:p w14:paraId="2A8C85DB" w14:textId="77777777" w:rsidR="00C036A8" w:rsidRDefault="00C036A8" w:rsidP="00C036A8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everhs16@gmail.com;</w:t>
      </w:r>
    </w:p>
  </w:footnote>
  <w:footnote w:id="5">
    <w:p w14:paraId="7D708E67" w14:textId="77777777" w:rsidR="004F5EAD" w:rsidRDefault="004F5EAD" w:rsidP="004F5EAD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thayane.lopes@discente.ufma.br;</w:t>
      </w:r>
    </w:p>
  </w:footnote>
  <w:footnote w:id="6">
    <w:p w14:paraId="65973726" w14:textId="77777777" w:rsidR="00502C04" w:rsidRDefault="00502C04" w:rsidP="00502C04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Giullia.73@hotmail.com;</w:t>
      </w:r>
    </w:p>
  </w:footnote>
  <w:footnote w:id="7">
    <w:p w14:paraId="752BA98F" w14:textId="77777777" w:rsidR="00502C04" w:rsidRDefault="00502C04" w:rsidP="00502C04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6E"/>
    <w:rsid w:val="0004130F"/>
    <w:rsid w:val="00051D19"/>
    <w:rsid w:val="00065E6E"/>
    <w:rsid w:val="000A149D"/>
    <w:rsid w:val="000B7E85"/>
    <w:rsid w:val="000C799D"/>
    <w:rsid w:val="000D1A4C"/>
    <w:rsid w:val="000E01D2"/>
    <w:rsid w:val="000F4ED6"/>
    <w:rsid w:val="00110068"/>
    <w:rsid w:val="00125372"/>
    <w:rsid w:val="0019487F"/>
    <w:rsid w:val="00195F92"/>
    <w:rsid w:val="001A26B2"/>
    <w:rsid w:val="001A290A"/>
    <w:rsid w:val="001A63E5"/>
    <w:rsid w:val="001D3196"/>
    <w:rsid w:val="001E7AF1"/>
    <w:rsid w:val="00201E94"/>
    <w:rsid w:val="00203A60"/>
    <w:rsid w:val="002817F2"/>
    <w:rsid w:val="002848DD"/>
    <w:rsid w:val="002868E6"/>
    <w:rsid w:val="00296A7D"/>
    <w:rsid w:val="00304087"/>
    <w:rsid w:val="0038549F"/>
    <w:rsid w:val="00460B2C"/>
    <w:rsid w:val="004A6572"/>
    <w:rsid w:val="004C03E2"/>
    <w:rsid w:val="004C4D30"/>
    <w:rsid w:val="004C788E"/>
    <w:rsid w:val="004E64C6"/>
    <w:rsid w:val="004F5EAD"/>
    <w:rsid w:val="004F7A44"/>
    <w:rsid w:val="00500576"/>
    <w:rsid w:val="00502C04"/>
    <w:rsid w:val="00512BEA"/>
    <w:rsid w:val="00514669"/>
    <w:rsid w:val="005A21E1"/>
    <w:rsid w:val="0067221E"/>
    <w:rsid w:val="00674774"/>
    <w:rsid w:val="006913E1"/>
    <w:rsid w:val="0069473C"/>
    <w:rsid w:val="006A6CB1"/>
    <w:rsid w:val="006B3478"/>
    <w:rsid w:val="006D43C2"/>
    <w:rsid w:val="006D61A6"/>
    <w:rsid w:val="0072016C"/>
    <w:rsid w:val="00743961"/>
    <w:rsid w:val="00764D91"/>
    <w:rsid w:val="007D2C5E"/>
    <w:rsid w:val="00806FF2"/>
    <w:rsid w:val="008227E2"/>
    <w:rsid w:val="008345F4"/>
    <w:rsid w:val="00836E39"/>
    <w:rsid w:val="0085426E"/>
    <w:rsid w:val="00865334"/>
    <w:rsid w:val="008855E5"/>
    <w:rsid w:val="008C3518"/>
    <w:rsid w:val="00903FCD"/>
    <w:rsid w:val="009733BC"/>
    <w:rsid w:val="009B655D"/>
    <w:rsid w:val="009B7186"/>
    <w:rsid w:val="009C0DED"/>
    <w:rsid w:val="00A6716A"/>
    <w:rsid w:val="00AB3C5C"/>
    <w:rsid w:val="00AC39CA"/>
    <w:rsid w:val="00AF0FB4"/>
    <w:rsid w:val="00B11287"/>
    <w:rsid w:val="00BA503C"/>
    <w:rsid w:val="00BB278F"/>
    <w:rsid w:val="00BC6524"/>
    <w:rsid w:val="00C0261A"/>
    <w:rsid w:val="00C036A8"/>
    <w:rsid w:val="00C534E3"/>
    <w:rsid w:val="00C57B82"/>
    <w:rsid w:val="00C67D2F"/>
    <w:rsid w:val="00DD6207"/>
    <w:rsid w:val="00DE2670"/>
    <w:rsid w:val="00E264B9"/>
    <w:rsid w:val="00E407E3"/>
    <w:rsid w:val="00E40F22"/>
    <w:rsid w:val="00E60D89"/>
    <w:rsid w:val="00E9716C"/>
    <w:rsid w:val="00EB561B"/>
    <w:rsid w:val="00F00EFB"/>
    <w:rsid w:val="00F51324"/>
    <w:rsid w:val="00F542D3"/>
    <w:rsid w:val="00F64E5F"/>
    <w:rsid w:val="00F8309F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EF62-3AA7-441A-B6AA-75AE9CAF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Oliveira</cp:lastModifiedBy>
  <cp:revision>2</cp:revision>
  <dcterms:created xsi:type="dcterms:W3CDTF">2020-11-23T17:29:00Z</dcterms:created>
  <dcterms:modified xsi:type="dcterms:W3CDTF">2020-11-23T17:29:00Z</dcterms:modified>
</cp:coreProperties>
</file>