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179F" w14:textId="77777777" w:rsidR="00687F3F" w:rsidRDefault="00000000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5C03EA" wp14:editId="76007294">
            <wp:extent cx="5087897" cy="16606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901" cy="166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005C" w14:textId="77777777" w:rsidR="00687F3F" w:rsidRDefault="00687F3F">
      <w:pPr>
        <w:pStyle w:val="Corpodetexto"/>
        <w:spacing w:before="1"/>
        <w:rPr>
          <w:rFonts w:ascii="Times New Roman"/>
          <w:sz w:val="17"/>
        </w:rPr>
      </w:pPr>
    </w:p>
    <w:p w14:paraId="1A8A0494" w14:textId="77777777" w:rsidR="00BC758A" w:rsidRPr="00BC758A" w:rsidRDefault="00BC758A" w:rsidP="00BC758A">
      <w:pPr>
        <w:spacing w:line="480" w:lineRule="auto"/>
        <w:ind w:left="348" w:right="276"/>
        <w:jc w:val="center"/>
        <w:rPr>
          <w:rFonts w:ascii="Tahoma" w:hAnsi="Tahoma"/>
          <w:b/>
          <w:sz w:val="24"/>
          <w:szCs w:val="24"/>
        </w:rPr>
      </w:pPr>
      <w:r w:rsidRPr="00BC758A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u w:val="single"/>
        </w:rPr>
        <w:t>ABORDAGEM DA HEMORRAGIA DIGESTIVA ALTA EM ADULTOS</w:t>
      </w:r>
    </w:p>
    <w:p w14:paraId="3BDE5265" w14:textId="0B5B2A02" w:rsidR="00BC758A" w:rsidRDefault="00BC758A" w:rsidP="00B80F7F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BC758A">
        <w:rPr>
          <w:rFonts w:ascii="Times New Roman" w:eastAsia="Times New Roman" w:hAnsi="Times New Roman" w:cs="Times New Roman"/>
        </w:rPr>
        <w:t xml:space="preserve">Camilla </w:t>
      </w:r>
      <w:proofErr w:type="spellStart"/>
      <w:r w:rsidRPr="00BC758A">
        <w:rPr>
          <w:rFonts w:ascii="Times New Roman" w:eastAsia="Times New Roman" w:hAnsi="Times New Roman" w:cs="Times New Roman"/>
        </w:rPr>
        <w:t>Maganhin</w:t>
      </w:r>
      <w:proofErr w:type="spellEnd"/>
      <w:r w:rsidRPr="00BC758A">
        <w:rPr>
          <w:rFonts w:ascii="Times New Roman" w:eastAsia="Times New Roman" w:hAnsi="Times New Roman" w:cs="Times New Roman"/>
        </w:rPr>
        <w:t xml:space="preserve"> Luquetti1; João Pedro Ribeiro e Faria</w:t>
      </w:r>
      <w:r w:rsidR="00444CB2">
        <w:rPr>
          <w:rFonts w:ascii="Times New Roman" w:eastAsia="Times New Roman" w:hAnsi="Times New Roman" w:cs="Times New Roman"/>
        </w:rPr>
        <w:t>2</w:t>
      </w:r>
      <w:r w:rsidRPr="00BC758A">
        <w:rPr>
          <w:rFonts w:ascii="Times New Roman" w:eastAsia="Times New Roman" w:hAnsi="Times New Roman" w:cs="Times New Roman"/>
        </w:rPr>
        <w:t xml:space="preserve">; </w:t>
      </w:r>
      <w:r w:rsidR="00444CB2" w:rsidRPr="00BC758A">
        <w:rPr>
          <w:rFonts w:ascii="Times New Roman" w:eastAsia="Times New Roman" w:hAnsi="Times New Roman" w:cs="Times New Roman"/>
        </w:rPr>
        <w:t>João</w:t>
      </w:r>
      <w:r w:rsidRPr="00BC758A">
        <w:rPr>
          <w:rFonts w:ascii="Times New Roman" w:eastAsia="Times New Roman" w:hAnsi="Times New Roman" w:cs="Times New Roman"/>
        </w:rPr>
        <w:t xml:space="preserve"> </w:t>
      </w:r>
      <w:r w:rsidR="00444CB2" w:rsidRPr="00BC758A">
        <w:rPr>
          <w:rFonts w:ascii="Times New Roman" w:eastAsia="Times New Roman" w:hAnsi="Times New Roman" w:cs="Times New Roman"/>
        </w:rPr>
        <w:t>Maurício</w:t>
      </w:r>
      <w:r w:rsidRPr="00BC758A">
        <w:rPr>
          <w:rFonts w:ascii="Times New Roman" w:eastAsia="Times New Roman" w:hAnsi="Times New Roman" w:cs="Times New Roman"/>
        </w:rPr>
        <w:t xml:space="preserve"> Mendes Tenório</w:t>
      </w:r>
      <w:r w:rsidR="00444CB2">
        <w:rPr>
          <w:rFonts w:ascii="Times New Roman" w:eastAsia="Times New Roman" w:hAnsi="Times New Roman" w:cs="Times New Roman"/>
        </w:rPr>
        <w:t>3</w:t>
      </w:r>
      <w:r w:rsidRPr="00BC758A">
        <w:rPr>
          <w:rFonts w:ascii="Times New Roman" w:eastAsia="Times New Roman" w:hAnsi="Times New Roman" w:cs="Times New Roman"/>
        </w:rPr>
        <w:t>; João Rafael Alencar de Souza</w:t>
      </w:r>
      <w:r w:rsidR="00444CB2">
        <w:rPr>
          <w:rFonts w:ascii="Times New Roman" w:eastAsia="Times New Roman" w:hAnsi="Times New Roman" w:cs="Times New Roman"/>
        </w:rPr>
        <w:t>4</w:t>
      </w:r>
      <w:r w:rsidRPr="00BC758A">
        <w:rPr>
          <w:rFonts w:ascii="Times New Roman" w:eastAsia="Times New Roman" w:hAnsi="Times New Roman" w:cs="Times New Roman"/>
        </w:rPr>
        <w:t xml:space="preserve">; Francisco </w:t>
      </w:r>
      <w:proofErr w:type="spellStart"/>
      <w:r w:rsidRPr="00BC758A">
        <w:rPr>
          <w:rFonts w:ascii="Times New Roman" w:eastAsia="Times New Roman" w:hAnsi="Times New Roman" w:cs="Times New Roman"/>
        </w:rPr>
        <w:t>Geyson</w:t>
      </w:r>
      <w:proofErr w:type="spellEnd"/>
      <w:r w:rsidRPr="00BC758A">
        <w:rPr>
          <w:rFonts w:ascii="Times New Roman" w:eastAsia="Times New Roman" w:hAnsi="Times New Roman" w:cs="Times New Roman"/>
        </w:rPr>
        <w:t xml:space="preserve"> Fontenele de Albuquerque</w:t>
      </w:r>
      <w:r w:rsidR="00444CB2">
        <w:rPr>
          <w:rFonts w:ascii="Times New Roman" w:eastAsia="Times New Roman" w:hAnsi="Times New Roman" w:cs="Times New Roman"/>
        </w:rPr>
        <w:t>5</w:t>
      </w:r>
      <w:r w:rsidRPr="00BC758A">
        <w:rPr>
          <w:rFonts w:ascii="Times New Roman" w:eastAsia="Times New Roman" w:hAnsi="Times New Roman" w:cs="Times New Roman"/>
        </w:rPr>
        <w:t>; Paula Sampaio de Azevedo</w:t>
      </w:r>
      <w:r w:rsidR="00444CB2">
        <w:rPr>
          <w:rFonts w:ascii="Times New Roman" w:eastAsia="Times New Roman" w:hAnsi="Times New Roman" w:cs="Times New Roman"/>
        </w:rPr>
        <w:t>6</w:t>
      </w:r>
      <w:r w:rsidRPr="00BC758A">
        <w:rPr>
          <w:rFonts w:ascii="Times New Roman" w:eastAsia="Times New Roman" w:hAnsi="Times New Roman" w:cs="Times New Roman"/>
        </w:rPr>
        <w:t xml:space="preserve">; </w:t>
      </w:r>
      <w:r w:rsidR="00B80F7F" w:rsidRPr="00B704F4">
        <w:rPr>
          <w:rFonts w:ascii="Times New Roman" w:eastAsiaTheme="minorEastAsia" w:hAnsi="Times New Roman" w:cs="Times New Roman"/>
          <w:lang w:val="pt-BR"/>
        </w:rPr>
        <w:t>Victória Scheffer Lumertz</w:t>
      </w:r>
      <w:r w:rsidR="00B80F7F">
        <w:rPr>
          <w:rFonts w:ascii="Times New Roman" w:eastAsiaTheme="minorEastAsia" w:hAnsi="Times New Roman" w:cs="Times New Roman"/>
          <w:lang w:val="pt-BR"/>
        </w:rPr>
        <w:t>7</w:t>
      </w:r>
      <w:r w:rsidRPr="00BC758A">
        <w:rPr>
          <w:rFonts w:ascii="Times New Roman" w:eastAsia="Times New Roman" w:hAnsi="Times New Roman" w:cs="Times New Roman"/>
        </w:rPr>
        <w:t xml:space="preserve">; Roberto </w:t>
      </w:r>
      <w:proofErr w:type="spellStart"/>
      <w:r w:rsidRPr="00BC758A">
        <w:rPr>
          <w:rFonts w:ascii="Times New Roman" w:eastAsia="Times New Roman" w:hAnsi="Times New Roman" w:cs="Times New Roman"/>
        </w:rPr>
        <w:t>Spadoni</w:t>
      </w:r>
      <w:proofErr w:type="spellEnd"/>
      <w:r w:rsidRPr="00BC758A">
        <w:rPr>
          <w:rFonts w:ascii="Times New Roman" w:eastAsia="Times New Roman" w:hAnsi="Times New Roman" w:cs="Times New Roman"/>
        </w:rPr>
        <w:t xml:space="preserve"> Campigotto</w:t>
      </w:r>
      <w:r w:rsidR="00444CB2">
        <w:rPr>
          <w:rFonts w:ascii="Times New Roman" w:eastAsia="Times New Roman" w:hAnsi="Times New Roman" w:cs="Times New Roman"/>
        </w:rPr>
        <w:t>8</w:t>
      </w:r>
      <w:r w:rsidRPr="00BC758A">
        <w:rPr>
          <w:rFonts w:ascii="Times New Roman" w:eastAsia="Times New Roman" w:hAnsi="Times New Roman" w:cs="Times New Roman"/>
        </w:rPr>
        <w:t>; Paulo Henrique de Carvalho Batista</w:t>
      </w:r>
      <w:r w:rsidR="00444CB2">
        <w:rPr>
          <w:rFonts w:ascii="Times New Roman" w:eastAsia="Times New Roman" w:hAnsi="Times New Roman" w:cs="Times New Roman"/>
        </w:rPr>
        <w:t>9</w:t>
      </w:r>
      <w:r w:rsidRPr="00BC758A">
        <w:rPr>
          <w:rFonts w:ascii="Times New Roman" w:eastAsia="Times New Roman" w:hAnsi="Times New Roman" w:cs="Times New Roman"/>
        </w:rPr>
        <w:t>; Luísa Diniz Marra Vieira1</w:t>
      </w:r>
      <w:r w:rsidR="00444CB2">
        <w:rPr>
          <w:rFonts w:ascii="Times New Roman" w:eastAsia="Times New Roman" w:hAnsi="Times New Roman" w:cs="Times New Roman"/>
        </w:rPr>
        <w:t>0</w:t>
      </w:r>
      <w:r w:rsidRPr="00BC758A">
        <w:rPr>
          <w:rFonts w:ascii="Times New Roman" w:eastAsia="Times New Roman" w:hAnsi="Times New Roman" w:cs="Times New Roman"/>
        </w:rPr>
        <w:t>.</w:t>
      </w:r>
    </w:p>
    <w:p w14:paraId="5B0BC21C" w14:textId="77777777" w:rsidR="00BC758A" w:rsidRPr="00BC758A" w:rsidRDefault="00BC758A" w:rsidP="00BC758A">
      <w:pPr>
        <w:spacing w:before="8"/>
        <w:jc w:val="center"/>
        <w:rPr>
          <w:rFonts w:ascii="Tahoma"/>
          <w:b/>
          <w:sz w:val="19"/>
          <w:szCs w:val="18"/>
        </w:rPr>
      </w:pPr>
    </w:p>
    <w:p w14:paraId="15ED356F" w14:textId="6906D72E" w:rsidR="00BC758A" w:rsidRPr="00BC758A" w:rsidRDefault="00BC758A" w:rsidP="00BC758A">
      <w:pPr>
        <w:spacing w:before="1"/>
        <w:jc w:val="both"/>
        <w:rPr>
          <w:rFonts w:ascii="Times New Roman" w:eastAsia="Times New Roman" w:hAnsi="Times New Roman" w:cs="Times New Roman"/>
        </w:rPr>
      </w:pPr>
      <w:r w:rsidRPr="00BC758A">
        <w:rPr>
          <w:rFonts w:ascii="Times New Roman" w:eastAsia="Times New Roman" w:hAnsi="Times New Roman" w:cs="Times New Roman"/>
          <w:b/>
          <w:bCs/>
        </w:rPr>
        <w:t>Introdução:</w:t>
      </w:r>
      <w:r w:rsidRPr="00BC758A">
        <w:rPr>
          <w:rFonts w:ascii="Times New Roman" w:eastAsia="Times New Roman" w:hAnsi="Times New Roman" w:cs="Times New Roman"/>
        </w:rPr>
        <w:t xml:space="preserve"> Pacientes com sangramento agudo gastrointestinal superior geralmente apresentam hematêmese (vômito de sangue ou material em borra de café) e/ou melena (fezes pretas e alcatrão). Alguns ainda podem apresentar hematoquezia (sangue vermelho/marrom com fezes). A avaliação inicial de pacientes com sangramento agudo envolve avaliação da estabilidade hemodinâmica e ressuscitação volêmica. Estudos de diagnóstico (geralmente endoscopia) seguem, com os objetivos do diagnóstico e, quando possível, para tratamento do distúrbio específico. O objetivo é avaliar a gravidade do sangramento, identificar possíveis fontes e determinar se há condições presentes que possam afetar o manejo subsequente. As informações coletadas são usadas para orientar as decisões sobre triagem, ressuscitação, terapia médica empírica e testes de diagnóstico. </w:t>
      </w:r>
      <w:r w:rsidRPr="00BC758A">
        <w:rPr>
          <w:rFonts w:ascii="Times New Roman" w:eastAsia="Times New Roman" w:hAnsi="Times New Roman" w:cs="Times New Roman"/>
          <w:b/>
          <w:bCs/>
        </w:rPr>
        <w:t>Objetivo:</w:t>
      </w:r>
      <w:r w:rsidRPr="00BC758A">
        <w:rPr>
          <w:rFonts w:ascii="Times New Roman" w:eastAsia="Times New Roman" w:hAnsi="Times New Roman" w:cs="Times New Roman"/>
        </w:rPr>
        <w:t xml:space="preserve"> discutir a avaliação inicial da hemorragia digestiva alta em adultos. </w:t>
      </w:r>
      <w:r w:rsidRPr="00BC758A">
        <w:rPr>
          <w:rFonts w:ascii="Times New Roman" w:eastAsia="Times New Roman" w:hAnsi="Times New Roman" w:cs="Times New Roman"/>
          <w:b/>
          <w:bCs/>
        </w:rPr>
        <w:t>Metodologia:</w:t>
      </w:r>
      <w:r w:rsidRPr="00BC758A">
        <w:rPr>
          <w:rFonts w:ascii="Times New Roman" w:eastAsia="Times New Roman" w:hAnsi="Times New Roman" w:cs="Times New Roman"/>
        </w:rPr>
        <w:t xml:space="preserve"> </w:t>
      </w:r>
      <w:r w:rsidRPr="002A6474">
        <w:rPr>
          <w:rFonts w:ascii="Times New Roman" w:eastAsia="Times New Roman" w:hAnsi="Times New Roman" w:cs="Times New Roman"/>
        </w:rPr>
        <w:t>Revisão de literatura a partir de bases de dados da Scielo, da PubMed e da BVS, de abril a junho de 2024, com descritores “</w:t>
      </w:r>
      <w:r w:rsidR="002A6474" w:rsidRPr="002A6474">
        <w:rPr>
          <w:rFonts w:ascii="Times New Roman" w:eastAsia="Times New Roman" w:hAnsi="Times New Roman" w:cs="Times New Roman"/>
        </w:rPr>
        <w:t>Upper gastrointestinal bleeding”</w:t>
      </w:r>
      <w:r w:rsidRPr="002A6474">
        <w:rPr>
          <w:rFonts w:ascii="Times New Roman" w:eastAsia="Times New Roman" w:hAnsi="Times New Roman" w:cs="Times New Roman"/>
        </w:rPr>
        <w:t xml:space="preserve">, </w:t>
      </w:r>
      <w:bookmarkStart w:id="0" w:name="_Hlk175227978"/>
      <w:r w:rsidRPr="002A6474">
        <w:rPr>
          <w:rFonts w:ascii="Times New Roman" w:eastAsia="Times New Roman" w:hAnsi="Times New Roman" w:cs="Times New Roman"/>
        </w:rPr>
        <w:t>“</w:t>
      </w:r>
      <w:r w:rsidR="002A6474" w:rsidRPr="002A6474">
        <w:rPr>
          <w:rFonts w:ascii="Times New Roman" w:eastAsia="Times New Roman" w:hAnsi="Times New Roman" w:cs="Times New Roman"/>
        </w:rPr>
        <w:t>Adults</w:t>
      </w:r>
      <w:r w:rsidRPr="002A6474">
        <w:rPr>
          <w:rFonts w:ascii="Times New Roman" w:eastAsia="Times New Roman" w:hAnsi="Times New Roman" w:cs="Times New Roman"/>
        </w:rPr>
        <w:t>”</w:t>
      </w:r>
      <w:r w:rsidR="002A6474" w:rsidRPr="002A6474">
        <w:rPr>
          <w:rFonts w:ascii="Times New Roman" w:eastAsia="Times New Roman" w:hAnsi="Times New Roman" w:cs="Times New Roman"/>
        </w:rPr>
        <w:t>, “Initial assessment”e  “Management”</w:t>
      </w:r>
      <w:bookmarkEnd w:id="0"/>
      <w:r w:rsidRPr="002A6474">
        <w:rPr>
          <w:rFonts w:ascii="Times New Roman" w:eastAsia="Times New Roman" w:hAnsi="Times New Roman" w:cs="Times New Roman"/>
        </w:rPr>
        <w:t xml:space="preserve">. Incluíram-se artigos de 2019-2024 (total </w:t>
      </w:r>
      <w:r w:rsidR="002A6474" w:rsidRPr="002A6474">
        <w:rPr>
          <w:rFonts w:ascii="Times New Roman" w:eastAsia="Times New Roman" w:hAnsi="Times New Roman" w:cs="Times New Roman"/>
        </w:rPr>
        <w:t>95</w:t>
      </w:r>
      <w:r w:rsidRPr="002A6474">
        <w:rPr>
          <w:rFonts w:ascii="Times New Roman" w:eastAsia="Times New Roman" w:hAnsi="Times New Roman" w:cs="Times New Roman"/>
        </w:rPr>
        <w:t xml:space="preserve">), com exclusão de outros critérios e escolha de 05 artigos na </w:t>
      </w:r>
      <w:proofErr w:type="spellStart"/>
      <w:proofErr w:type="gramStart"/>
      <w:r w:rsidRPr="002A6474">
        <w:rPr>
          <w:rFonts w:ascii="Times New Roman" w:eastAsia="Times New Roman" w:hAnsi="Times New Roman" w:cs="Times New Roman"/>
        </w:rPr>
        <w:t>íntegra.</w:t>
      </w:r>
      <w:r w:rsidRPr="00BC758A">
        <w:rPr>
          <w:rFonts w:ascii="Times New Roman" w:eastAsia="Times New Roman" w:hAnsi="Times New Roman" w:cs="Times New Roman"/>
          <w:b/>
          <w:bCs/>
        </w:rPr>
        <w:t>Resultados</w:t>
      </w:r>
      <w:proofErr w:type="spellEnd"/>
      <w:proofErr w:type="gramEnd"/>
      <w:r w:rsidRPr="00BC758A">
        <w:rPr>
          <w:rFonts w:ascii="Times New Roman" w:eastAsia="Times New Roman" w:hAnsi="Times New Roman" w:cs="Times New Roman"/>
          <w:b/>
          <w:bCs/>
        </w:rPr>
        <w:t xml:space="preserve"> e Discussão:</w:t>
      </w:r>
      <w:r w:rsidRPr="00BC758A">
        <w:rPr>
          <w:rFonts w:ascii="Times New Roman" w:eastAsia="Times New Roman" w:hAnsi="Times New Roman" w:cs="Times New Roman"/>
        </w:rPr>
        <w:t xml:space="preserve"> Os sintomas que sugerem que o sangramento é grave incluem tontura ortostática, confusão, angina, palpitações graves e extremidades frias/frias. Possíveis fontes de sangramento sugeridas pelo histórico médico de um paciente incluem: doença da úlcera péptica (história da infecção por Helicobacter pylori (H. pylori); uso de anti-inflamatório não esteróide (AINE); uso de anticoagulante); varizes/gastropatia hipertensiva portal; angiodisplasia gastrointestinal; fístula aorto-entérica ou malignidades. Um histórico completo de medicamentos deve ser obtido, com especial atenção aos medicamentos que: predispõe à formação de úlceras pépticas, como aspirina e outros AINEs, incluindo AINEs seletivos de COX-2; estão associados à esofagite por pílula; aumente o risco de sangramento, como anticoagulantes (incluindo varfarina e anticoagulantes orais diretos) e agentes antiplaquetários (por exemplo, inibidores de P2Y12 e aspirina); associados a sangramento GI, incluindo inibidores seletivos da recaptação da serotonina (ISRS), bloqueadores dos canais de cálcio e antagonistas da aldosterona.</w:t>
      </w:r>
      <w:r w:rsidR="00860613">
        <w:rPr>
          <w:rFonts w:ascii="Times New Roman" w:eastAsia="Times New Roman" w:hAnsi="Times New Roman" w:cs="Times New Roman"/>
        </w:rPr>
        <w:t xml:space="preserve"> </w:t>
      </w:r>
      <w:r w:rsidRPr="00BC758A">
        <w:rPr>
          <w:rFonts w:ascii="Times New Roman" w:eastAsia="Times New Roman" w:hAnsi="Times New Roman" w:cs="Times New Roman"/>
        </w:rPr>
        <w:t xml:space="preserve">O exame físico é componente-chave da avaliação da estabilidade hemodinâmica. Sinais de hipovolemia incluem: Hipovolemia leve a moderada (menos de 15% do volume sanguíneo perdido); Taquicardia em repouso; Perda de volume sanguíneo de pelo menos 15% - hipotensão ortostática (uma diminuição na pressão arterial sistólica de mais de 20 mmHg e/ou um aumento na frequência cardíaca de 20 batimentos por minuto ao passar da reclinação para o pé); Perda de volume sanguíneo de pelo menos 40% - hipotensão supina. A presença de dor abdominal, especialmente se grave e associada à sensibilidade de rebote ou proteção involuntária, levanta preocupação com a perfuração. Se houver algum sinal de abdômen agudo, é necessária uma avaliação adicional para excluir uma perfuração antes da endoscopia. Os testes laboratoriais incluem um hemograma completo, químicas séricas, testes hepáticos e estudos de coagulação. Além disso, sugerimos descartar um </w:t>
      </w:r>
      <w:r w:rsidRPr="00BC758A">
        <w:rPr>
          <w:rFonts w:ascii="Times New Roman" w:eastAsia="Times New Roman" w:hAnsi="Times New Roman" w:cs="Times New Roman"/>
        </w:rPr>
        <w:lastRenderedPageBreak/>
        <w:t xml:space="preserve">infarto do miocárdio em pacientes adultos mais velhos e aqueles com doença cardiovascular conhecida que têm sangramento grave, especialmente se houve instabilidade hemodinâmica.  Antes da endoscopia, os pacientes devem receber medidas gerais de suporte, incluindo: provisão de oxigênio suplementar por cânula nasal; jejum; dois cateteres periféricos de grande calibre (18 calibre ou maior) ou uma linha venosa central. Lavagem nasogástrica não é rotina. Os medicamentos incluem um inibidor da bomba de prótons, eritromicina, antibióticos (para pacientes com cirrose) e somatostatina ou análogos (para pacientes com suspeita de sangramento varicoso). A decisão de iniciar a transfusão de sangue deve ser individualizada. Para a maioria dos pacientes, inicia-se a transfusão de sangue se a hemoglobina for &lt;7 g/dL (70 g/L). Limites de transfusão mais altos podem ser indicados para pacientes com risco aumentado de eventos adversos no cenário de anemia significativa ou aqueles com doença arterial coronariana. O mesmo é valido para manejo de coagulopatias adjacentes. A indicação de endoscopia digestiva alta deve ocorrer dentro de 24 horas para a avaliação e manejo de pacientes admitidos com sangramento agudo do gastrointestinal superior. Para pacientes com suspeita de sangramento varicoso, realiza-se endoscopia dentro de 12 a 24 horas após a apresentação. Testes de diagnóstico adicionais podem ser necessários para alguns pacientes se </w:t>
      </w:r>
      <w:proofErr w:type="spellStart"/>
      <w:proofErr w:type="gramStart"/>
      <w:r w:rsidRPr="00BC758A">
        <w:rPr>
          <w:rFonts w:ascii="Times New Roman" w:eastAsia="Times New Roman" w:hAnsi="Times New Roman" w:cs="Times New Roman"/>
        </w:rPr>
        <w:t>dúvida.</w:t>
      </w:r>
      <w:r w:rsidRPr="00BC758A">
        <w:rPr>
          <w:rFonts w:ascii="Times New Roman" w:eastAsia="Times New Roman" w:hAnsi="Times New Roman" w:cs="Times New Roman"/>
          <w:b/>
          <w:bCs/>
        </w:rPr>
        <w:t>Conclusão</w:t>
      </w:r>
      <w:proofErr w:type="spellEnd"/>
      <w:proofErr w:type="gramEnd"/>
      <w:r w:rsidRPr="00BC758A">
        <w:rPr>
          <w:rFonts w:ascii="Times New Roman" w:eastAsia="Times New Roman" w:hAnsi="Times New Roman" w:cs="Times New Roman"/>
          <w:b/>
          <w:bCs/>
        </w:rPr>
        <w:t>:</w:t>
      </w:r>
      <w:r w:rsidRPr="00BC758A">
        <w:rPr>
          <w:rFonts w:ascii="Times New Roman" w:eastAsia="Times New Roman" w:hAnsi="Times New Roman" w:cs="Times New Roman"/>
        </w:rPr>
        <w:t xml:space="preserve"> Úlceras pépticas, doença diverticular (como a diverticulite) e vasos sanguíneos anormais (angiodisplasia) são as causas mais comuns de hemorragias intensas. O sangramento das veias expandidas no esôfago (varizes esofágicas) é menos comum do que em pessoas mais jovens. Pessoas mais velhas toleram mal hemorragias digestivas abundantes. O médico deve diagnosticar pessoas idosas rapidamente e o tratamento deve começar antes do que em pessoas mais jovens, que conseguem tolerar melhor episódios recorrentes de hemorragia.</w:t>
      </w:r>
    </w:p>
    <w:p w14:paraId="4827A27D" w14:textId="77777777" w:rsidR="00BC758A" w:rsidRPr="00BC758A" w:rsidRDefault="00BC758A" w:rsidP="00BC758A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339173F9" w14:textId="6A44AEB0" w:rsidR="00BC758A" w:rsidRPr="00BC758A" w:rsidRDefault="00BC758A" w:rsidP="00BC758A">
      <w:pPr>
        <w:spacing w:before="1"/>
        <w:rPr>
          <w:rFonts w:ascii="Times New Roman" w:eastAsia="Times New Roman" w:hAnsi="Times New Roman" w:cs="Times New Roman"/>
          <w:b/>
          <w:bCs/>
        </w:rPr>
      </w:pPr>
      <w:r w:rsidRPr="00BC758A">
        <w:rPr>
          <w:rFonts w:ascii="Times New Roman" w:eastAsia="Times New Roman" w:hAnsi="Times New Roman" w:cs="Times New Roman"/>
          <w:b/>
          <w:bCs/>
        </w:rPr>
        <w:t xml:space="preserve">Palavras-chave: </w:t>
      </w:r>
      <w:r w:rsidRPr="00BC758A">
        <w:rPr>
          <w:rFonts w:ascii="Times New Roman" w:eastAsia="Times New Roman" w:hAnsi="Times New Roman" w:cs="Times New Roman"/>
        </w:rPr>
        <w:t>Hemorragia digestiva alta; Adultos; Avaliação inicial</w:t>
      </w:r>
      <w:r w:rsidR="00860613">
        <w:rPr>
          <w:rFonts w:ascii="Times New Roman" w:eastAsia="Times New Roman" w:hAnsi="Times New Roman" w:cs="Times New Roman"/>
        </w:rPr>
        <w:t>.</w:t>
      </w:r>
    </w:p>
    <w:p w14:paraId="6E1AD3C6" w14:textId="77777777" w:rsidR="00BC758A" w:rsidRPr="00BC758A" w:rsidRDefault="00BC758A" w:rsidP="00BC758A">
      <w:pPr>
        <w:spacing w:before="1"/>
        <w:rPr>
          <w:rFonts w:ascii="Times New Roman" w:eastAsia="Times New Roman" w:hAnsi="Times New Roman" w:cs="Times New Roman"/>
          <w:b/>
          <w:bCs/>
        </w:rPr>
      </w:pPr>
      <w:r w:rsidRPr="00BC758A">
        <w:rPr>
          <w:rFonts w:ascii="Times New Roman" w:eastAsia="Times New Roman" w:hAnsi="Times New Roman" w:cs="Times New Roman"/>
          <w:b/>
          <w:bCs/>
        </w:rPr>
        <w:t xml:space="preserve">E-mail do autor principal: </w:t>
      </w:r>
      <w:hyperlink r:id="rId7" w:history="1">
        <w:r w:rsidRPr="00BC758A">
          <w:rPr>
            <w:rFonts w:ascii="Times New Roman" w:eastAsia="Times New Roman" w:hAnsi="Times New Roman" w:cs="Times New Roman"/>
            <w:b/>
            <w:bCs/>
            <w:color w:val="0000FF" w:themeColor="hyperlink"/>
            <w:u w:val="single"/>
          </w:rPr>
          <w:t>cmaganhinmed@gmail.co</w:t>
        </w:r>
        <w:r w:rsidRPr="00BC758A">
          <w:rPr>
            <w:rFonts w:ascii="Times New Roman" w:eastAsia="Times New Roman" w:hAnsi="Times New Roman" w:cs="Times New Roman"/>
            <w:b/>
            <w:bCs/>
            <w:color w:val="0000FF" w:themeColor="hyperlink"/>
            <w:u w:val="single"/>
          </w:rPr>
          <w:t>m</w:t>
        </w:r>
      </w:hyperlink>
    </w:p>
    <w:p w14:paraId="163B353D" w14:textId="77777777" w:rsidR="00BC758A" w:rsidRPr="00BC758A" w:rsidRDefault="00BC758A" w:rsidP="00BC758A">
      <w:pPr>
        <w:spacing w:before="1"/>
        <w:ind w:left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76249F" w14:textId="77777777" w:rsidR="00BC758A" w:rsidRPr="00BC758A" w:rsidRDefault="00BC758A" w:rsidP="00BC758A">
      <w:pPr>
        <w:rPr>
          <w:sz w:val="24"/>
          <w:szCs w:val="18"/>
        </w:rPr>
      </w:pPr>
    </w:p>
    <w:p w14:paraId="6767E231" w14:textId="77777777" w:rsidR="00BC758A" w:rsidRPr="00BC758A" w:rsidRDefault="00BC758A" w:rsidP="00BC758A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BC758A">
        <w:rPr>
          <w:rFonts w:ascii="Times New Roman" w:eastAsia="Times New Roman" w:hAnsi="Times New Roman" w:cs="Times New Roman"/>
          <w:b/>
          <w:bCs/>
          <w:u w:val="single"/>
        </w:rPr>
        <w:t>REFERÊNCIAS:</w:t>
      </w:r>
    </w:p>
    <w:p w14:paraId="175D6A5D" w14:textId="77777777" w:rsidR="00BC758A" w:rsidRPr="00BC758A" w:rsidRDefault="00BC758A" w:rsidP="00BC758A">
      <w:pPr>
        <w:numPr>
          <w:ilvl w:val="0"/>
          <w:numId w:val="4"/>
        </w:numPr>
        <w:autoSpaceDE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BC758A">
        <w:rPr>
          <w:rFonts w:ascii="Times New Roman" w:eastAsia="Times New Roman" w:hAnsi="Times New Roman" w:cs="Times New Roman"/>
          <w:lang w:val="en-US"/>
        </w:rPr>
        <w:t>Barkun</w:t>
      </w:r>
      <w:proofErr w:type="spellEnd"/>
      <w:r w:rsidRPr="00BC758A">
        <w:rPr>
          <w:rFonts w:ascii="Times New Roman" w:eastAsia="Times New Roman" w:hAnsi="Times New Roman" w:cs="Times New Roman"/>
          <w:lang w:val="en-US"/>
        </w:rPr>
        <w:t xml:space="preserve"> AN, </w:t>
      </w:r>
      <w:proofErr w:type="spellStart"/>
      <w:r w:rsidRPr="00BC758A">
        <w:rPr>
          <w:rFonts w:ascii="Times New Roman" w:eastAsia="Times New Roman" w:hAnsi="Times New Roman" w:cs="Times New Roman"/>
          <w:lang w:val="en-US"/>
        </w:rPr>
        <w:t>Almadi</w:t>
      </w:r>
      <w:proofErr w:type="spellEnd"/>
      <w:r w:rsidRPr="00BC758A">
        <w:rPr>
          <w:rFonts w:ascii="Times New Roman" w:eastAsia="Times New Roman" w:hAnsi="Times New Roman" w:cs="Times New Roman"/>
          <w:lang w:val="en-US"/>
        </w:rPr>
        <w:t xml:space="preserve"> M, Kuipers EJ, et al. </w:t>
      </w:r>
      <w:r w:rsidRPr="00BC758A">
        <w:rPr>
          <w:rFonts w:ascii="Times New Roman" w:eastAsia="Times New Roman" w:hAnsi="Times New Roman" w:cs="Times New Roman"/>
        </w:rPr>
        <w:t>Manejo do Sangramento Gastrointestinal Superior Não Variceal: Recomendações de Diretrizes do Grupo de Consenso Internacional. Ann Intern Med 2019; 171:805.</w:t>
      </w:r>
    </w:p>
    <w:p w14:paraId="75C62F39" w14:textId="77777777" w:rsidR="00BC758A" w:rsidRPr="00BC758A" w:rsidRDefault="00BC758A" w:rsidP="00BC758A">
      <w:pPr>
        <w:numPr>
          <w:ilvl w:val="0"/>
          <w:numId w:val="4"/>
        </w:numPr>
        <w:autoSpaceDE/>
        <w:contextualSpacing/>
        <w:jc w:val="both"/>
        <w:rPr>
          <w:rFonts w:ascii="Times New Roman" w:eastAsia="Times New Roman" w:hAnsi="Times New Roman" w:cs="Times New Roman"/>
        </w:rPr>
      </w:pPr>
      <w:r w:rsidRPr="00BC758A">
        <w:rPr>
          <w:rFonts w:ascii="Times New Roman" w:eastAsia="Times New Roman" w:hAnsi="Times New Roman" w:cs="Times New Roman"/>
          <w:lang w:val="en-US"/>
        </w:rPr>
        <w:t xml:space="preserve">Hwang JH, Fisher DA, Ben-Menachem T, et al. </w:t>
      </w:r>
      <w:r w:rsidRPr="00BC758A">
        <w:rPr>
          <w:rFonts w:ascii="Times New Roman" w:eastAsia="Times New Roman" w:hAnsi="Times New Roman" w:cs="Times New Roman"/>
        </w:rPr>
        <w:t>O papel da endoscopia no manejo do sangramento agudo não variceal do GI superior. Gastrointest Endosc 2012; 75:1132.</w:t>
      </w:r>
    </w:p>
    <w:p w14:paraId="4F0E9BD0" w14:textId="77777777" w:rsidR="00BC758A" w:rsidRPr="00BC758A" w:rsidRDefault="00BC758A" w:rsidP="00BC758A">
      <w:pPr>
        <w:numPr>
          <w:ilvl w:val="0"/>
          <w:numId w:val="4"/>
        </w:numPr>
        <w:autoSpaceDE/>
        <w:contextualSpacing/>
        <w:jc w:val="both"/>
        <w:rPr>
          <w:rFonts w:ascii="Times New Roman" w:eastAsia="Times New Roman" w:hAnsi="Times New Roman" w:cs="Times New Roman"/>
        </w:rPr>
      </w:pPr>
      <w:r w:rsidRPr="00BC758A">
        <w:rPr>
          <w:rFonts w:ascii="Times New Roman" w:eastAsia="Times New Roman" w:hAnsi="Times New Roman" w:cs="Times New Roman"/>
          <w:lang w:val="en-US"/>
        </w:rPr>
        <w:t xml:space="preserve">Laine L, </w:t>
      </w:r>
      <w:proofErr w:type="spellStart"/>
      <w:r w:rsidRPr="00BC758A">
        <w:rPr>
          <w:rFonts w:ascii="Times New Roman" w:eastAsia="Times New Roman" w:hAnsi="Times New Roman" w:cs="Times New Roman"/>
          <w:lang w:val="en-US"/>
        </w:rPr>
        <w:t>Barkun</w:t>
      </w:r>
      <w:proofErr w:type="spellEnd"/>
      <w:r w:rsidRPr="00BC758A">
        <w:rPr>
          <w:rFonts w:ascii="Times New Roman" w:eastAsia="Times New Roman" w:hAnsi="Times New Roman" w:cs="Times New Roman"/>
          <w:lang w:val="en-US"/>
        </w:rPr>
        <w:t xml:space="preserve"> AN, Saltzman JR, et al. </w:t>
      </w:r>
      <w:r w:rsidRPr="00BC758A">
        <w:rPr>
          <w:rFonts w:ascii="Times New Roman" w:eastAsia="Times New Roman" w:hAnsi="Times New Roman" w:cs="Times New Roman"/>
        </w:rPr>
        <w:t>Diretriz Clínica ACG: Sangramento Gastrointestinal Superior e de Úlcera. Am J Gastroenterol 2021; 116:899.</w:t>
      </w:r>
    </w:p>
    <w:p w14:paraId="7E7C4902" w14:textId="77777777" w:rsidR="00BC758A" w:rsidRPr="00BC758A" w:rsidRDefault="00BC758A" w:rsidP="00BC758A">
      <w:pPr>
        <w:numPr>
          <w:ilvl w:val="0"/>
          <w:numId w:val="4"/>
        </w:numPr>
        <w:autoSpaceDE/>
        <w:contextualSpacing/>
        <w:jc w:val="both"/>
        <w:rPr>
          <w:rFonts w:ascii="Times New Roman" w:eastAsia="Times New Roman" w:hAnsi="Times New Roman" w:cs="Times New Roman"/>
        </w:rPr>
      </w:pPr>
      <w:r w:rsidRPr="00BC758A">
        <w:rPr>
          <w:rFonts w:ascii="Times New Roman" w:eastAsia="Times New Roman" w:hAnsi="Times New Roman" w:cs="Times New Roman"/>
        </w:rPr>
        <w:t>Gralnek IM, Dumonceau JM, Kuipers EJ, et al. Diagnóstico e manejo da hemorragia gastrointestinal superior não variceal: Diretriz da Sociedade Europeia de Endoscopia Gastrointestinal (ESGE). Endoscopia 2015; 47:a1.</w:t>
      </w:r>
    </w:p>
    <w:p w14:paraId="0109D8C0" w14:textId="77777777" w:rsidR="00BC758A" w:rsidRPr="00BC758A" w:rsidRDefault="00BC758A" w:rsidP="00BC758A">
      <w:pPr>
        <w:numPr>
          <w:ilvl w:val="0"/>
          <w:numId w:val="4"/>
        </w:numPr>
        <w:autoSpaceDE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BC758A">
        <w:rPr>
          <w:rFonts w:ascii="Times New Roman" w:eastAsia="Times New Roman" w:hAnsi="Times New Roman" w:cs="Times New Roman"/>
          <w:lang w:val="en-US"/>
        </w:rPr>
        <w:t>Gralnek</w:t>
      </w:r>
      <w:proofErr w:type="spellEnd"/>
      <w:r w:rsidRPr="00BC758A">
        <w:rPr>
          <w:rFonts w:ascii="Times New Roman" w:eastAsia="Times New Roman" w:hAnsi="Times New Roman" w:cs="Times New Roman"/>
          <w:lang w:val="en-US"/>
        </w:rPr>
        <w:t xml:space="preserve"> IM, Stanley AJ, Morris AJ, et al. </w:t>
      </w:r>
      <w:r w:rsidRPr="00BC758A">
        <w:rPr>
          <w:rFonts w:ascii="Times New Roman" w:eastAsia="Times New Roman" w:hAnsi="Times New Roman" w:cs="Times New Roman"/>
        </w:rPr>
        <w:t>Diagnóstico endoscópico e manejo da hemorragia gastrointestinal superior não variceal (NVUGIH): Diretriz da Sociedade Europeia de Endoscopia Gastrointestinal (ESGE) - Atualização 2021. Endoscopia 2021; 53:300.</w:t>
      </w:r>
    </w:p>
    <w:p w14:paraId="71CCFD5D" w14:textId="77777777" w:rsidR="00BC758A" w:rsidRPr="00BC758A" w:rsidRDefault="00BC758A" w:rsidP="00BC758A">
      <w:pPr>
        <w:ind w:left="720" w:right="113"/>
        <w:jc w:val="both"/>
        <w:rPr>
          <w:rFonts w:ascii="Times New Roman" w:hAnsi="Times New Roman" w:cs="Times New Roman"/>
        </w:rPr>
      </w:pPr>
    </w:p>
    <w:p w14:paraId="49E9228D" w14:textId="679F8105" w:rsidR="00DC3AC3" w:rsidRDefault="00DC3AC3" w:rsidP="00DC3AC3">
      <w:pPr>
        <w:pStyle w:val="Corpodetexto"/>
        <w:spacing w:line="513" w:lineRule="auto"/>
        <w:ind w:right="113"/>
        <w:jc w:val="both"/>
      </w:pPr>
    </w:p>
    <w:p w14:paraId="1D7FF431" w14:textId="64D49FE3" w:rsidR="00687F3F" w:rsidRDefault="00444CB2">
      <w:pPr>
        <w:pStyle w:val="Corpodetexto"/>
        <w:rPr>
          <w:sz w:val="20"/>
          <w:lang w:val="pt-BR"/>
        </w:rPr>
      </w:pPr>
      <w:r>
        <w:rPr>
          <w:sz w:val="20"/>
        </w:rPr>
        <w:t xml:space="preserve">1: </w:t>
      </w:r>
      <w:r w:rsidRPr="00444CB2">
        <w:rPr>
          <w:sz w:val="20"/>
          <w:lang w:val="pt-BR"/>
        </w:rPr>
        <w:t>Faculdade Israelita de Ciências da Saúde Albert Einstein</w:t>
      </w:r>
      <w:r>
        <w:rPr>
          <w:sz w:val="20"/>
          <w:lang w:val="pt-BR"/>
        </w:rPr>
        <w:t xml:space="preserve">; </w:t>
      </w:r>
      <w:r w:rsidRPr="00444CB2">
        <w:rPr>
          <w:sz w:val="20"/>
          <w:lang w:val="pt-BR"/>
        </w:rPr>
        <w:t>cmaganhinmed@gmail.com</w:t>
      </w:r>
    </w:p>
    <w:p w14:paraId="434B59D4" w14:textId="666E0449" w:rsidR="00444CB2" w:rsidRDefault="00444CB2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2: </w:t>
      </w:r>
      <w:r w:rsidRPr="00444CB2">
        <w:rPr>
          <w:sz w:val="20"/>
          <w:lang w:val="pt-BR"/>
        </w:rPr>
        <w:t>Centro Universitário IMEPAC Araguari</w:t>
      </w:r>
      <w:r>
        <w:rPr>
          <w:sz w:val="20"/>
          <w:lang w:val="pt-BR"/>
        </w:rPr>
        <w:t xml:space="preserve">; </w:t>
      </w:r>
      <w:r w:rsidRPr="00444CB2">
        <w:rPr>
          <w:sz w:val="20"/>
          <w:lang w:val="pt-BR"/>
        </w:rPr>
        <w:t>joaopedrorefaria@hotmail.com</w:t>
      </w:r>
    </w:p>
    <w:p w14:paraId="53137458" w14:textId="7ADA9819" w:rsidR="00444CB2" w:rsidRDefault="00444CB2">
      <w:pPr>
        <w:pStyle w:val="Corpodetexto"/>
        <w:rPr>
          <w:sz w:val="20"/>
          <w:lang w:val="pt-BR"/>
        </w:rPr>
      </w:pPr>
      <w:r w:rsidRPr="00B80F7F">
        <w:rPr>
          <w:sz w:val="20"/>
          <w:lang w:val="pt-BR"/>
        </w:rPr>
        <w:t xml:space="preserve">3: </w:t>
      </w:r>
      <w:r w:rsidR="00B80F7F" w:rsidRPr="00B80F7F">
        <w:rPr>
          <w:sz w:val="20"/>
        </w:rPr>
        <w:t>UDABOL (Bol</w:t>
      </w:r>
      <w:r w:rsidR="00B80F7F" w:rsidRPr="00B80F7F">
        <w:rPr>
          <w:sz w:val="20"/>
        </w:rPr>
        <w:t xml:space="preserve">ívia); </w:t>
      </w:r>
      <w:r w:rsidR="00B80F7F" w:rsidRPr="00B80F7F">
        <w:rPr>
          <w:sz w:val="20"/>
          <w:lang w:val="pt-BR"/>
        </w:rPr>
        <w:t>joao_mauricio9@hotmail.com</w:t>
      </w:r>
    </w:p>
    <w:p w14:paraId="6C59E037" w14:textId="5C1F196A" w:rsidR="00444CB2" w:rsidRDefault="00444CB2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4: </w:t>
      </w:r>
      <w:r w:rsidRPr="00444CB2">
        <w:rPr>
          <w:sz w:val="20"/>
          <w:lang w:val="pt-BR"/>
        </w:rPr>
        <w:t>R1 Cirurgia Geral - Hospital das Forças Armadas (Brasília-DF)</w:t>
      </w:r>
      <w:r>
        <w:rPr>
          <w:sz w:val="20"/>
          <w:lang w:val="pt-BR"/>
        </w:rPr>
        <w:t xml:space="preserve">; </w:t>
      </w:r>
      <w:r w:rsidRPr="00444CB2">
        <w:rPr>
          <w:sz w:val="20"/>
          <w:lang w:val="pt-BR"/>
        </w:rPr>
        <w:t>alencar64@gmail.com</w:t>
      </w:r>
    </w:p>
    <w:p w14:paraId="36F4ED02" w14:textId="1BA06C0E" w:rsidR="00444CB2" w:rsidRDefault="00444CB2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5: Universidade Federal do Ceará; </w:t>
      </w:r>
      <w:r w:rsidRPr="00444CB2">
        <w:rPr>
          <w:sz w:val="20"/>
          <w:lang w:val="pt-BR"/>
        </w:rPr>
        <w:t>geyson_albuquerque@hotmail.com</w:t>
      </w:r>
    </w:p>
    <w:p w14:paraId="61677071" w14:textId="73723170" w:rsidR="00444CB2" w:rsidRDefault="00444CB2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6: </w:t>
      </w:r>
      <w:r w:rsidRPr="00444CB2">
        <w:rPr>
          <w:sz w:val="20"/>
          <w:lang w:val="pt-BR"/>
        </w:rPr>
        <w:t>Hospital Federal de Bonsucesso</w:t>
      </w:r>
      <w:r>
        <w:rPr>
          <w:sz w:val="20"/>
          <w:lang w:val="pt-BR"/>
        </w:rPr>
        <w:t xml:space="preserve">; </w:t>
      </w:r>
      <w:r w:rsidRPr="00444CB2">
        <w:rPr>
          <w:sz w:val="20"/>
          <w:lang w:val="pt-BR"/>
        </w:rPr>
        <w:t>paula2104@gmail.com</w:t>
      </w:r>
    </w:p>
    <w:p w14:paraId="790B149C" w14:textId="26B5E45C" w:rsidR="00444CB2" w:rsidRDefault="00444CB2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>7</w:t>
      </w:r>
      <w:r w:rsidR="00B80F7F">
        <w:rPr>
          <w:sz w:val="20"/>
          <w:lang w:val="pt-BR"/>
        </w:rPr>
        <w:t xml:space="preserve">: </w:t>
      </w:r>
      <w:r w:rsidR="00B80F7F" w:rsidRPr="00B80F7F">
        <w:rPr>
          <w:sz w:val="20"/>
          <w:lang w:val="pt-BR"/>
        </w:rPr>
        <w:t>Pontifícia Universidade Católica do Rio Grande do Sul (PUCRS); lumertzvictoria@gmail.com</w:t>
      </w:r>
    </w:p>
    <w:p w14:paraId="4CF91254" w14:textId="1D492223" w:rsidR="00444CB2" w:rsidRDefault="00444CB2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8: </w:t>
      </w:r>
      <w:r w:rsidRPr="00444CB2">
        <w:rPr>
          <w:sz w:val="20"/>
          <w:lang w:val="pt-BR"/>
        </w:rPr>
        <w:t xml:space="preserve">Universidade Federal de Mato Grosso </w:t>
      </w:r>
      <w:r>
        <w:rPr>
          <w:sz w:val="20"/>
          <w:lang w:val="pt-BR"/>
        </w:rPr>
        <w:t>–</w:t>
      </w:r>
      <w:r w:rsidRPr="00444CB2">
        <w:rPr>
          <w:sz w:val="20"/>
          <w:lang w:val="pt-BR"/>
        </w:rPr>
        <w:t xml:space="preserve"> UFMT</w:t>
      </w:r>
      <w:r>
        <w:rPr>
          <w:sz w:val="20"/>
          <w:lang w:val="pt-BR"/>
        </w:rPr>
        <w:t xml:space="preserve">; </w:t>
      </w:r>
      <w:r w:rsidRPr="00444CB2">
        <w:rPr>
          <w:sz w:val="20"/>
          <w:lang w:val="pt-BR"/>
        </w:rPr>
        <w:t>roberto.spadoni@hotmail.com</w:t>
      </w:r>
    </w:p>
    <w:p w14:paraId="0D61FD09" w14:textId="0D2BECC2" w:rsidR="00444CB2" w:rsidRDefault="00444CB2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 xml:space="preserve">9: </w:t>
      </w:r>
      <w:r w:rsidRPr="00444CB2">
        <w:rPr>
          <w:sz w:val="20"/>
          <w:lang w:val="pt-BR"/>
        </w:rPr>
        <w:t>Universidade Federal de Lavras (UFLA)</w:t>
      </w:r>
      <w:r>
        <w:rPr>
          <w:sz w:val="20"/>
          <w:lang w:val="pt-BR"/>
        </w:rPr>
        <w:t xml:space="preserve">; </w:t>
      </w:r>
      <w:r w:rsidRPr="00444CB2">
        <w:rPr>
          <w:sz w:val="20"/>
          <w:lang w:val="pt-BR"/>
        </w:rPr>
        <w:t>batistaphc@gmail.com</w:t>
      </w:r>
    </w:p>
    <w:p w14:paraId="5B077D86" w14:textId="6439260D" w:rsidR="00444CB2" w:rsidRDefault="00444CB2">
      <w:pPr>
        <w:pStyle w:val="Corpodetexto"/>
        <w:rPr>
          <w:sz w:val="20"/>
        </w:rPr>
      </w:pPr>
      <w:r>
        <w:rPr>
          <w:sz w:val="20"/>
          <w:lang w:val="pt-BR"/>
        </w:rPr>
        <w:t xml:space="preserve">10: </w:t>
      </w:r>
      <w:r w:rsidRPr="00444CB2">
        <w:rPr>
          <w:sz w:val="20"/>
          <w:lang w:val="pt-BR"/>
        </w:rPr>
        <w:t xml:space="preserve">Universidade </w:t>
      </w:r>
      <w:proofErr w:type="spellStart"/>
      <w:r w:rsidRPr="00444CB2">
        <w:rPr>
          <w:sz w:val="20"/>
          <w:lang w:val="pt-BR"/>
        </w:rPr>
        <w:t>Unifenas</w:t>
      </w:r>
      <w:proofErr w:type="spellEnd"/>
      <w:r w:rsidRPr="00444CB2">
        <w:rPr>
          <w:sz w:val="20"/>
          <w:lang w:val="pt-BR"/>
        </w:rPr>
        <w:t xml:space="preserve"> Alfenas</w:t>
      </w:r>
      <w:r>
        <w:rPr>
          <w:sz w:val="20"/>
          <w:lang w:val="pt-BR"/>
        </w:rPr>
        <w:t xml:space="preserve">; </w:t>
      </w:r>
      <w:r w:rsidRPr="00444CB2">
        <w:rPr>
          <w:sz w:val="20"/>
          <w:lang w:val="pt-BR"/>
        </w:rPr>
        <w:t>Luisadinizmv@hotmail.com</w:t>
      </w:r>
    </w:p>
    <w:p w14:paraId="4679E47D" w14:textId="77777777" w:rsidR="00860613" w:rsidRDefault="00860613" w:rsidP="00860613">
      <w:pPr>
        <w:pStyle w:val="Corpodetexto"/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4: </w:t>
      </w:r>
      <w:r w:rsidRPr="00B704F4">
        <w:rPr>
          <w:sz w:val="20"/>
          <w:lang w:val="pt-BR"/>
        </w:rPr>
        <w:t>Pontifícia Universidade Católica do Rio Grande do Sul (PUCRS)</w:t>
      </w:r>
      <w:r>
        <w:rPr>
          <w:sz w:val="20"/>
          <w:lang w:val="pt-BR"/>
        </w:rPr>
        <w:t xml:space="preserve">; </w:t>
      </w:r>
      <w:r w:rsidRPr="00B704F4">
        <w:rPr>
          <w:sz w:val="20"/>
          <w:lang w:val="pt-BR"/>
        </w:rPr>
        <w:t>lumertzvictoria@gmail.com</w:t>
      </w:r>
    </w:p>
    <w:p w14:paraId="50C7C9CD" w14:textId="77777777" w:rsidR="00687F3F" w:rsidRPr="00860613" w:rsidRDefault="00687F3F">
      <w:pPr>
        <w:pStyle w:val="Corpodetexto"/>
        <w:rPr>
          <w:sz w:val="20"/>
          <w:lang w:val="pt-BR"/>
        </w:rPr>
      </w:pPr>
    </w:p>
    <w:p w14:paraId="351B4518" w14:textId="77777777" w:rsidR="00444CB2" w:rsidRDefault="00444CB2">
      <w:pPr>
        <w:pStyle w:val="Corpodetexto"/>
        <w:rPr>
          <w:sz w:val="20"/>
        </w:rPr>
      </w:pPr>
    </w:p>
    <w:p w14:paraId="1B959AB0" w14:textId="77777777" w:rsidR="00687F3F" w:rsidRDefault="00000000">
      <w:pPr>
        <w:pStyle w:val="Corpodetexto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A9C949" wp14:editId="119BE29E">
            <wp:simplePos x="0" y="0"/>
            <wp:positionH relativeFrom="page">
              <wp:posOffset>1123950</wp:posOffset>
            </wp:positionH>
            <wp:positionV relativeFrom="paragraph">
              <wp:posOffset>184454</wp:posOffset>
            </wp:positionV>
            <wp:extent cx="5093348" cy="167039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7F3F" w:rsidSect="00444CB2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7855"/>
    <w:multiLevelType w:val="hybridMultilevel"/>
    <w:tmpl w:val="296803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5497"/>
    <w:multiLevelType w:val="hybridMultilevel"/>
    <w:tmpl w:val="DACC5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3A6A"/>
    <w:multiLevelType w:val="hybridMultilevel"/>
    <w:tmpl w:val="42A05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5497">
    <w:abstractNumId w:val="2"/>
  </w:num>
  <w:num w:numId="2" w16cid:durableId="112097545">
    <w:abstractNumId w:val="0"/>
  </w:num>
  <w:num w:numId="3" w16cid:durableId="645401037">
    <w:abstractNumId w:val="1"/>
  </w:num>
  <w:num w:numId="4" w16cid:durableId="417748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F"/>
    <w:rsid w:val="002A6474"/>
    <w:rsid w:val="00444CB2"/>
    <w:rsid w:val="00687F3F"/>
    <w:rsid w:val="00860613"/>
    <w:rsid w:val="008A19D0"/>
    <w:rsid w:val="00A456C0"/>
    <w:rsid w:val="00A8532C"/>
    <w:rsid w:val="00B80F7F"/>
    <w:rsid w:val="00BC758A"/>
    <w:rsid w:val="00C23F94"/>
    <w:rsid w:val="00C8461C"/>
    <w:rsid w:val="00DC3AC3"/>
    <w:rsid w:val="00E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AC81"/>
  <w15:docId w15:val="{060605F2-CFF7-5F4E-AB96-3685C0C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3"/>
      <w:ind w:left="276" w:right="276"/>
      <w:jc w:val="center"/>
    </w:pPr>
    <w:rPr>
      <w:rFonts w:ascii="Tahoma" w:eastAsia="Tahoma" w:hAnsi="Tahoma" w:cs="Tahoma"/>
      <w:b/>
      <w:bCs/>
      <w:sz w:val="33"/>
      <w:szCs w:val="33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C3A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maganhinme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91D0-7B41-4F65-9A1E-D7D96DA8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1187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TÍTULO DE SER CENTRALIZADO, COM FONTE TIMES NEW ROMAN TAMANHO 14, MÁXIMO 21 PALAVRAS E DEVE ESTAREM CAIXA ALTA.</vt:lpstr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TÍTULO DE SER CENTRALIZADO, COM FONTE TIMES NEW ROMAN TAMANHO 14, MÁXIMO 21 PALAVRAS E DEVE ESTAREM CAIXA ALTA.</dc:title>
  <dc:creator>Gabriel lopes</dc:creator>
  <cp:keywords>DAGLO8lvsuU,BAFdLJ1Rj7I</cp:keywords>
  <cp:lastModifiedBy>Camilla Maganhin</cp:lastModifiedBy>
  <cp:revision>4</cp:revision>
  <dcterms:created xsi:type="dcterms:W3CDTF">2024-08-22T17:08:00Z</dcterms:created>
  <dcterms:modified xsi:type="dcterms:W3CDTF">2024-08-23T00:24:00Z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2024-08-20T00:00:00Z</vt:filetime>
  </property>
</Properties>
</file>