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63EBC" w14:textId="77777777" w:rsidR="00442A47" w:rsidRDefault="00442A47" w:rsidP="00442A47">
      <w:pPr>
        <w:rPr>
          <w:rFonts w:ascii="Arial" w:hAnsi="Arial" w:cs="Arial"/>
          <w:b/>
          <w:bCs/>
        </w:rPr>
      </w:pPr>
    </w:p>
    <w:p w14:paraId="6BD292D6" w14:textId="65609106" w:rsidR="00D5745D" w:rsidRDefault="00D5745D" w:rsidP="00D5745D">
      <w:pPr>
        <w:spacing w:after="120" w:line="360" w:lineRule="auto"/>
        <w:jc w:val="center"/>
        <w:rPr>
          <w:rFonts w:ascii="Arial" w:hAnsi="Arial" w:cs="Arial"/>
          <w:b/>
        </w:rPr>
      </w:pPr>
      <w:r w:rsidRPr="00D5745D">
        <w:rPr>
          <w:rFonts w:ascii="Arial" w:hAnsi="Arial" w:cs="Arial"/>
          <w:b/>
          <w:sz w:val="28"/>
          <w:szCs w:val="28"/>
        </w:rPr>
        <w:t>AS LICENCIATURAS EM ARTE NO ESTADO DE SÃO PAULO: UMA CRISE NA EDUCAÇÃO.</w:t>
      </w:r>
    </w:p>
    <w:p w14:paraId="03192942" w14:textId="77777777" w:rsidR="00D5745D" w:rsidRDefault="00D5745D" w:rsidP="00C57497">
      <w:pPr>
        <w:spacing w:after="120" w:line="360" w:lineRule="auto"/>
        <w:rPr>
          <w:rFonts w:ascii="Arial" w:hAnsi="Arial" w:cs="Arial"/>
          <w:b/>
        </w:rPr>
      </w:pPr>
      <w:bookmarkStart w:id="0" w:name="_GoBack"/>
      <w:bookmarkEnd w:id="0"/>
    </w:p>
    <w:p w14:paraId="775072DC" w14:textId="7B478295" w:rsidR="00D5745D" w:rsidRDefault="00D5745D" w:rsidP="00D5745D">
      <w:pPr>
        <w:spacing w:after="120" w:line="360" w:lineRule="auto"/>
        <w:jc w:val="both"/>
        <w:rPr>
          <w:rFonts w:ascii="Arial" w:hAnsi="Arial" w:cs="Arial"/>
        </w:rPr>
      </w:pPr>
      <w:r>
        <w:rPr>
          <w:rFonts w:ascii="Arial" w:hAnsi="Arial" w:cs="Arial"/>
          <w:b/>
        </w:rPr>
        <w:t>Resumo:</w:t>
      </w:r>
      <w:r>
        <w:rPr>
          <w:rFonts w:ascii="Arial" w:hAnsi="Arial" w:cs="Arial"/>
        </w:rPr>
        <w:t xml:space="preserve"> Esse texto, recorte da pesquisa de Pós-Doutoramento (UNESP)</w:t>
      </w:r>
      <w:r>
        <w:rPr>
          <w:rFonts w:ascii="Arial" w:hAnsi="Arial" w:cs="Arial"/>
        </w:rPr>
        <w:t>,</w:t>
      </w:r>
      <w:r>
        <w:rPr>
          <w:rFonts w:ascii="Arial" w:hAnsi="Arial" w:cs="Arial"/>
        </w:rPr>
        <w:t xml:space="preserve"> investiga e mapeia as Licenciaturas em Arte no Estado de São Paulo, trazendo uma reflexão sobre a importância da formação de professores(as) de arte, diante do atual sistema neoliberal. Partindo dos dados do INEP/CENSUP, trago uma síntese (quadro) dos 41 municípios acima de 200.000 habitantes.</w:t>
      </w:r>
      <w:r w:rsidRPr="0026587B">
        <w:rPr>
          <w:rFonts w:ascii="Arial" w:hAnsi="Arial" w:cs="Arial"/>
        </w:rPr>
        <w:t xml:space="preserve"> Apresent</w:t>
      </w:r>
      <w:r>
        <w:rPr>
          <w:rFonts w:ascii="Arial" w:hAnsi="Arial" w:cs="Arial"/>
        </w:rPr>
        <w:t>o</w:t>
      </w:r>
      <w:r w:rsidRPr="0026587B">
        <w:rPr>
          <w:rFonts w:ascii="Arial" w:hAnsi="Arial" w:cs="Arial"/>
        </w:rPr>
        <w:t xml:space="preserve"> </w:t>
      </w:r>
      <w:r>
        <w:rPr>
          <w:rFonts w:ascii="Arial" w:hAnsi="Arial" w:cs="Arial"/>
        </w:rPr>
        <w:t>parte</w:t>
      </w:r>
      <w:r w:rsidRPr="0026587B">
        <w:rPr>
          <w:rFonts w:ascii="Arial" w:hAnsi="Arial" w:cs="Arial"/>
        </w:rPr>
        <w:t xml:space="preserve"> </w:t>
      </w:r>
      <w:r>
        <w:rPr>
          <w:rFonts w:ascii="Arial" w:hAnsi="Arial" w:cs="Arial"/>
        </w:rPr>
        <w:t>d</w:t>
      </w:r>
      <w:r w:rsidRPr="0026587B">
        <w:rPr>
          <w:rFonts w:ascii="Arial" w:hAnsi="Arial" w:cs="Arial"/>
        </w:rPr>
        <w:t>o primeiro item dos objetivos específicos: identificar quais são os municípios do Estado de São Paulo que oferecem cursos de Licenciatura em Arte (Artes Visuais, Músi</w:t>
      </w:r>
      <w:r>
        <w:rPr>
          <w:rFonts w:ascii="Arial" w:hAnsi="Arial" w:cs="Arial"/>
        </w:rPr>
        <w:t xml:space="preserve">ca, Dança e Teatro), verificando o </w:t>
      </w:r>
      <w:r w:rsidRPr="0026587B">
        <w:rPr>
          <w:rFonts w:ascii="Arial" w:hAnsi="Arial" w:cs="Arial"/>
        </w:rPr>
        <w:t xml:space="preserve">número de cursos, o total de vagas, de inscritos, de ingressantes, de matrículas e de concluintes, </w:t>
      </w:r>
      <w:r>
        <w:rPr>
          <w:rFonts w:ascii="Arial" w:hAnsi="Arial" w:cs="Arial"/>
        </w:rPr>
        <w:t>evidenciando</w:t>
      </w:r>
      <w:r w:rsidRPr="0026587B">
        <w:rPr>
          <w:rFonts w:ascii="Arial" w:hAnsi="Arial" w:cs="Arial"/>
        </w:rPr>
        <w:t xml:space="preserve"> em quais condições são oferecidos os curso</w:t>
      </w:r>
      <w:r>
        <w:rPr>
          <w:rFonts w:ascii="Arial" w:hAnsi="Arial" w:cs="Arial"/>
        </w:rPr>
        <w:t>s na modalidade presencial.</w:t>
      </w:r>
      <w:r w:rsidRPr="0026587B">
        <w:rPr>
          <w:rFonts w:ascii="Arial" w:hAnsi="Arial" w:cs="Arial"/>
        </w:rPr>
        <w:t xml:space="preserve"> </w:t>
      </w:r>
      <w:r>
        <w:rPr>
          <w:rFonts w:ascii="Arial" w:hAnsi="Arial" w:cs="Arial"/>
        </w:rPr>
        <w:t>Os resultados, parciais, já anunciam precariedades</w:t>
      </w:r>
      <w:r>
        <w:rPr>
          <w:rFonts w:ascii="Arial" w:hAnsi="Arial" w:cs="Arial"/>
        </w:rPr>
        <w:t xml:space="preserve">, em número, </w:t>
      </w:r>
      <w:r>
        <w:rPr>
          <w:rFonts w:ascii="Arial" w:hAnsi="Arial" w:cs="Arial"/>
        </w:rPr>
        <w:t>da formação desse futuro profissional.</w:t>
      </w:r>
    </w:p>
    <w:p w14:paraId="6453505E" w14:textId="77777777" w:rsidR="00D5745D" w:rsidRDefault="00D5745D" w:rsidP="00D5745D">
      <w:pPr>
        <w:spacing w:after="120" w:line="360" w:lineRule="auto"/>
        <w:jc w:val="both"/>
        <w:rPr>
          <w:rFonts w:ascii="Arial" w:hAnsi="Arial" w:cs="Arial"/>
        </w:rPr>
      </w:pPr>
      <w:r>
        <w:rPr>
          <w:rFonts w:ascii="Arial" w:hAnsi="Arial" w:cs="Arial"/>
        </w:rPr>
        <w:t>Palavras-chave: Licenciatura em Arte; Formação de Professores(as); Educação.</w:t>
      </w:r>
    </w:p>
    <w:p w14:paraId="6B3F0D06" w14:textId="77777777" w:rsidR="00D5745D" w:rsidRDefault="00D5745D" w:rsidP="00D5745D">
      <w:pPr>
        <w:spacing w:after="120" w:line="360" w:lineRule="auto"/>
        <w:jc w:val="both"/>
        <w:rPr>
          <w:rFonts w:ascii="Arial" w:hAnsi="Arial" w:cs="Arial"/>
        </w:rPr>
      </w:pPr>
    </w:p>
    <w:p w14:paraId="6CE38814" w14:textId="77777777" w:rsidR="00D5745D" w:rsidRPr="00A555DF" w:rsidRDefault="00D5745D" w:rsidP="00D5745D">
      <w:pPr>
        <w:spacing w:after="120" w:line="360" w:lineRule="auto"/>
        <w:jc w:val="both"/>
        <w:rPr>
          <w:rFonts w:ascii="Arial" w:hAnsi="Arial" w:cs="Arial"/>
          <w:b/>
        </w:rPr>
      </w:pPr>
      <w:r>
        <w:rPr>
          <w:rFonts w:ascii="Arial" w:hAnsi="Arial" w:cs="Arial"/>
          <w:b/>
        </w:rPr>
        <w:t>A formação do</w:t>
      </w:r>
      <w:r w:rsidRPr="00A555DF">
        <w:rPr>
          <w:rFonts w:ascii="Arial" w:hAnsi="Arial" w:cs="Arial"/>
          <w:b/>
        </w:rPr>
        <w:t xml:space="preserve"> professor</w:t>
      </w:r>
      <w:r>
        <w:rPr>
          <w:rFonts w:ascii="Arial" w:hAnsi="Arial" w:cs="Arial"/>
          <w:b/>
        </w:rPr>
        <w:t xml:space="preserve">(a) </w:t>
      </w:r>
      <w:r w:rsidRPr="00A555DF">
        <w:rPr>
          <w:rFonts w:ascii="Arial" w:hAnsi="Arial" w:cs="Arial"/>
          <w:b/>
        </w:rPr>
        <w:t>de arte</w:t>
      </w:r>
    </w:p>
    <w:p w14:paraId="472D52A7" w14:textId="77777777" w:rsidR="00917966" w:rsidRDefault="00D5745D" w:rsidP="00B67BC1">
      <w:pPr>
        <w:spacing w:after="120" w:line="360" w:lineRule="auto"/>
        <w:ind w:firstLine="708"/>
        <w:jc w:val="both"/>
        <w:rPr>
          <w:rFonts w:ascii="Arial" w:hAnsi="Arial" w:cs="Arial"/>
        </w:rPr>
      </w:pPr>
      <w:r>
        <w:rPr>
          <w:rFonts w:ascii="Arial" w:hAnsi="Arial" w:cs="Arial"/>
        </w:rPr>
        <w:t>A</w:t>
      </w:r>
      <w:r w:rsidR="00B67BC1">
        <w:rPr>
          <w:rFonts w:ascii="Arial" w:hAnsi="Arial" w:cs="Arial"/>
        </w:rPr>
        <w:t xml:space="preserve"> formação de P</w:t>
      </w:r>
      <w:r w:rsidRPr="00561D9D">
        <w:rPr>
          <w:rFonts w:ascii="Arial" w:hAnsi="Arial" w:cs="Arial"/>
        </w:rPr>
        <w:t>rofessores</w:t>
      </w:r>
      <w:r w:rsidR="00B67BC1">
        <w:rPr>
          <w:rFonts w:ascii="Arial" w:hAnsi="Arial" w:cs="Arial"/>
        </w:rPr>
        <w:t>(as) em geral, e de Arte</w:t>
      </w:r>
      <w:r>
        <w:rPr>
          <w:rFonts w:ascii="Arial" w:hAnsi="Arial" w:cs="Arial"/>
        </w:rPr>
        <w:t xml:space="preserve"> em particular,</w:t>
      </w:r>
      <w:r w:rsidRPr="00561D9D">
        <w:rPr>
          <w:rFonts w:ascii="Arial" w:hAnsi="Arial" w:cs="Arial"/>
        </w:rPr>
        <w:t xml:space="preserve"> </w:t>
      </w:r>
      <w:r w:rsidR="00B67BC1" w:rsidRPr="00561D9D">
        <w:rPr>
          <w:rFonts w:ascii="Arial" w:hAnsi="Arial" w:cs="Arial"/>
        </w:rPr>
        <w:t>precisa</w:t>
      </w:r>
      <w:r w:rsidRPr="00561D9D">
        <w:rPr>
          <w:rFonts w:ascii="Arial" w:hAnsi="Arial" w:cs="Arial"/>
        </w:rPr>
        <w:t xml:space="preserve"> ir além do simples repasse de informações e técnicas pedagógicas.</w:t>
      </w:r>
      <w:r>
        <w:rPr>
          <w:rFonts w:ascii="Arial" w:hAnsi="Arial" w:cs="Arial"/>
        </w:rPr>
        <w:t xml:space="preserve"> O</w:t>
      </w:r>
      <w:r w:rsidR="00B67BC1">
        <w:rPr>
          <w:rFonts w:ascii="Arial" w:hAnsi="Arial" w:cs="Arial"/>
        </w:rPr>
        <w:t>(A)</w:t>
      </w:r>
      <w:r w:rsidRPr="00561D9D">
        <w:rPr>
          <w:rFonts w:ascii="Arial" w:hAnsi="Arial" w:cs="Arial"/>
        </w:rPr>
        <w:t xml:space="preserve"> </w:t>
      </w:r>
      <w:r>
        <w:rPr>
          <w:rFonts w:ascii="Arial" w:hAnsi="Arial" w:cs="Arial"/>
        </w:rPr>
        <w:t>estudante de licenciatura em sua formação, tanto inicial como continuada, e depois como profissional,</w:t>
      </w:r>
      <w:r w:rsidRPr="00561D9D">
        <w:rPr>
          <w:rFonts w:ascii="Arial" w:hAnsi="Arial" w:cs="Arial"/>
        </w:rPr>
        <w:t xml:space="preserve"> necessita</w:t>
      </w:r>
      <w:r>
        <w:rPr>
          <w:rFonts w:ascii="Arial" w:hAnsi="Arial" w:cs="Arial"/>
        </w:rPr>
        <w:t xml:space="preserve"> apreender e a</w:t>
      </w:r>
      <w:r w:rsidRPr="00561D9D">
        <w:rPr>
          <w:rFonts w:ascii="Arial" w:hAnsi="Arial" w:cs="Arial"/>
        </w:rPr>
        <w:t xml:space="preserve"> ser visto</w:t>
      </w:r>
      <w:r w:rsidR="00917966">
        <w:rPr>
          <w:rFonts w:ascii="Arial" w:hAnsi="Arial" w:cs="Arial"/>
        </w:rPr>
        <w:t>(a)</w:t>
      </w:r>
      <w:r w:rsidRPr="00561D9D">
        <w:rPr>
          <w:rFonts w:ascii="Arial" w:hAnsi="Arial" w:cs="Arial"/>
        </w:rPr>
        <w:t xml:space="preserve"> como um</w:t>
      </w:r>
      <w:r w:rsidR="00917966">
        <w:rPr>
          <w:rFonts w:ascii="Arial" w:hAnsi="Arial" w:cs="Arial"/>
        </w:rPr>
        <w:t>(a)</w:t>
      </w:r>
      <w:r w:rsidRPr="00561D9D">
        <w:rPr>
          <w:rFonts w:ascii="Arial" w:hAnsi="Arial" w:cs="Arial"/>
        </w:rPr>
        <w:t xml:space="preserve"> pesquisador</w:t>
      </w:r>
      <w:r w:rsidR="00917966">
        <w:rPr>
          <w:rFonts w:ascii="Arial" w:hAnsi="Arial" w:cs="Arial"/>
        </w:rPr>
        <w:t>(a)</w:t>
      </w:r>
      <w:r w:rsidRPr="00561D9D">
        <w:rPr>
          <w:rFonts w:ascii="Arial" w:hAnsi="Arial" w:cs="Arial"/>
        </w:rPr>
        <w:t>, um</w:t>
      </w:r>
      <w:r w:rsidR="00917966">
        <w:rPr>
          <w:rFonts w:ascii="Arial" w:hAnsi="Arial" w:cs="Arial"/>
        </w:rPr>
        <w:t>(a)</w:t>
      </w:r>
      <w:r w:rsidRPr="00561D9D">
        <w:rPr>
          <w:rFonts w:ascii="Arial" w:hAnsi="Arial" w:cs="Arial"/>
        </w:rPr>
        <w:t xml:space="preserve"> investigador</w:t>
      </w:r>
      <w:r w:rsidR="00917966">
        <w:rPr>
          <w:rFonts w:ascii="Arial" w:hAnsi="Arial" w:cs="Arial"/>
        </w:rPr>
        <w:t>(a)</w:t>
      </w:r>
      <w:r>
        <w:rPr>
          <w:rFonts w:ascii="Arial" w:hAnsi="Arial" w:cs="Arial"/>
        </w:rPr>
        <w:t xml:space="preserve"> do</w:t>
      </w:r>
      <w:r w:rsidR="00917966">
        <w:rPr>
          <w:rFonts w:ascii="Arial" w:hAnsi="Arial" w:cs="Arial"/>
        </w:rPr>
        <w:t xml:space="preserve"> e para o</w:t>
      </w:r>
      <w:r>
        <w:rPr>
          <w:rFonts w:ascii="Arial" w:hAnsi="Arial" w:cs="Arial"/>
        </w:rPr>
        <w:t xml:space="preserve"> desenvolvimento humano, pois</w:t>
      </w:r>
      <w:r w:rsidRPr="00561D9D">
        <w:rPr>
          <w:rFonts w:ascii="Arial" w:hAnsi="Arial" w:cs="Arial"/>
        </w:rPr>
        <w:t xml:space="preserve"> </w:t>
      </w:r>
      <w:r>
        <w:rPr>
          <w:rFonts w:ascii="Arial" w:hAnsi="Arial" w:cs="Arial"/>
        </w:rPr>
        <w:t xml:space="preserve">em </w:t>
      </w:r>
      <w:r w:rsidRPr="00561D9D">
        <w:rPr>
          <w:rFonts w:ascii="Arial" w:hAnsi="Arial" w:cs="Arial"/>
        </w:rPr>
        <w:t>sua prá</w:t>
      </w:r>
      <w:r>
        <w:rPr>
          <w:rFonts w:ascii="Arial" w:hAnsi="Arial" w:cs="Arial"/>
        </w:rPr>
        <w:t>xis</w:t>
      </w:r>
      <w:r w:rsidRPr="00561D9D">
        <w:rPr>
          <w:rFonts w:ascii="Arial" w:hAnsi="Arial" w:cs="Arial"/>
        </w:rPr>
        <w:t xml:space="preserve"> pedagógica</w:t>
      </w:r>
      <w:r>
        <w:rPr>
          <w:rFonts w:ascii="Arial" w:hAnsi="Arial" w:cs="Arial"/>
        </w:rPr>
        <w:t>,</w:t>
      </w:r>
      <w:r w:rsidRPr="00561D9D">
        <w:rPr>
          <w:rFonts w:ascii="Arial" w:hAnsi="Arial" w:cs="Arial"/>
        </w:rPr>
        <w:t xml:space="preserve"> criar espaço</w:t>
      </w:r>
      <w:r>
        <w:rPr>
          <w:rFonts w:ascii="Arial" w:hAnsi="Arial" w:cs="Arial"/>
        </w:rPr>
        <w:t>s de diálogo e reflexão pode</w:t>
      </w:r>
      <w:r w:rsidR="00917966">
        <w:rPr>
          <w:rFonts w:ascii="Arial" w:hAnsi="Arial" w:cs="Arial"/>
        </w:rPr>
        <w:t xml:space="preserve"> </w:t>
      </w:r>
    </w:p>
    <w:p w14:paraId="1D3C4F29" w14:textId="77777777" w:rsidR="00917966" w:rsidRDefault="00917966" w:rsidP="00917966">
      <w:pPr>
        <w:spacing w:after="120" w:line="360" w:lineRule="auto"/>
        <w:jc w:val="both"/>
        <w:rPr>
          <w:rFonts w:ascii="Arial" w:hAnsi="Arial" w:cs="Arial"/>
        </w:rPr>
      </w:pPr>
    </w:p>
    <w:p w14:paraId="6FE84C7E" w14:textId="64C02217" w:rsidR="00D5745D" w:rsidRDefault="00D5745D" w:rsidP="00917966">
      <w:pPr>
        <w:spacing w:after="120" w:line="360" w:lineRule="auto"/>
        <w:jc w:val="both"/>
        <w:rPr>
          <w:rFonts w:ascii="Arial" w:hAnsi="Arial" w:cs="Arial"/>
        </w:rPr>
      </w:pPr>
      <w:proofErr w:type="gramStart"/>
      <w:r>
        <w:rPr>
          <w:rFonts w:ascii="Arial" w:hAnsi="Arial" w:cs="Arial"/>
        </w:rPr>
        <w:t>possibilitar</w:t>
      </w:r>
      <w:proofErr w:type="gramEnd"/>
      <w:r>
        <w:rPr>
          <w:rFonts w:ascii="Arial" w:hAnsi="Arial" w:cs="Arial"/>
        </w:rPr>
        <w:t xml:space="preserve"> </w:t>
      </w:r>
      <w:r w:rsidR="00917966">
        <w:rPr>
          <w:rFonts w:ascii="Arial" w:hAnsi="Arial" w:cs="Arial"/>
        </w:rPr>
        <w:t>inúmera</w:t>
      </w:r>
      <w:r w:rsidR="00B67BC1">
        <w:rPr>
          <w:rFonts w:ascii="Arial" w:hAnsi="Arial" w:cs="Arial"/>
        </w:rPr>
        <w:t xml:space="preserve">s </w:t>
      </w:r>
      <w:r w:rsidRPr="00561D9D">
        <w:rPr>
          <w:rFonts w:ascii="Arial" w:hAnsi="Arial" w:cs="Arial"/>
        </w:rPr>
        <w:t>for</w:t>
      </w:r>
      <w:r>
        <w:rPr>
          <w:rFonts w:ascii="Arial" w:hAnsi="Arial" w:cs="Arial"/>
        </w:rPr>
        <w:t>mas de atuação em sala de aula</w:t>
      </w:r>
      <w:r>
        <w:rPr>
          <w:rFonts w:ascii="Arial" w:hAnsi="Arial" w:cs="Arial"/>
        </w:rPr>
        <w:t>,</w:t>
      </w:r>
      <w:r>
        <w:rPr>
          <w:rFonts w:ascii="Arial" w:hAnsi="Arial" w:cs="Arial"/>
        </w:rPr>
        <w:t xml:space="preserve"> </w:t>
      </w:r>
      <w:r w:rsidRPr="00561D9D">
        <w:rPr>
          <w:rFonts w:ascii="Arial" w:hAnsi="Arial" w:cs="Arial"/>
        </w:rPr>
        <w:t>busca</w:t>
      </w:r>
      <w:r>
        <w:rPr>
          <w:rFonts w:ascii="Arial" w:hAnsi="Arial" w:cs="Arial"/>
        </w:rPr>
        <w:t xml:space="preserve">ndo autonomia e </w:t>
      </w:r>
      <w:r w:rsidR="00B67BC1">
        <w:rPr>
          <w:rFonts w:ascii="Arial" w:hAnsi="Arial" w:cs="Arial"/>
        </w:rPr>
        <w:t>entendendo o que cada estudante</w:t>
      </w:r>
      <w:r>
        <w:rPr>
          <w:rFonts w:ascii="Arial" w:hAnsi="Arial" w:cs="Arial"/>
        </w:rPr>
        <w:t xml:space="preserve"> necessita para se desenvolver.</w:t>
      </w:r>
      <w:r w:rsidR="00B67BC1">
        <w:rPr>
          <w:rFonts w:ascii="Arial" w:hAnsi="Arial" w:cs="Arial"/>
        </w:rPr>
        <w:t xml:space="preserve"> </w:t>
      </w:r>
      <w:proofErr w:type="gramStart"/>
      <w:r>
        <w:rPr>
          <w:rFonts w:ascii="Arial" w:hAnsi="Arial" w:cs="Arial"/>
        </w:rPr>
        <w:t>(</w:t>
      </w:r>
      <w:proofErr w:type="gramEnd"/>
      <w:r>
        <w:rPr>
          <w:rFonts w:ascii="Arial" w:hAnsi="Arial" w:cs="Arial"/>
        </w:rPr>
        <w:t xml:space="preserve"> Freire, 1996)</w:t>
      </w:r>
    </w:p>
    <w:p w14:paraId="3DCB66E6" w14:textId="5EC68CEA" w:rsidR="00D5745D" w:rsidRPr="00561D9D" w:rsidRDefault="00D5745D" w:rsidP="00D5745D">
      <w:pPr>
        <w:spacing w:after="120" w:line="360" w:lineRule="auto"/>
        <w:ind w:firstLine="708"/>
        <w:jc w:val="both"/>
        <w:rPr>
          <w:rFonts w:ascii="Arial" w:hAnsi="Arial" w:cs="Arial"/>
        </w:rPr>
      </w:pPr>
      <w:r w:rsidRPr="00561D9D">
        <w:rPr>
          <w:rFonts w:ascii="Arial" w:hAnsi="Arial" w:cs="Arial"/>
        </w:rPr>
        <w:lastRenderedPageBreak/>
        <w:t xml:space="preserve"> </w:t>
      </w:r>
      <w:r w:rsidR="00B67BC1">
        <w:rPr>
          <w:rFonts w:ascii="Arial" w:hAnsi="Arial" w:cs="Arial"/>
        </w:rPr>
        <w:t>Na</w:t>
      </w:r>
      <w:r w:rsidRPr="00561D9D">
        <w:rPr>
          <w:rFonts w:ascii="Arial" w:hAnsi="Arial" w:cs="Arial"/>
        </w:rPr>
        <w:t xml:space="preserve"> formação de professores é fundamental garantir a qualidade da educação</w:t>
      </w:r>
      <w:r>
        <w:rPr>
          <w:rFonts w:ascii="Arial" w:hAnsi="Arial" w:cs="Arial"/>
        </w:rPr>
        <w:t xml:space="preserve"> para o</w:t>
      </w:r>
      <w:r w:rsidRPr="00561D9D">
        <w:rPr>
          <w:rFonts w:ascii="Arial" w:hAnsi="Arial" w:cs="Arial"/>
        </w:rPr>
        <w:t xml:space="preserve"> desenvolvimento dos </w:t>
      </w:r>
      <w:r>
        <w:rPr>
          <w:rFonts w:ascii="Arial" w:hAnsi="Arial" w:cs="Arial"/>
        </w:rPr>
        <w:t>estudantes. Nesse sentido, acredit</w:t>
      </w:r>
      <w:r w:rsidR="00B67BC1">
        <w:rPr>
          <w:rFonts w:ascii="Arial" w:hAnsi="Arial" w:cs="Arial"/>
        </w:rPr>
        <w:t>o</w:t>
      </w:r>
      <w:r>
        <w:rPr>
          <w:rFonts w:ascii="Arial" w:hAnsi="Arial" w:cs="Arial"/>
        </w:rPr>
        <w:t xml:space="preserve"> que o conceito de qualidade </w:t>
      </w:r>
      <w:r w:rsidR="00917966">
        <w:rPr>
          <w:rFonts w:ascii="Arial" w:hAnsi="Arial" w:cs="Arial"/>
        </w:rPr>
        <w:t xml:space="preserve">tem que </w:t>
      </w:r>
      <w:r>
        <w:rPr>
          <w:rFonts w:ascii="Arial" w:hAnsi="Arial" w:cs="Arial"/>
        </w:rPr>
        <w:t>est</w:t>
      </w:r>
      <w:r w:rsidR="00917966">
        <w:rPr>
          <w:rFonts w:ascii="Arial" w:hAnsi="Arial" w:cs="Arial"/>
        </w:rPr>
        <w:t>ar</w:t>
      </w:r>
      <w:r>
        <w:rPr>
          <w:rFonts w:ascii="Arial" w:hAnsi="Arial" w:cs="Arial"/>
        </w:rPr>
        <w:t xml:space="preserve"> baseado em uma formação autônoma e consciente da importância</w:t>
      </w:r>
      <w:r w:rsidR="00917966">
        <w:rPr>
          <w:rFonts w:ascii="Arial" w:hAnsi="Arial" w:cs="Arial"/>
        </w:rPr>
        <w:t xml:space="preserve"> da educação e, especificamente,</w:t>
      </w:r>
      <w:r>
        <w:rPr>
          <w:rFonts w:ascii="Arial" w:hAnsi="Arial" w:cs="Arial"/>
        </w:rPr>
        <w:t xml:space="preserve"> das artes</w:t>
      </w:r>
      <w:r w:rsidR="00B67BC1">
        <w:rPr>
          <w:rFonts w:ascii="Arial" w:hAnsi="Arial" w:cs="Arial"/>
        </w:rPr>
        <w:t xml:space="preserve">, </w:t>
      </w:r>
      <w:r>
        <w:rPr>
          <w:rFonts w:ascii="Arial" w:hAnsi="Arial" w:cs="Arial"/>
        </w:rPr>
        <w:t xml:space="preserve">que </w:t>
      </w:r>
      <w:r w:rsidR="00917966" w:rsidRPr="00561D9D">
        <w:rPr>
          <w:rFonts w:ascii="Arial" w:hAnsi="Arial" w:cs="Arial"/>
        </w:rPr>
        <w:t>prop</w:t>
      </w:r>
      <w:r w:rsidR="00917966">
        <w:rPr>
          <w:rFonts w:ascii="Arial" w:hAnsi="Arial" w:cs="Arial"/>
        </w:rPr>
        <w:t>onha</w:t>
      </w:r>
      <w:r w:rsidRPr="00561D9D">
        <w:rPr>
          <w:rFonts w:ascii="Arial" w:hAnsi="Arial" w:cs="Arial"/>
        </w:rPr>
        <w:t xml:space="preserve"> uma abordagem reflexiva </w:t>
      </w:r>
      <w:r>
        <w:rPr>
          <w:rFonts w:ascii="Arial" w:hAnsi="Arial" w:cs="Arial"/>
        </w:rPr>
        <w:t>a caminho da construção da autonomia profissional.</w:t>
      </w:r>
      <w:r w:rsidR="00917966" w:rsidRPr="00917966">
        <w:rPr>
          <w:rFonts w:ascii="Arial" w:hAnsi="Arial" w:cs="Arial"/>
        </w:rPr>
        <w:t xml:space="preserve"> </w:t>
      </w:r>
      <w:proofErr w:type="spellStart"/>
      <w:r w:rsidR="00917966" w:rsidRPr="004342CE">
        <w:rPr>
          <w:rFonts w:ascii="Arial" w:hAnsi="Arial" w:cs="Arial"/>
        </w:rPr>
        <w:t>Ibernón</w:t>
      </w:r>
      <w:proofErr w:type="spellEnd"/>
      <w:r w:rsidR="00917966" w:rsidRPr="004342CE">
        <w:rPr>
          <w:rFonts w:ascii="Arial" w:hAnsi="Arial" w:cs="Arial"/>
        </w:rPr>
        <w:t xml:space="preserve"> (2009)</w:t>
      </w:r>
    </w:p>
    <w:p w14:paraId="3F375966" w14:textId="66893135" w:rsidR="00D5745D" w:rsidRPr="00561D9D" w:rsidRDefault="00D5745D" w:rsidP="00D5745D">
      <w:pPr>
        <w:spacing w:after="120" w:line="360" w:lineRule="auto"/>
        <w:ind w:firstLine="708"/>
        <w:jc w:val="both"/>
        <w:rPr>
          <w:rFonts w:ascii="Arial" w:hAnsi="Arial" w:cs="Arial"/>
        </w:rPr>
      </w:pPr>
      <w:r w:rsidRPr="00561D9D">
        <w:rPr>
          <w:rFonts w:ascii="Arial" w:hAnsi="Arial" w:cs="Arial"/>
        </w:rPr>
        <w:t xml:space="preserve">Segundo </w:t>
      </w:r>
      <w:proofErr w:type="spellStart"/>
      <w:r w:rsidRPr="00561D9D">
        <w:rPr>
          <w:rFonts w:ascii="Arial" w:hAnsi="Arial" w:cs="Arial"/>
        </w:rPr>
        <w:t>Ib</w:t>
      </w:r>
      <w:r>
        <w:rPr>
          <w:rFonts w:ascii="Arial" w:hAnsi="Arial" w:cs="Arial"/>
        </w:rPr>
        <w:t>ernón</w:t>
      </w:r>
      <w:proofErr w:type="spellEnd"/>
      <w:r>
        <w:rPr>
          <w:rFonts w:ascii="Arial" w:hAnsi="Arial" w:cs="Arial"/>
        </w:rPr>
        <w:t xml:space="preserve"> (2009) </w:t>
      </w:r>
      <w:r w:rsidRPr="00561D9D">
        <w:rPr>
          <w:rFonts w:ascii="Arial" w:hAnsi="Arial" w:cs="Arial"/>
        </w:rPr>
        <w:t>a formação de</w:t>
      </w:r>
      <w:r>
        <w:rPr>
          <w:rFonts w:ascii="Arial" w:hAnsi="Arial" w:cs="Arial"/>
        </w:rPr>
        <w:t xml:space="preserve"> bons</w:t>
      </w:r>
      <w:r w:rsidRPr="00561D9D">
        <w:rPr>
          <w:rFonts w:ascii="Arial" w:hAnsi="Arial" w:cs="Arial"/>
        </w:rPr>
        <w:t xml:space="preserve"> professores coloca o docente </w:t>
      </w:r>
      <w:r>
        <w:rPr>
          <w:rFonts w:ascii="Arial" w:hAnsi="Arial" w:cs="Arial"/>
        </w:rPr>
        <w:t>integrado ao</w:t>
      </w:r>
      <w:r w:rsidRPr="00561D9D">
        <w:rPr>
          <w:rFonts w:ascii="Arial" w:hAnsi="Arial" w:cs="Arial"/>
        </w:rPr>
        <w:t xml:space="preserve"> processo educativo, ressaltando </w:t>
      </w:r>
      <w:r>
        <w:rPr>
          <w:rFonts w:ascii="Arial" w:hAnsi="Arial" w:cs="Arial"/>
        </w:rPr>
        <w:t xml:space="preserve">a </w:t>
      </w:r>
      <w:r w:rsidRPr="00561D9D">
        <w:rPr>
          <w:rFonts w:ascii="Arial" w:hAnsi="Arial" w:cs="Arial"/>
        </w:rPr>
        <w:t>sua importância na forma</w:t>
      </w:r>
      <w:r w:rsidR="00917966">
        <w:rPr>
          <w:rFonts w:ascii="Arial" w:hAnsi="Arial" w:cs="Arial"/>
        </w:rPr>
        <w:t>ção</w:t>
      </w:r>
      <w:r w:rsidRPr="00561D9D">
        <w:rPr>
          <w:rFonts w:ascii="Arial" w:hAnsi="Arial" w:cs="Arial"/>
        </w:rPr>
        <w:t xml:space="preserve"> dos </w:t>
      </w:r>
      <w:r>
        <w:rPr>
          <w:rFonts w:ascii="Arial" w:hAnsi="Arial" w:cs="Arial"/>
        </w:rPr>
        <w:t>estudantes pois, o professor de arte autônomo, reflexivo e crítico</w:t>
      </w:r>
      <w:r w:rsidRPr="00561D9D">
        <w:rPr>
          <w:rFonts w:ascii="Arial" w:hAnsi="Arial" w:cs="Arial"/>
        </w:rPr>
        <w:t xml:space="preserve">, </w:t>
      </w:r>
      <w:r>
        <w:rPr>
          <w:rFonts w:ascii="Arial" w:hAnsi="Arial" w:cs="Arial"/>
        </w:rPr>
        <w:t>se torna</w:t>
      </w:r>
      <w:r w:rsidRPr="00561D9D">
        <w:rPr>
          <w:rFonts w:ascii="Arial" w:hAnsi="Arial" w:cs="Arial"/>
        </w:rPr>
        <w:t xml:space="preserve"> </w:t>
      </w:r>
      <w:r>
        <w:rPr>
          <w:rFonts w:ascii="Arial" w:hAnsi="Arial" w:cs="Arial"/>
        </w:rPr>
        <w:t>um agente de transformações</w:t>
      </w:r>
      <w:r w:rsidR="00917966">
        <w:rPr>
          <w:rFonts w:ascii="Arial" w:hAnsi="Arial" w:cs="Arial"/>
        </w:rPr>
        <w:t xml:space="preserve"> sociais</w:t>
      </w:r>
      <w:r w:rsidRPr="00561D9D">
        <w:rPr>
          <w:rFonts w:ascii="Arial" w:hAnsi="Arial" w:cs="Arial"/>
        </w:rPr>
        <w:t xml:space="preserve">, </w:t>
      </w:r>
      <w:r w:rsidR="00917966">
        <w:rPr>
          <w:rFonts w:ascii="Arial" w:hAnsi="Arial" w:cs="Arial"/>
        </w:rPr>
        <w:t>que pode contribuir</w:t>
      </w:r>
      <w:r w:rsidRPr="00561D9D">
        <w:rPr>
          <w:rFonts w:ascii="Arial" w:hAnsi="Arial" w:cs="Arial"/>
        </w:rPr>
        <w:t xml:space="preserve"> para </w:t>
      </w:r>
      <w:r w:rsidR="00A34261">
        <w:rPr>
          <w:rFonts w:ascii="Arial" w:hAnsi="Arial" w:cs="Arial"/>
        </w:rPr>
        <w:t>a formação de uma</w:t>
      </w:r>
      <w:r w:rsidRPr="00561D9D">
        <w:rPr>
          <w:rFonts w:ascii="Arial" w:hAnsi="Arial" w:cs="Arial"/>
        </w:rPr>
        <w:t xml:space="preserve"> sociedade mais justa e igualitária</w:t>
      </w:r>
      <w:r>
        <w:rPr>
          <w:rFonts w:ascii="Arial" w:hAnsi="Arial" w:cs="Arial"/>
        </w:rPr>
        <w:t xml:space="preserve"> em suas diferenças</w:t>
      </w:r>
      <w:r w:rsidRPr="00561D9D">
        <w:rPr>
          <w:rFonts w:ascii="Arial" w:hAnsi="Arial" w:cs="Arial"/>
        </w:rPr>
        <w:t>.</w:t>
      </w:r>
    </w:p>
    <w:p w14:paraId="42527119" w14:textId="5E92F775" w:rsidR="00A34261" w:rsidRPr="00A34261" w:rsidRDefault="00A34261" w:rsidP="00A34261">
      <w:pPr>
        <w:pStyle w:val="Estilo5"/>
        <w:tabs>
          <w:tab w:val="left" w:pos="709"/>
          <w:tab w:val="left" w:pos="1985"/>
        </w:tabs>
        <w:spacing w:line="360" w:lineRule="auto"/>
        <w:ind w:left="0" w:firstLine="709"/>
        <w:rPr>
          <w:rFonts w:ascii="Arial" w:hAnsi="Arial" w:cs="Arial"/>
          <w:color w:val="000000"/>
        </w:rPr>
      </w:pPr>
      <w:r w:rsidRPr="00A34261">
        <w:rPr>
          <w:rFonts w:ascii="Arial" w:hAnsi="Arial" w:cs="Arial"/>
        </w:rPr>
        <w:t>É possível dizer que existe em todo o ser humano a capacidade de aprender, logo, o que lhe falta são os estímulos e as mot</w:t>
      </w:r>
      <w:r w:rsidRPr="00A34261">
        <w:rPr>
          <w:rFonts w:ascii="Arial" w:hAnsi="Arial" w:cs="Arial"/>
        </w:rPr>
        <w:t>ivações para que isso aconteça.</w:t>
      </w:r>
      <w:r w:rsidRPr="00A34261">
        <w:rPr>
          <w:rFonts w:ascii="Arial" w:hAnsi="Arial" w:cs="Arial"/>
          <w:color w:val="000000"/>
        </w:rPr>
        <w:t xml:space="preserve"> </w:t>
      </w:r>
      <w:r w:rsidRPr="00A34261">
        <w:rPr>
          <w:rFonts w:ascii="Arial" w:hAnsi="Arial" w:cs="Arial"/>
        </w:rPr>
        <w:t xml:space="preserve">Por meio </w:t>
      </w:r>
      <w:r w:rsidRPr="00A34261">
        <w:rPr>
          <w:rFonts w:ascii="Arial" w:hAnsi="Arial" w:cs="Arial"/>
        </w:rPr>
        <w:t>do ensino da arte</w:t>
      </w:r>
      <w:r w:rsidRPr="00A34261">
        <w:rPr>
          <w:rFonts w:ascii="Arial" w:hAnsi="Arial" w:cs="Arial"/>
        </w:rPr>
        <w:t xml:space="preserve">, o </w:t>
      </w:r>
      <w:r w:rsidRPr="00A34261">
        <w:rPr>
          <w:rFonts w:ascii="Arial" w:hAnsi="Arial" w:cs="Arial"/>
        </w:rPr>
        <w:t>estudante</w:t>
      </w:r>
      <w:r w:rsidRPr="00A34261">
        <w:rPr>
          <w:rFonts w:ascii="Arial" w:hAnsi="Arial" w:cs="Arial"/>
        </w:rPr>
        <w:t xml:space="preserve"> é capaz de transmitir, sensibilizar, despertar, relaxar, estimular pensamentos, ideias, emoções, reações e sensações, deixando assim, a imaginação fluir para fazer acontecer, e é exatamente por isso, que</w:t>
      </w:r>
      <w:r w:rsidRPr="00A34261">
        <w:rPr>
          <w:rFonts w:ascii="Arial" w:hAnsi="Arial" w:cs="Arial"/>
        </w:rPr>
        <w:t xml:space="preserve"> acredito na valorosa e importante formação do professor(a) de arte, porque, esse profissional </w:t>
      </w:r>
      <w:r>
        <w:rPr>
          <w:rFonts w:ascii="Arial" w:hAnsi="Arial" w:cs="Arial"/>
        </w:rPr>
        <w:t xml:space="preserve">irá </w:t>
      </w:r>
      <w:r w:rsidRPr="00A34261">
        <w:rPr>
          <w:rFonts w:ascii="Arial" w:hAnsi="Arial" w:cs="Arial"/>
        </w:rPr>
        <w:t>desempenha</w:t>
      </w:r>
      <w:r>
        <w:rPr>
          <w:rFonts w:ascii="Arial" w:hAnsi="Arial" w:cs="Arial"/>
        </w:rPr>
        <w:t>r</w:t>
      </w:r>
      <w:r w:rsidRPr="00A34261">
        <w:rPr>
          <w:rFonts w:ascii="Arial" w:hAnsi="Arial" w:cs="Arial"/>
        </w:rPr>
        <w:t xml:space="preserve"> um papel fundamental no e para o desenvolvimento humano, ultrapassando</w:t>
      </w:r>
      <w:r w:rsidRPr="00A34261">
        <w:rPr>
          <w:rFonts w:ascii="Arial" w:hAnsi="Arial" w:cs="Arial"/>
        </w:rPr>
        <w:t xml:space="preserve"> as</w:t>
      </w:r>
      <w:r w:rsidRPr="00A34261">
        <w:rPr>
          <w:rFonts w:ascii="Arial" w:hAnsi="Arial" w:cs="Arial"/>
        </w:rPr>
        <w:t xml:space="preserve"> fronteiras educacionais, culturais, sociais e até econômicas.</w:t>
      </w:r>
    </w:p>
    <w:p w14:paraId="496D81B6" w14:textId="77777777" w:rsidR="00D5745D" w:rsidRPr="00561D9D" w:rsidRDefault="00D5745D" w:rsidP="00D5745D">
      <w:pPr>
        <w:spacing w:after="120" w:line="360" w:lineRule="auto"/>
        <w:jc w:val="both"/>
        <w:rPr>
          <w:rFonts w:ascii="Arial" w:hAnsi="Arial" w:cs="Arial"/>
        </w:rPr>
      </w:pPr>
    </w:p>
    <w:p w14:paraId="0915ECED" w14:textId="77777777" w:rsidR="00D5745D" w:rsidRPr="00A555DF" w:rsidRDefault="00D5745D" w:rsidP="00D5745D">
      <w:pPr>
        <w:spacing w:after="120" w:line="360" w:lineRule="auto"/>
        <w:jc w:val="both"/>
        <w:rPr>
          <w:rFonts w:ascii="Arial" w:hAnsi="Arial" w:cs="Arial"/>
          <w:b/>
        </w:rPr>
      </w:pPr>
      <w:r w:rsidRPr="00A555DF">
        <w:rPr>
          <w:rFonts w:ascii="Arial" w:hAnsi="Arial" w:cs="Arial"/>
          <w:b/>
        </w:rPr>
        <w:t>O</w:t>
      </w:r>
      <w:r>
        <w:rPr>
          <w:rFonts w:ascii="Arial" w:hAnsi="Arial" w:cs="Arial"/>
          <w:b/>
        </w:rPr>
        <w:t xml:space="preserve"> sistema atual da formação dos(as) profissionais da educação: </w:t>
      </w:r>
      <w:r w:rsidRPr="00A555DF">
        <w:rPr>
          <w:rFonts w:ascii="Arial" w:hAnsi="Arial" w:cs="Arial"/>
          <w:b/>
        </w:rPr>
        <w:t>uma análise c</w:t>
      </w:r>
      <w:r>
        <w:rPr>
          <w:rFonts w:ascii="Arial" w:hAnsi="Arial" w:cs="Arial"/>
          <w:b/>
        </w:rPr>
        <w:t xml:space="preserve">rítica baseada em Christian </w:t>
      </w:r>
      <w:proofErr w:type="spellStart"/>
      <w:r>
        <w:rPr>
          <w:rFonts w:ascii="Arial" w:hAnsi="Arial" w:cs="Arial"/>
          <w:b/>
        </w:rPr>
        <w:t>Laval</w:t>
      </w:r>
      <w:proofErr w:type="spellEnd"/>
      <w:r>
        <w:rPr>
          <w:rFonts w:ascii="Arial" w:hAnsi="Arial" w:cs="Arial"/>
          <w:b/>
        </w:rPr>
        <w:t xml:space="preserve"> e </w:t>
      </w:r>
      <w:proofErr w:type="spellStart"/>
      <w:r>
        <w:rPr>
          <w:rFonts w:ascii="Arial" w:hAnsi="Arial" w:cs="Arial"/>
          <w:b/>
        </w:rPr>
        <w:t>Antonio</w:t>
      </w:r>
      <w:proofErr w:type="spellEnd"/>
      <w:r>
        <w:rPr>
          <w:rFonts w:ascii="Arial" w:hAnsi="Arial" w:cs="Arial"/>
          <w:b/>
        </w:rPr>
        <w:t xml:space="preserve"> </w:t>
      </w:r>
      <w:proofErr w:type="spellStart"/>
      <w:r>
        <w:rPr>
          <w:rFonts w:ascii="Arial" w:hAnsi="Arial" w:cs="Arial"/>
          <w:b/>
        </w:rPr>
        <w:t>Nóvoa</w:t>
      </w:r>
      <w:proofErr w:type="spellEnd"/>
    </w:p>
    <w:p w14:paraId="292EF05A" w14:textId="505E76F2" w:rsidR="00D5745D" w:rsidRDefault="00D5745D" w:rsidP="00D5745D">
      <w:pPr>
        <w:spacing w:after="120" w:line="360" w:lineRule="auto"/>
        <w:ind w:firstLine="708"/>
        <w:jc w:val="both"/>
        <w:rPr>
          <w:rFonts w:ascii="Arial" w:hAnsi="Arial" w:cs="Arial"/>
        </w:rPr>
      </w:pPr>
      <w:r w:rsidRPr="00561D9D">
        <w:rPr>
          <w:rFonts w:ascii="Arial" w:hAnsi="Arial" w:cs="Arial"/>
        </w:rPr>
        <w:t>O neoliberalismo,</w:t>
      </w:r>
      <w:r>
        <w:rPr>
          <w:rFonts w:ascii="Arial" w:hAnsi="Arial" w:cs="Arial"/>
        </w:rPr>
        <w:t xml:space="preserve"> uma</w:t>
      </w:r>
      <w:r w:rsidRPr="00561D9D">
        <w:rPr>
          <w:rFonts w:ascii="Arial" w:hAnsi="Arial" w:cs="Arial"/>
        </w:rPr>
        <w:t xml:space="preserve"> ideologia</w:t>
      </w:r>
      <w:r>
        <w:rPr>
          <w:rFonts w:ascii="Arial" w:hAnsi="Arial" w:cs="Arial"/>
        </w:rPr>
        <w:t xml:space="preserve"> social,</w:t>
      </w:r>
      <w:r w:rsidRPr="00561D9D">
        <w:rPr>
          <w:rFonts w:ascii="Arial" w:hAnsi="Arial" w:cs="Arial"/>
        </w:rPr>
        <w:t xml:space="preserve"> econômica e política que defende a liberdade de mercado e a minimização do Estado, tem influenciado significativamente </w:t>
      </w:r>
      <w:r>
        <w:rPr>
          <w:rFonts w:ascii="Arial" w:hAnsi="Arial" w:cs="Arial"/>
        </w:rPr>
        <w:t>n</w:t>
      </w:r>
      <w:r w:rsidRPr="00561D9D">
        <w:rPr>
          <w:rFonts w:ascii="Arial" w:hAnsi="Arial" w:cs="Arial"/>
        </w:rPr>
        <w:t xml:space="preserve">a educação nas últimas décadas. </w:t>
      </w:r>
      <w:r>
        <w:rPr>
          <w:rFonts w:ascii="Arial" w:hAnsi="Arial" w:cs="Arial"/>
        </w:rPr>
        <w:t>O individualismo, o gestor de si mesmo, o homem flexível, o aprender a aprender, as competências e habilidades reduzidas em técnicas de aplicação, o capital humano como desenvolvimento global, etc. são características dessa atual formação educacional human</w:t>
      </w:r>
      <w:r w:rsidR="00CF0C5E">
        <w:rPr>
          <w:rFonts w:ascii="Arial" w:hAnsi="Arial" w:cs="Arial"/>
        </w:rPr>
        <w:t>a</w:t>
      </w:r>
      <w:r>
        <w:rPr>
          <w:rFonts w:ascii="Arial" w:hAnsi="Arial" w:cs="Arial"/>
        </w:rPr>
        <w:t xml:space="preserve">. </w:t>
      </w:r>
    </w:p>
    <w:p w14:paraId="695E88FE" w14:textId="2B061796" w:rsidR="00D5745D" w:rsidRPr="00561D9D" w:rsidRDefault="00CF0C5E" w:rsidP="00CF0C5E">
      <w:pPr>
        <w:spacing w:after="120" w:line="360" w:lineRule="auto"/>
        <w:ind w:firstLine="708"/>
        <w:jc w:val="both"/>
        <w:rPr>
          <w:rFonts w:ascii="Arial" w:hAnsi="Arial" w:cs="Arial"/>
        </w:rPr>
      </w:pPr>
      <w:r>
        <w:rPr>
          <w:rFonts w:ascii="Arial" w:hAnsi="Arial" w:cs="Arial"/>
        </w:rPr>
        <w:lastRenderedPageBreak/>
        <w:t>Concordo com</w:t>
      </w:r>
      <w:r w:rsidR="00D5745D" w:rsidRPr="00561D9D">
        <w:rPr>
          <w:rFonts w:ascii="Arial" w:hAnsi="Arial" w:cs="Arial"/>
        </w:rPr>
        <w:t xml:space="preserve"> Christian </w:t>
      </w:r>
      <w:proofErr w:type="spellStart"/>
      <w:r w:rsidR="00D5745D" w:rsidRPr="004342CE">
        <w:rPr>
          <w:rFonts w:ascii="Arial" w:hAnsi="Arial" w:cs="Arial"/>
        </w:rPr>
        <w:t>Laval</w:t>
      </w:r>
      <w:proofErr w:type="spellEnd"/>
      <w:r w:rsidR="00D5745D" w:rsidRPr="004342CE">
        <w:rPr>
          <w:rFonts w:ascii="Arial" w:hAnsi="Arial" w:cs="Arial"/>
        </w:rPr>
        <w:t xml:space="preserve"> (2004)</w:t>
      </w:r>
      <w:r w:rsidR="00D5745D">
        <w:rPr>
          <w:rFonts w:ascii="Arial" w:hAnsi="Arial" w:cs="Arial"/>
        </w:rPr>
        <w:t xml:space="preserve"> e </w:t>
      </w:r>
      <w:proofErr w:type="spellStart"/>
      <w:r w:rsidR="00D5745D">
        <w:rPr>
          <w:rFonts w:ascii="Arial" w:hAnsi="Arial" w:cs="Arial"/>
        </w:rPr>
        <w:t>Antonio</w:t>
      </w:r>
      <w:proofErr w:type="spellEnd"/>
      <w:r w:rsidR="00D5745D">
        <w:rPr>
          <w:rFonts w:ascii="Arial" w:hAnsi="Arial" w:cs="Arial"/>
        </w:rPr>
        <w:t xml:space="preserve"> </w:t>
      </w:r>
      <w:proofErr w:type="spellStart"/>
      <w:r w:rsidR="00D5745D" w:rsidRPr="004342CE">
        <w:rPr>
          <w:rFonts w:ascii="Arial" w:hAnsi="Arial" w:cs="Arial"/>
        </w:rPr>
        <w:t>Nóvoa</w:t>
      </w:r>
      <w:proofErr w:type="spellEnd"/>
      <w:r w:rsidR="00D5745D" w:rsidRPr="004342CE">
        <w:rPr>
          <w:rFonts w:ascii="Arial" w:hAnsi="Arial" w:cs="Arial"/>
        </w:rPr>
        <w:t xml:space="preserve"> (2009)</w:t>
      </w:r>
      <w:r>
        <w:rPr>
          <w:rFonts w:ascii="Arial" w:hAnsi="Arial" w:cs="Arial"/>
        </w:rPr>
        <w:t xml:space="preserve"> que</w:t>
      </w:r>
      <w:r w:rsidR="00D5745D">
        <w:rPr>
          <w:rFonts w:ascii="Arial" w:hAnsi="Arial" w:cs="Arial"/>
        </w:rPr>
        <w:t xml:space="preserve"> expõem</w:t>
      </w:r>
      <w:r>
        <w:rPr>
          <w:rFonts w:ascii="Arial" w:hAnsi="Arial" w:cs="Arial"/>
        </w:rPr>
        <w:t xml:space="preserve"> várias</w:t>
      </w:r>
      <w:r w:rsidR="00D5745D">
        <w:rPr>
          <w:rFonts w:ascii="Arial" w:hAnsi="Arial" w:cs="Arial"/>
        </w:rPr>
        <w:t xml:space="preserve"> </w:t>
      </w:r>
      <w:r w:rsidR="00D5745D" w:rsidRPr="00561D9D">
        <w:rPr>
          <w:rFonts w:ascii="Arial" w:hAnsi="Arial" w:cs="Arial"/>
        </w:rPr>
        <w:t>críticas</w:t>
      </w:r>
      <w:r>
        <w:rPr>
          <w:rFonts w:ascii="Arial" w:hAnsi="Arial" w:cs="Arial"/>
        </w:rPr>
        <w:t>,</w:t>
      </w:r>
      <w:r w:rsidR="00D5745D">
        <w:rPr>
          <w:rFonts w:ascii="Arial" w:hAnsi="Arial" w:cs="Arial"/>
        </w:rPr>
        <w:t xml:space="preserve"> pe</w:t>
      </w:r>
      <w:r>
        <w:rPr>
          <w:rFonts w:ascii="Arial" w:hAnsi="Arial" w:cs="Arial"/>
        </w:rPr>
        <w:t>rtinentes, sobre essa influência. A</w:t>
      </w:r>
      <w:r w:rsidR="00D5745D">
        <w:rPr>
          <w:rFonts w:ascii="Arial" w:hAnsi="Arial" w:cs="Arial"/>
        </w:rPr>
        <w:t xml:space="preserve"> </w:t>
      </w:r>
      <w:r>
        <w:rPr>
          <w:rFonts w:ascii="Arial" w:hAnsi="Arial" w:cs="Arial"/>
          <w:b/>
        </w:rPr>
        <w:t>m</w:t>
      </w:r>
      <w:r w:rsidR="00D5745D" w:rsidRPr="00EB19A7">
        <w:rPr>
          <w:rFonts w:ascii="Arial" w:hAnsi="Arial" w:cs="Arial"/>
          <w:b/>
        </w:rPr>
        <w:t>ercantilização</w:t>
      </w:r>
      <w:r>
        <w:rPr>
          <w:rFonts w:ascii="Arial" w:hAnsi="Arial" w:cs="Arial"/>
          <w:b/>
        </w:rPr>
        <w:t xml:space="preserve"> </w:t>
      </w:r>
      <w:r w:rsidRPr="00CF0C5E">
        <w:rPr>
          <w:rFonts w:ascii="Arial" w:hAnsi="Arial" w:cs="Arial"/>
        </w:rPr>
        <w:t>é uma delas</w:t>
      </w:r>
      <w:r>
        <w:rPr>
          <w:rFonts w:ascii="Arial" w:hAnsi="Arial" w:cs="Arial"/>
        </w:rPr>
        <w:t xml:space="preserve">, pois </w:t>
      </w:r>
      <w:r w:rsidR="00D5745D">
        <w:rPr>
          <w:rFonts w:ascii="Arial" w:hAnsi="Arial" w:cs="Arial"/>
        </w:rPr>
        <w:t>trata a educação como mercadoria, na qual Instituições educacionais competem por recursos, geralmente públicos</w:t>
      </w:r>
      <w:r>
        <w:rPr>
          <w:rFonts w:ascii="Arial" w:hAnsi="Arial" w:cs="Arial"/>
        </w:rPr>
        <w:t xml:space="preserve"> e com o</w:t>
      </w:r>
      <w:r w:rsidR="00D5745D">
        <w:rPr>
          <w:rFonts w:ascii="Arial" w:hAnsi="Arial" w:cs="Arial"/>
        </w:rPr>
        <w:t xml:space="preserve"> foco nas </w:t>
      </w:r>
      <w:r w:rsidR="00D5745D" w:rsidRPr="00EB19A7">
        <w:rPr>
          <w:rFonts w:ascii="Arial" w:hAnsi="Arial" w:cs="Arial"/>
          <w:b/>
        </w:rPr>
        <w:t>habilidades e competências</w:t>
      </w:r>
      <w:r w:rsidR="00D5745D">
        <w:rPr>
          <w:rFonts w:ascii="Arial" w:hAnsi="Arial" w:cs="Arial"/>
        </w:rPr>
        <w:t xml:space="preserve"> que dá ênfase em técnicas direcionadas em detrimento de uma formação crítica e cidadã (</w:t>
      </w:r>
      <w:proofErr w:type="spellStart"/>
      <w:r w:rsidR="00D5745D">
        <w:rPr>
          <w:rFonts w:ascii="Arial" w:hAnsi="Arial" w:cs="Arial"/>
        </w:rPr>
        <w:t>Laval</w:t>
      </w:r>
      <w:proofErr w:type="spellEnd"/>
      <w:r w:rsidR="00D5745D">
        <w:rPr>
          <w:rFonts w:ascii="Arial" w:hAnsi="Arial" w:cs="Arial"/>
        </w:rPr>
        <w:t>, 2004).</w:t>
      </w:r>
    </w:p>
    <w:p w14:paraId="6ABA5CC0" w14:textId="4435E2DF" w:rsidR="00D5745D" w:rsidRPr="00561D9D" w:rsidRDefault="00D5745D" w:rsidP="00D5745D">
      <w:pPr>
        <w:spacing w:after="120" w:line="360" w:lineRule="auto"/>
        <w:ind w:firstLine="708"/>
        <w:jc w:val="both"/>
        <w:rPr>
          <w:rFonts w:ascii="Arial" w:hAnsi="Arial" w:cs="Arial"/>
        </w:rPr>
      </w:pPr>
      <w:r>
        <w:rPr>
          <w:rFonts w:ascii="Arial" w:hAnsi="Arial" w:cs="Arial"/>
        </w:rPr>
        <w:t xml:space="preserve">A </w:t>
      </w:r>
      <w:r w:rsidRPr="00EB19A7">
        <w:rPr>
          <w:rFonts w:ascii="Arial" w:hAnsi="Arial" w:cs="Arial"/>
          <w:b/>
        </w:rPr>
        <w:t>desregulação</w:t>
      </w:r>
      <w:r w:rsidR="00CF0C5E">
        <w:rPr>
          <w:rFonts w:ascii="Arial" w:hAnsi="Arial" w:cs="Arial"/>
        </w:rPr>
        <w:t xml:space="preserve"> é outra, na qual </w:t>
      </w:r>
      <w:r>
        <w:rPr>
          <w:rFonts w:ascii="Arial" w:hAnsi="Arial" w:cs="Arial"/>
        </w:rPr>
        <w:t>a r</w:t>
      </w:r>
      <w:r w:rsidRPr="00561D9D">
        <w:rPr>
          <w:rFonts w:ascii="Arial" w:hAnsi="Arial" w:cs="Arial"/>
        </w:rPr>
        <w:t>edução da intervenção estatal, permit</w:t>
      </w:r>
      <w:r w:rsidR="00CF0C5E">
        <w:rPr>
          <w:rFonts w:ascii="Arial" w:hAnsi="Arial" w:cs="Arial"/>
        </w:rPr>
        <w:t>e</w:t>
      </w:r>
      <w:r w:rsidRPr="00561D9D">
        <w:rPr>
          <w:rFonts w:ascii="Arial" w:hAnsi="Arial" w:cs="Arial"/>
        </w:rPr>
        <w:t xml:space="preserve"> que o mercado regule a oferta educacional</w:t>
      </w:r>
      <w:r>
        <w:rPr>
          <w:rFonts w:ascii="Arial" w:hAnsi="Arial" w:cs="Arial"/>
        </w:rPr>
        <w:t xml:space="preserve"> e as </w:t>
      </w:r>
      <w:r w:rsidRPr="00EB19A7">
        <w:rPr>
          <w:rFonts w:ascii="Arial" w:hAnsi="Arial" w:cs="Arial"/>
          <w:b/>
        </w:rPr>
        <w:t>avaliações</w:t>
      </w:r>
      <w:r w:rsidR="00CF0C5E">
        <w:rPr>
          <w:rFonts w:ascii="Arial" w:hAnsi="Arial" w:cs="Arial"/>
          <w:b/>
        </w:rPr>
        <w:t xml:space="preserve">, </w:t>
      </w:r>
      <w:r w:rsidR="00CF0C5E" w:rsidRPr="00CF0C5E">
        <w:rPr>
          <w:rFonts w:ascii="Arial" w:hAnsi="Arial" w:cs="Arial"/>
        </w:rPr>
        <w:t>outra característica do neoliberalismo</w:t>
      </w:r>
      <w:r w:rsidR="00CF0C5E">
        <w:rPr>
          <w:rFonts w:ascii="Arial" w:hAnsi="Arial" w:cs="Arial"/>
        </w:rPr>
        <w:t>,</w:t>
      </w:r>
      <w:r w:rsidRPr="00CF0C5E">
        <w:rPr>
          <w:rFonts w:ascii="Arial" w:hAnsi="Arial" w:cs="Arial"/>
        </w:rPr>
        <w:t xml:space="preserve"> </w:t>
      </w:r>
      <w:r>
        <w:rPr>
          <w:rFonts w:ascii="Arial" w:hAnsi="Arial" w:cs="Arial"/>
        </w:rPr>
        <w:t>que são sistemas implantados para medir o desempenho e a responsabilidades das Instituições e dos professores quanto as competências e as habilidades desejadas pelo mercado</w:t>
      </w:r>
      <w:r w:rsidRPr="00561D9D">
        <w:rPr>
          <w:rFonts w:ascii="Arial" w:hAnsi="Arial" w:cs="Arial"/>
        </w:rPr>
        <w:t xml:space="preserve"> (</w:t>
      </w:r>
      <w:proofErr w:type="spellStart"/>
      <w:r w:rsidRPr="00561D9D">
        <w:rPr>
          <w:rFonts w:ascii="Arial" w:hAnsi="Arial" w:cs="Arial"/>
        </w:rPr>
        <w:t>Novoa</w:t>
      </w:r>
      <w:proofErr w:type="spellEnd"/>
      <w:r w:rsidRPr="00561D9D">
        <w:rPr>
          <w:rFonts w:ascii="Arial" w:hAnsi="Arial" w:cs="Arial"/>
        </w:rPr>
        <w:t>, 2009).</w:t>
      </w:r>
    </w:p>
    <w:p w14:paraId="0A8521D9" w14:textId="77777777" w:rsidR="00D5745D" w:rsidRDefault="00D5745D" w:rsidP="00D5745D">
      <w:pPr>
        <w:spacing w:after="120" w:line="360" w:lineRule="auto"/>
        <w:ind w:firstLine="708"/>
        <w:jc w:val="both"/>
        <w:rPr>
          <w:rFonts w:ascii="Arial" w:hAnsi="Arial" w:cs="Arial"/>
        </w:rPr>
      </w:pPr>
      <w:r>
        <w:rPr>
          <w:rFonts w:ascii="Arial" w:hAnsi="Arial" w:cs="Arial"/>
        </w:rPr>
        <w:t>Nesse sentido, estamos vivenciando desde os anos de 1990 os impactos desse sistema</w:t>
      </w:r>
      <w:r w:rsidRPr="00561D9D">
        <w:rPr>
          <w:rFonts w:ascii="Arial" w:hAnsi="Arial" w:cs="Arial"/>
        </w:rPr>
        <w:t xml:space="preserve"> neoliberal</w:t>
      </w:r>
      <w:r>
        <w:rPr>
          <w:rFonts w:ascii="Arial" w:hAnsi="Arial" w:cs="Arial"/>
        </w:rPr>
        <w:t xml:space="preserve"> no mundo global, que é social, econômico, político, mas principalmente, educacional.</w:t>
      </w:r>
    </w:p>
    <w:p w14:paraId="624D6136" w14:textId="30EFC779" w:rsidR="00CF0C5E" w:rsidRPr="00561D9D" w:rsidRDefault="00CF0C5E" w:rsidP="00D5745D">
      <w:pPr>
        <w:spacing w:after="120" w:line="360" w:lineRule="auto"/>
        <w:ind w:firstLine="708"/>
        <w:jc w:val="both"/>
        <w:rPr>
          <w:rFonts w:ascii="Arial" w:hAnsi="Arial" w:cs="Arial"/>
        </w:rPr>
      </w:pPr>
      <w:r>
        <w:rPr>
          <w:rFonts w:ascii="Arial" w:hAnsi="Arial" w:cs="Arial"/>
        </w:rPr>
        <w:t>Esse sistema vem enfraquecendo e tirando, aos poucos, do “mercado educacional” alguns cursos</w:t>
      </w:r>
      <w:r w:rsidR="004E0197">
        <w:rPr>
          <w:rFonts w:ascii="Arial" w:hAnsi="Arial" w:cs="Arial"/>
        </w:rPr>
        <w:t>, dentre eles, das áreas de humanas, e os cursos de Licenciaturas em Arte vem, principalmente na modalidade presencial, sofrendo perdas no que diz respeito ao número de inscrições para os respectivos vestibulares, de matriculados, de ingressantes e, consequentemente, de concluintes.</w:t>
      </w:r>
    </w:p>
    <w:p w14:paraId="30702B1E" w14:textId="7C807734" w:rsidR="00D5745D" w:rsidRPr="00561D9D" w:rsidRDefault="00D5745D" w:rsidP="00D5745D">
      <w:pPr>
        <w:spacing w:after="120" w:line="360" w:lineRule="auto"/>
        <w:ind w:firstLine="708"/>
        <w:jc w:val="both"/>
        <w:rPr>
          <w:rFonts w:ascii="Arial" w:hAnsi="Arial" w:cs="Arial"/>
        </w:rPr>
      </w:pPr>
      <w:r>
        <w:rPr>
          <w:rFonts w:ascii="Arial" w:hAnsi="Arial" w:cs="Arial"/>
        </w:rPr>
        <w:t xml:space="preserve">O quadro abaixo, evidencia de 2018 a 2023, as licenciaturas em arte (Visuais, Música, Dança e Teatro) </w:t>
      </w:r>
      <w:r w:rsidR="004E0197">
        <w:rPr>
          <w:rFonts w:ascii="Arial" w:hAnsi="Arial" w:cs="Arial"/>
        </w:rPr>
        <w:t xml:space="preserve">que </w:t>
      </w:r>
      <w:r>
        <w:rPr>
          <w:rFonts w:ascii="Arial" w:hAnsi="Arial" w:cs="Arial"/>
        </w:rPr>
        <w:t xml:space="preserve">vem se apresentando ao mercado. Esse quadro é uma </w:t>
      </w:r>
      <w:proofErr w:type="gramStart"/>
      <w:r>
        <w:rPr>
          <w:rFonts w:ascii="Arial" w:hAnsi="Arial" w:cs="Arial"/>
        </w:rPr>
        <w:t>síntese  que</w:t>
      </w:r>
      <w:proofErr w:type="gramEnd"/>
      <w:r w:rsidR="004E0197">
        <w:rPr>
          <w:rFonts w:ascii="Arial" w:hAnsi="Arial" w:cs="Arial"/>
        </w:rPr>
        <w:t>, pode</w:t>
      </w:r>
      <w:r>
        <w:rPr>
          <w:rFonts w:ascii="Arial" w:hAnsi="Arial" w:cs="Arial"/>
        </w:rPr>
        <w:t xml:space="preserve"> traz</w:t>
      </w:r>
      <w:r w:rsidR="004E0197">
        <w:rPr>
          <w:rFonts w:ascii="Arial" w:hAnsi="Arial" w:cs="Arial"/>
        </w:rPr>
        <w:t>er</w:t>
      </w:r>
      <w:r>
        <w:rPr>
          <w:rFonts w:ascii="Arial" w:hAnsi="Arial" w:cs="Arial"/>
        </w:rPr>
        <w:t xml:space="preserve"> algumas reflexões. </w:t>
      </w:r>
    </w:p>
    <w:p w14:paraId="5A32FAF5" w14:textId="77777777" w:rsidR="00D5745D" w:rsidRPr="00B4474D" w:rsidRDefault="00D5745D" w:rsidP="00D5745D">
      <w:pPr>
        <w:spacing w:after="0" w:line="240" w:lineRule="auto"/>
        <w:jc w:val="both"/>
        <w:rPr>
          <w:rFonts w:ascii="Arial" w:hAnsi="Arial" w:cs="Arial"/>
        </w:rPr>
      </w:pPr>
      <w:r w:rsidRPr="00B4474D">
        <w:rPr>
          <w:rFonts w:ascii="Arial" w:hAnsi="Arial" w:cs="Arial"/>
          <w:b/>
        </w:rPr>
        <w:t>QUADRO 01</w:t>
      </w:r>
      <w:r w:rsidRPr="00B4474D">
        <w:rPr>
          <w:rFonts w:ascii="Arial" w:hAnsi="Arial" w:cs="Arial"/>
        </w:rPr>
        <w:t xml:space="preserve"> -  </w:t>
      </w:r>
      <w:r>
        <w:rPr>
          <w:rFonts w:ascii="Arial" w:hAnsi="Arial" w:cs="Arial"/>
        </w:rPr>
        <w:t>T</w:t>
      </w:r>
      <w:r w:rsidRPr="00B4474D">
        <w:rPr>
          <w:rFonts w:ascii="Arial" w:hAnsi="Arial" w:cs="Arial"/>
        </w:rPr>
        <w:t>otal dos cursos de licenciatura em arte (visuais, música, dança e teatro) referente a quantidade de cursos, vagas, inscritos, ingressantes, matriculados e concluintes de 2018 a 2023</w:t>
      </w:r>
      <w:r>
        <w:rPr>
          <w:rFonts w:ascii="Arial" w:hAnsi="Arial" w:cs="Arial"/>
        </w:rPr>
        <w:t xml:space="preserve"> de 41 municípios do Estado de São Paulo (foco da pesquisa) na modalidade presencial</w:t>
      </w:r>
      <w:r w:rsidRPr="00B4474D">
        <w:rPr>
          <w:rFonts w:ascii="Arial" w:hAnsi="Arial" w:cs="Arial"/>
        </w:rPr>
        <w:t xml:space="preserve">. </w:t>
      </w:r>
    </w:p>
    <w:p w14:paraId="70D279C5" w14:textId="77777777" w:rsidR="00D5745D" w:rsidRPr="00B4474D" w:rsidRDefault="00D5745D" w:rsidP="00D5745D">
      <w:pPr>
        <w:spacing w:after="0" w:line="240" w:lineRule="auto"/>
        <w:jc w:val="both"/>
        <w:rPr>
          <w:rFonts w:ascii="Arial" w:hAnsi="Arial" w:cs="Arial"/>
        </w:rPr>
      </w:pPr>
    </w:p>
    <w:tbl>
      <w:tblPr>
        <w:tblStyle w:val="Tabelacomgrade15"/>
        <w:tblW w:w="8662" w:type="dxa"/>
        <w:tblInd w:w="-5" w:type="dxa"/>
        <w:tblLayout w:type="fixed"/>
        <w:tblLook w:val="04A0" w:firstRow="1" w:lastRow="0" w:firstColumn="1" w:lastColumn="0" w:noHBand="0" w:noVBand="1"/>
      </w:tblPr>
      <w:tblGrid>
        <w:gridCol w:w="1560"/>
        <w:gridCol w:w="850"/>
        <w:gridCol w:w="284"/>
        <w:gridCol w:w="992"/>
        <w:gridCol w:w="283"/>
        <w:gridCol w:w="993"/>
        <w:gridCol w:w="283"/>
        <w:gridCol w:w="851"/>
        <w:gridCol w:w="283"/>
        <w:gridCol w:w="917"/>
        <w:gridCol w:w="281"/>
        <w:gridCol w:w="797"/>
        <w:gridCol w:w="268"/>
        <w:gridCol w:w="20"/>
      </w:tblGrid>
      <w:tr w:rsidR="00D5745D" w:rsidRPr="00B4474D" w14:paraId="0D302C9C" w14:textId="77777777" w:rsidTr="007F3112">
        <w:trPr>
          <w:trHeight w:val="234"/>
        </w:trPr>
        <w:tc>
          <w:tcPr>
            <w:tcW w:w="1560" w:type="dxa"/>
            <w:vMerge w:val="restart"/>
            <w:shd w:val="clear" w:color="auto" w:fill="auto"/>
          </w:tcPr>
          <w:p w14:paraId="55966291"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TOTAL</w:t>
            </w:r>
          </w:p>
        </w:tc>
        <w:tc>
          <w:tcPr>
            <w:tcW w:w="1134" w:type="dxa"/>
            <w:gridSpan w:val="2"/>
            <w:shd w:val="clear" w:color="auto" w:fill="auto"/>
          </w:tcPr>
          <w:p w14:paraId="05503304"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2018</w:t>
            </w:r>
          </w:p>
        </w:tc>
        <w:tc>
          <w:tcPr>
            <w:tcW w:w="1275" w:type="dxa"/>
            <w:gridSpan w:val="2"/>
            <w:shd w:val="clear" w:color="auto" w:fill="auto"/>
          </w:tcPr>
          <w:p w14:paraId="70C1C7DD"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2019</w:t>
            </w:r>
          </w:p>
        </w:tc>
        <w:tc>
          <w:tcPr>
            <w:tcW w:w="1276" w:type="dxa"/>
            <w:gridSpan w:val="2"/>
            <w:shd w:val="clear" w:color="auto" w:fill="auto"/>
          </w:tcPr>
          <w:p w14:paraId="551D57F4"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2020</w:t>
            </w:r>
          </w:p>
        </w:tc>
        <w:tc>
          <w:tcPr>
            <w:tcW w:w="1134" w:type="dxa"/>
            <w:gridSpan w:val="2"/>
            <w:shd w:val="clear" w:color="auto" w:fill="auto"/>
          </w:tcPr>
          <w:p w14:paraId="61C4106B"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2021</w:t>
            </w:r>
          </w:p>
        </w:tc>
        <w:tc>
          <w:tcPr>
            <w:tcW w:w="1198" w:type="dxa"/>
            <w:gridSpan w:val="2"/>
            <w:shd w:val="clear" w:color="auto" w:fill="auto"/>
          </w:tcPr>
          <w:p w14:paraId="39B6BE79"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2022</w:t>
            </w:r>
          </w:p>
        </w:tc>
        <w:tc>
          <w:tcPr>
            <w:tcW w:w="1085" w:type="dxa"/>
            <w:gridSpan w:val="3"/>
            <w:shd w:val="clear" w:color="auto" w:fill="auto"/>
          </w:tcPr>
          <w:p w14:paraId="32B60D7C"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2023</w:t>
            </w:r>
          </w:p>
        </w:tc>
      </w:tr>
      <w:tr w:rsidR="00D5745D" w:rsidRPr="00B4474D" w14:paraId="0B2817D0" w14:textId="77777777" w:rsidTr="007F3112">
        <w:trPr>
          <w:trHeight w:val="55"/>
        </w:trPr>
        <w:tc>
          <w:tcPr>
            <w:tcW w:w="1560" w:type="dxa"/>
            <w:vMerge/>
            <w:shd w:val="clear" w:color="auto" w:fill="auto"/>
          </w:tcPr>
          <w:p w14:paraId="0C2C18FE" w14:textId="77777777" w:rsidR="00D5745D" w:rsidRPr="00D838DD" w:rsidRDefault="00D5745D" w:rsidP="007F3112">
            <w:pPr>
              <w:spacing w:after="120" w:line="360" w:lineRule="auto"/>
              <w:jc w:val="both"/>
              <w:rPr>
                <w:rFonts w:ascii="Arial" w:hAnsi="Arial" w:cs="Arial"/>
                <w:sz w:val="20"/>
                <w:szCs w:val="20"/>
              </w:rPr>
            </w:pPr>
          </w:p>
        </w:tc>
        <w:tc>
          <w:tcPr>
            <w:tcW w:w="7102" w:type="dxa"/>
            <w:gridSpan w:val="13"/>
            <w:shd w:val="clear" w:color="auto" w:fill="auto"/>
          </w:tcPr>
          <w:p w14:paraId="12C78438" w14:textId="77777777" w:rsidR="00D5745D" w:rsidRPr="00D838DD" w:rsidRDefault="00D5745D" w:rsidP="007F3112">
            <w:pPr>
              <w:spacing w:after="120" w:line="360" w:lineRule="auto"/>
              <w:jc w:val="both"/>
              <w:rPr>
                <w:rFonts w:ascii="Arial" w:hAnsi="Arial" w:cs="Arial"/>
                <w:sz w:val="20"/>
                <w:szCs w:val="20"/>
              </w:rPr>
            </w:pPr>
          </w:p>
        </w:tc>
      </w:tr>
      <w:tr w:rsidR="00D5745D" w:rsidRPr="00B4474D" w14:paraId="07C6F35A" w14:textId="77777777" w:rsidTr="007F3112">
        <w:trPr>
          <w:gridAfter w:val="1"/>
          <w:wAfter w:w="20" w:type="dxa"/>
          <w:trHeight w:val="236"/>
        </w:trPr>
        <w:tc>
          <w:tcPr>
            <w:tcW w:w="1560" w:type="dxa"/>
            <w:shd w:val="clear" w:color="auto" w:fill="auto"/>
          </w:tcPr>
          <w:p w14:paraId="1C263445"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Curso</w:t>
            </w:r>
          </w:p>
        </w:tc>
        <w:tc>
          <w:tcPr>
            <w:tcW w:w="850" w:type="dxa"/>
            <w:shd w:val="clear" w:color="auto" w:fill="auto"/>
          </w:tcPr>
          <w:p w14:paraId="00B00D44"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47</w:t>
            </w:r>
          </w:p>
        </w:tc>
        <w:tc>
          <w:tcPr>
            <w:tcW w:w="284" w:type="dxa"/>
            <w:shd w:val="clear" w:color="auto" w:fill="auto"/>
          </w:tcPr>
          <w:p w14:paraId="7CF9A724" w14:textId="77777777" w:rsidR="00D5745D" w:rsidRPr="00D838DD" w:rsidRDefault="00D5745D" w:rsidP="007F3112">
            <w:pPr>
              <w:spacing w:after="120" w:line="360" w:lineRule="auto"/>
              <w:jc w:val="both"/>
              <w:rPr>
                <w:rFonts w:ascii="Arial" w:hAnsi="Arial" w:cs="Arial"/>
                <w:sz w:val="20"/>
                <w:szCs w:val="20"/>
              </w:rPr>
            </w:pPr>
          </w:p>
        </w:tc>
        <w:tc>
          <w:tcPr>
            <w:tcW w:w="992" w:type="dxa"/>
            <w:shd w:val="clear" w:color="auto" w:fill="auto"/>
          </w:tcPr>
          <w:p w14:paraId="108E0E30"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46</w:t>
            </w:r>
          </w:p>
        </w:tc>
        <w:tc>
          <w:tcPr>
            <w:tcW w:w="283" w:type="dxa"/>
            <w:shd w:val="clear" w:color="auto" w:fill="auto"/>
          </w:tcPr>
          <w:p w14:paraId="34C2FB10" w14:textId="77777777" w:rsidR="00D5745D" w:rsidRPr="00D838DD" w:rsidRDefault="00D5745D" w:rsidP="007F3112">
            <w:pPr>
              <w:spacing w:after="120" w:line="360" w:lineRule="auto"/>
              <w:jc w:val="both"/>
              <w:rPr>
                <w:rFonts w:ascii="Arial" w:hAnsi="Arial" w:cs="Arial"/>
                <w:sz w:val="20"/>
                <w:szCs w:val="20"/>
              </w:rPr>
            </w:pPr>
          </w:p>
        </w:tc>
        <w:tc>
          <w:tcPr>
            <w:tcW w:w="993" w:type="dxa"/>
            <w:shd w:val="clear" w:color="auto" w:fill="auto"/>
          </w:tcPr>
          <w:p w14:paraId="3726746C"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42</w:t>
            </w:r>
          </w:p>
        </w:tc>
        <w:tc>
          <w:tcPr>
            <w:tcW w:w="283" w:type="dxa"/>
            <w:shd w:val="clear" w:color="auto" w:fill="auto"/>
          </w:tcPr>
          <w:p w14:paraId="594D2461" w14:textId="77777777" w:rsidR="00D5745D" w:rsidRPr="00D838DD" w:rsidRDefault="00D5745D" w:rsidP="007F3112">
            <w:pPr>
              <w:spacing w:after="120" w:line="360" w:lineRule="auto"/>
              <w:jc w:val="both"/>
              <w:rPr>
                <w:rFonts w:ascii="Arial" w:hAnsi="Arial" w:cs="Arial"/>
                <w:sz w:val="20"/>
                <w:szCs w:val="20"/>
              </w:rPr>
            </w:pPr>
          </w:p>
        </w:tc>
        <w:tc>
          <w:tcPr>
            <w:tcW w:w="851" w:type="dxa"/>
            <w:shd w:val="clear" w:color="auto" w:fill="auto"/>
          </w:tcPr>
          <w:p w14:paraId="7F799293"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47</w:t>
            </w:r>
          </w:p>
        </w:tc>
        <w:tc>
          <w:tcPr>
            <w:tcW w:w="283" w:type="dxa"/>
            <w:shd w:val="clear" w:color="auto" w:fill="auto"/>
          </w:tcPr>
          <w:p w14:paraId="75F8FC79" w14:textId="77777777" w:rsidR="00D5745D" w:rsidRPr="00D838DD" w:rsidRDefault="00D5745D" w:rsidP="007F3112">
            <w:pPr>
              <w:spacing w:after="120" w:line="360" w:lineRule="auto"/>
              <w:jc w:val="both"/>
              <w:rPr>
                <w:rFonts w:ascii="Arial" w:hAnsi="Arial" w:cs="Arial"/>
                <w:sz w:val="20"/>
                <w:szCs w:val="20"/>
              </w:rPr>
            </w:pPr>
          </w:p>
        </w:tc>
        <w:tc>
          <w:tcPr>
            <w:tcW w:w="917" w:type="dxa"/>
            <w:shd w:val="clear" w:color="auto" w:fill="auto"/>
          </w:tcPr>
          <w:p w14:paraId="6BFA9D86"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40</w:t>
            </w:r>
          </w:p>
        </w:tc>
        <w:tc>
          <w:tcPr>
            <w:tcW w:w="281" w:type="dxa"/>
            <w:shd w:val="clear" w:color="auto" w:fill="auto"/>
          </w:tcPr>
          <w:p w14:paraId="087A095B" w14:textId="77777777" w:rsidR="00D5745D" w:rsidRPr="00D838DD" w:rsidRDefault="00D5745D" w:rsidP="007F3112">
            <w:pPr>
              <w:spacing w:after="120" w:line="360" w:lineRule="auto"/>
              <w:jc w:val="both"/>
              <w:rPr>
                <w:rFonts w:ascii="Arial" w:hAnsi="Arial" w:cs="Arial"/>
                <w:sz w:val="20"/>
                <w:szCs w:val="20"/>
              </w:rPr>
            </w:pPr>
          </w:p>
        </w:tc>
        <w:tc>
          <w:tcPr>
            <w:tcW w:w="797" w:type="dxa"/>
            <w:shd w:val="clear" w:color="auto" w:fill="auto"/>
          </w:tcPr>
          <w:p w14:paraId="4CC59C48"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39</w:t>
            </w:r>
          </w:p>
        </w:tc>
        <w:tc>
          <w:tcPr>
            <w:tcW w:w="268" w:type="dxa"/>
            <w:shd w:val="clear" w:color="auto" w:fill="auto"/>
          </w:tcPr>
          <w:p w14:paraId="54096726" w14:textId="77777777" w:rsidR="00D5745D" w:rsidRPr="00B4474D" w:rsidRDefault="00D5745D" w:rsidP="007F3112">
            <w:pPr>
              <w:spacing w:after="120" w:line="360" w:lineRule="auto"/>
              <w:jc w:val="both"/>
              <w:rPr>
                <w:rFonts w:ascii="Arial" w:hAnsi="Arial" w:cs="Arial"/>
                <w:sz w:val="20"/>
                <w:szCs w:val="20"/>
              </w:rPr>
            </w:pPr>
          </w:p>
        </w:tc>
      </w:tr>
      <w:tr w:rsidR="00D5745D" w:rsidRPr="00B4474D" w14:paraId="132D9E4A" w14:textId="77777777" w:rsidTr="007F3112">
        <w:trPr>
          <w:gridAfter w:val="1"/>
          <w:wAfter w:w="20" w:type="dxa"/>
          <w:trHeight w:val="234"/>
        </w:trPr>
        <w:tc>
          <w:tcPr>
            <w:tcW w:w="1560" w:type="dxa"/>
            <w:shd w:val="clear" w:color="auto" w:fill="auto"/>
          </w:tcPr>
          <w:p w14:paraId="76726F4D"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lastRenderedPageBreak/>
              <w:t>Vaga</w:t>
            </w:r>
          </w:p>
        </w:tc>
        <w:tc>
          <w:tcPr>
            <w:tcW w:w="850" w:type="dxa"/>
            <w:shd w:val="clear" w:color="auto" w:fill="auto"/>
          </w:tcPr>
          <w:p w14:paraId="1F24D23D"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5.478</w:t>
            </w:r>
          </w:p>
        </w:tc>
        <w:tc>
          <w:tcPr>
            <w:tcW w:w="284" w:type="dxa"/>
            <w:shd w:val="clear" w:color="auto" w:fill="auto"/>
          </w:tcPr>
          <w:p w14:paraId="62A22BF9" w14:textId="77777777" w:rsidR="00D5745D" w:rsidRPr="00D838DD" w:rsidRDefault="00D5745D" w:rsidP="007F3112">
            <w:pPr>
              <w:spacing w:after="120" w:line="360" w:lineRule="auto"/>
              <w:jc w:val="both"/>
              <w:rPr>
                <w:rFonts w:ascii="Arial" w:hAnsi="Arial" w:cs="Arial"/>
                <w:sz w:val="20"/>
                <w:szCs w:val="20"/>
              </w:rPr>
            </w:pPr>
          </w:p>
        </w:tc>
        <w:tc>
          <w:tcPr>
            <w:tcW w:w="992" w:type="dxa"/>
            <w:shd w:val="clear" w:color="auto" w:fill="auto"/>
          </w:tcPr>
          <w:p w14:paraId="027DEA0B"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3.512</w:t>
            </w:r>
          </w:p>
        </w:tc>
        <w:tc>
          <w:tcPr>
            <w:tcW w:w="283" w:type="dxa"/>
            <w:shd w:val="clear" w:color="auto" w:fill="auto"/>
          </w:tcPr>
          <w:p w14:paraId="338861C4" w14:textId="77777777" w:rsidR="00D5745D" w:rsidRPr="00D838DD" w:rsidRDefault="00D5745D" w:rsidP="007F3112">
            <w:pPr>
              <w:spacing w:after="120" w:line="360" w:lineRule="auto"/>
              <w:jc w:val="both"/>
              <w:rPr>
                <w:rFonts w:ascii="Arial" w:hAnsi="Arial" w:cs="Arial"/>
                <w:sz w:val="20"/>
                <w:szCs w:val="20"/>
              </w:rPr>
            </w:pPr>
          </w:p>
        </w:tc>
        <w:tc>
          <w:tcPr>
            <w:tcW w:w="993" w:type="dxa"/>
            <w:shd w:val="clear" w:color="auto" w:fill="auto"/>
          </w:tcPr>
          <w:p w14:paraId="121B77C5"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4.586</w:t>
            </w:r>
          </w:p>
        </w:tc>
        <w:tc>
          <w:tcPr>
            <w:tcW w:w="283" w:type="dxa"/>
            <w:shd w:val="clear" w:color="auto" w:fill="auto"/>
          </w:tcPr>
          <w:p w14:paraId="42CE89B2" w14:textId="77777777" w:rsidR="00D5745D" w:rsidRPr="00D838DD" w:rsidRDefault="00D5745D" w:rsidP="007F3112">
            <w:pPr>
              <w:spacing w:after="120" w:line="360" w:lineRule="auto"/>
              <w:jc w:val="both"/>
              <w:rPr>
                <w:rFonts w:ascii="Arial" w:hAnsi="Arial" w:cs="Arial"/>
                <w:sz w:val="20"/>
                <w:szCs w:val="20"/>
              </w:rPr>
            </w:pPr>
          </w:p>
        </w:tc>
        <w:tc>
          <w:tcPr>
            <w:tcW w:w="851" w:type="dxa"/>
            <w:shd w:val="clear" w:color="auto" w:fill="auto"/>
          </w:tcPr>
          <w:p w14:paraId="0885564C"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4.076</w:t>
            </w:r>
          </w:p>
        </w:tc>
        <w:tc>
          <w:tcPr>
            <w:tcW w:w="283" w:type="dxa"/>
            <w:shd w:val="clear" w:color="auto" w:fill="auto"/>
          </w:tcPr>
          <w:p w14:paraId="7E4C52E9" w14:textId="77777777" w:rsidR="00D5745D" w:rsidRPr="00D838DD" w:rsidRDefault="00D5745D" w:rsidP="007F3112">
            <w:pPr>
              <w:spacing w:after="120" w:line="360" w:lineRule="auto"/>
              <w:jc w:val="both"/>
              <w:rPr>
                <w:rFonts w:ascii="Arial" w:hAnsi="Arial" w:cs="Arial"/>
                <w:sz w:val="20"/>
                <w:szCs w:val="20"/>
              </w:rPr>
            </w:pPr>
          </w:p>
        </w:tc>
        <w:tc>
          <w:tcPr>
            <w:tcW w:w="917" w:type="dxa"/>
            <w:shd w:val="clear" w:color="auto" w:fill="auto"/>
          </w:tcPr>
          <w:p w14:paraId="5115A26A"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3.779</w:t>
            </w:r>
          </w:p>
        </w:tc>
        <w:tc>
          <w:tcPr>
            <w:tcW w:w="281" w:type="dxa"/>
            <w:shd w:val="clear" w:color="auto" w:fill="auto"/>
          </w:tcPr>
          <w:p w14:paraId="46049A65" w14:textId="77777777" w:rsidR="00D5745D" w:rsidRPr="00D838DD" w:rsidRDefault="00D5745D" w:rsidP="007F3112">
            <w:pPr>
              <w:spacing w:after="120" w:line="360" w:lineRule="auto"/>
              <w:jc w:val="both"/>
              <w:rPr>
                <w:rFonts w:ascii="Arial" w:hAnsi="Arial" w:cs="Arial"/>
                <w:sz w:val="20"/>
                <w:szCs w:val="20"/>
              </w:rPr>
            </w:pPr>
          </w:p>
        </w:tc>
        <w:tc>
          <w:tcPr>
            <w:tcW w:w="797" w:type="dxa"/>
            <w:shd w:val="clear" w:color="auto" w:fill="auto"/>
          </w:tcPr>
          <w:p w14:paraId="39A3DF05"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2.412</w:t>
            </w:r>
          </w:p>
        </w:tc>
        <w:tc>
          <w:tcPr>
            <w:tcW w:w="268" w:type="dxa"/>
            <w:shd w:val="clear" w:color="auto" w:fill="auto"/>
          </w:tcPr>
          <w:p w14:paraId="5EAFA3D9" w14:textId="77777777" w:rsidR="00D5745D" w:rsidRPr="00B4474D" w:rsidRDefault="00D5745D" w:rsidP="007F3112">
            <w:pPr>
              <w:spacing w:after="120" w:line="360" w:lineRule="auto"/>
              <w:jc w:val="both"/>
              <w:rPr>
                <w:rFonts w:ascii="Arial" w:hAnsi="Arial" w:cs="Arial"/>
                <w:sz w:val="20"/>
                <w:szCs w:val="20"/>
              </w:rPr>
            </w:pPr>
          </w:p>
        </w:tc>
      </w:tr>
      <w:tr w:rsidR="00D5745D" w:rsidRPr="00B4474D" w14:paraId="2C283C6A" w14:textId="77777777" w:rsidTr="007F3112">
        <w:trPr>
          <w:gridAfter w:val="1"/>
          <w:wAfter w:w="20" w:type="dxa"/>
          <w:trHeight w:val="234"/>
        </w:trPr>
        <w:tc>
          <w:tcPr>
            <w:tcW w:w="1560" w:type="dxa"/>
            <w:shd w:val="clear" w:color="auto" w:fill="auto"/>
          </w:tcPr>
          <w:p w14:paraId="581E4A48"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Inscrito</w:t>
            </w:r>
          </w:p>
        </w:tc>
        <w:tc>
          <w:tcPr>
            <w:tcW w:w="850" w:type="dxa"/>
            <w:shd w:val="clear" w:color="auto" w:fill="auto"/>
          </w:tcPr>
          <w:p w14:paraId="1D149E59"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6.079</w:t>
            </w:r>
          </w:p>
        </w:tc>
        <w:tc>
          <w:tcPr>
            <w:tcW w:w="284" w:type="dxa"/>
            <w:shd w:val="clear" w:color="auto" w:fill="auto"/>
          </w:tcPr>
          <w:p w14:paraId="3B0B8F47" w14:textId="77777777" w:rsidR="00D5745D" w:rsidRPr="00D838DD" w:rsidRDefault="00D5745D" w:rsidP="007F3112">
            <w:pPr>
              <w:spacing w:after="120" w:line="360" w:lineRule="auto"/>
              <w:jc w:val="both"/>
              <w:rPr>
                <w:rFonts w:ascii="Arial" w:hAnsi="Arial" w:cs="Arial"/>
                <w:sz w:val="20"/>
                <w:szCs w:val="20"/>
              </w:rPr>
            </w:pPr>
          </w:p>
        </w:tc>
        <w:tc>
          <w:tcPr>
            <w:tcW w:w="992" w:type="dxa"/>
            <w:shd w:val="clear" w:color="auto" w:fill="auto"/>
          </w:tcPr>
          <w:p w14:paraId="4584738E"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5.716</w:t>
            </w:r>
          </w:p>
        </w:tc>
        <w:tc>
          <w:tcPr>
            <w:tcW w:w="283" w:type="dxa"/>
            <w:shd w:val="clear" w:color="auto" w:fill="auto"/>
          </w:tcPr>
          <w:p w14:paraId="0551E37C" w14:textId="77777777" w:rsidR="00D5745D" w:rsidRPr="00D838DD" w:rsidRDefault="00D5745D" w:rsidP="007F3112">
            <w:pPr>
              <w:spacing w:after="120" w:line="360" w:lineRule="auto"/>
              <w:jc w:val="both"/>
              <w:rPr>
                <w:rFonts w:ascii="Arial" w:hAnsi="Arial" w:cs="Arial"/>
                <w:sz w:val="20"/>
                <w:szCs w:val="20"/>
              </w:rPr>
            </w:pPr>
          </w:p>
        </w:tc>
        <w:tc>
          <w:tcPr>
            <w:tcW w:w="993" w:type="dxa"/>
            <w:shd w:val="clear" w:color="auto" w:fill="auto"/>
          </w:tcPr>
          <w:p w14:paraId="3190B7CE"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3.799</w:t>
            </w:r>
          </w:p>
        </w:tc>
        <w:tc>
          <w:tcPr>
            <w:tcW w:w="283" w:type="dxa"/>
            <w:shd w:val="clear" w:color="auto" w:fill="auto"/>
          </w:tcPr>
          <w:p w14:paraId="17E836AD" w14:textId="77777777" w:rsidR="00D5745D" w:rsidRPr="00D838DD" w:rsidRDefault="00D5745D" w:rsidP="007F3112">
            <w:pPr>
              <w:spacing w:after="120" w:line="360" w:lineRule="auto"/>
              <w:jc w:val="both"/>
              <w:rPr>
                <w:rFonts w:ascii="Arial" w:hAnsi="Arial" w:cs="Arial"/>
                <w:sz w:val="20"/>
                <w:szCs w:val="20"/>
              </w:rPr>
            </w:pPr>
          </w:p>
        </w:tc>
        <w:tc>
          <w:tcPr>
            <w:tcW w:w="851" w:type="dxa"/>
            <w:shd w:val="clear" w:color="auto" w:fill="auto"/>
          </w:tcPr>
          <w:p w14:paraId="42864059"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2.480</w:t>
            </w:r>
          </w:p>
        </w:tc>
        <w:tc>
          <w:tcPr>
            <w:tcW w:w="283" w:type="dxa"/>
            <w:shd w:val="clear" w:color="auto" w:fill="auto"/>
          </w:tcPr>
          <w:p w14:paraId="335F6455" w14:textId="77777777" w:rsidR="00D5745D" w:rsidRPr="00D838DD" w:rsidRDefault="00D5745D" w:rsidP="007F3112">
            <w:pPr>
              <w:spacing w:after="120" w:line="360" w:lineRule="auto"/>
              <w:jc w:val="both"/>
              <w:rPr>
                <w:rFonts w:ascii="Arial" w:hAnsi="Arial" w:cs="Arial"/>
                <w:sz w:val="20"/>
                <w:szCs w:val="20"/>
              </w:rPr>
            </w:pPr>
          </w:p>
        </w:tc>
        <w:tc>
          <w:tcPr>
            <w:tcW w:w="917" w:type="dxa"/>
            <w:shd w:val="clear" w:color="auto" w:fill="auto"/>
          </w:tcPr>
          <w:p w14:paraId="6D98EE16"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2.210</w:t>
            </w:r>
          </w:p>
        </w:tc>
        <w:tc>
          <w:tcPr>
            <w:tcW w:w="281" w:type="dxa"/>
            <w:shd w:val="clear" w:color="auto" w:fill="auto"/>
          </w:tcPr>
          <w:p w14:paraId="1EF2C0B3" w14:textId="77777777" w:rsidR="00D5745D" w:rsidRPr="00D838DD" w:rsidRDefault="00D5745D" w:rsidP="007F3112">
            <w:pPr>
              <w:spacing w:after="120" w:line="360" w:lineRule="auto"/>
              <w:jc w:val="both"/>
              <w:rPr>
                <w:rFonts w:ascii="Arial" w:hAnsi="Arial" w:cs="Arial"/>
                <w:sz w:val="20"/>
                <w:szCs w:val="20"/>
              </w:rPr>
            </w:pPr>
          </w:p>
        </w:tc>
        <w:tc>
          <w:tcPr>
            <w:tcW w:w="797" w:type="dxa"/>
            <w:shd w:val="clear" w:color="auto" w:fill="auto"/>
          </w:tcPr>
          <w:p w14:paraId="61D74C7F"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3.042</w:t>
            </w:r>
          </w:p>
        </w:tc>
        <w:tc>
          <w:tcPr>
            <w:tcW w:w="268" w:type="dxa"/>
            <w:shd w:val="clear" w:color="auto" w:fill="auto"/>
          </w:tcPr>
          <w:p w14:paraId="1B9E8A31" w14:textId="77777777" w:rsidR="00D5745D" w:rsidRPr="00B4474D" w:rsidRDefault="00D5745D" w:rsidP="007F3112">
            <w:pPr>
              <w:spacing w:after="120" w:line="360" w:lineRule="auto"/>
              <w:jc w:val="both"/>
              <w:rPr>
                <w:rFonts w:ascii="Arial" w:hAnsi="Arial" w:cs="Arial"/>
                <w:sz w:val="20"/>
                <w:szCs w:val="20"/>
              </w:rPr>
            </w:pPr>
          </w:p>
        </w:tc>
      </w:tr>
      <w:tr w:rsidR="00D5745D" w:rsidRPr="00B4474D" w14:paraId="5207C647" w14:textId="77777777" w:rsidTr="007F3112">
        <w:trPr>
          <w:gridAfter w:val="1"/>
          <w:wAfter w:w="20" w:type="dxa"/>
          <w:trHeight w:val="234"/>
        </w:trPr>
        <w:tc>
          <w:tcPr>
            <w:tcW w:w="1560" w:type="dxa"/>
            <w:shd w:val="clear" w:color="auto" w:fill="auto"/>
          </w:tcPr>
          <w:p w14:paraId="1EA27458"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Ingressante</w:t>
            </w:r>
          </w:p>
        </w:tc>
        <w:tc>
          <w:tcPr>
            <w:tcW w:w="850" w:type="dxa"/>
            <w:shd w:val="clear" w:color="auto" w:fill="auto"/>
          </w:tcPr>
          <w:p w14:paraId="59561288"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1.581</w:t>
            </w:r>
          </w:p>
        </w:tc>
        <w:tc>
          <w:tcPr>
            <w:tcW w:w="284" w:type="dxa"/>
            <w:shd w:val="clear" w:color="auto" w:fill="auto"/>
          </w:tcPr>
          <w:p w14:paraId="5611DEF2" w14:textId="77777777" w:rsidR="00D5745D" w:rsidRPr="00D838DD" w:rsidRDefault="00D5745D" w:rsidP="007F3112">
            <w:pPr>
              <w:spacing w:after="120" w:line="360" w:lineRule="auto"/>
              <w:jc w:val="both"/>
              <w:rPr>
                <w:rFonts w:ascii="Arial" w:hAnsi="Arial" w:cs="Arial"/>
                <w:sz w:val="20"/>
                <w:szCs w:val="20"/>
              </w:rPr>
            </w:pPr>
          </w:p>
        </w:tc>
        <w:tc>
          <w:tcPr>
            <w:tcW w:w="992" w:type="dxa"/>
            <w:shd w:val="clear" w:color="auto" w:fill="auto"/>
          </w:tcPr>
          <w:p w14:paraId="06A2C734"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1.457</w:t>
            </w:r>
          </w:p>
        </w:tc>
        <w:tc>
          <w:tcPr>
            <w:tcW w:w="283" w:type="dxa"/>
            <w:shd w:val="clear" w:color="auto" w:fill="auto"/>
          </w:tcPr>
          <w:p w14:paraId="2DC0CED6" w14:textId="77777777" w:rsidR="00D5745D" w:rsidRPr="00D838DD" w:rsidRDefault="00D5745D" w:rsidP="007F3112">
            <w:pPr>
              <w:spacing w:after="120" w:line="360" w:lineRule="auto"/>
              <w:jc w:val="both"/>
              <w:rPr>
                <w:rFonts w:ascii="Arial" w:hAnsi="Arial" w:cs="Arial"/>
                <w:sz w:val="20"/>
                <w:szCs w:val="20"/>
              </w:rPr>
            </w:pPr>
          </w:p>
        </w:tc>
        <w:tc>
          <w:tcPr>
            <w:tcW w:w="993" w:type="dxa"/>
            <w:shd w:val="clear" w:color="auto" w:fill="auto"/>
          </w:tcPr>
          <w:p w14:paraId="58CBC361"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1.046</w:t>
            </w:r>
          </w:p>
        </w:tc>
        <w:tc>
          <w:tcPr>
            <w:tcW w:w="283" w:type="dxa"/>
            <w:shd w:val="clear" w:color="auto" w:fill="auto"/>
          </w:tcPr>
          <w:p w14:paraId="1C133FB3" w14:textId="77777777" w:rsidR="00D5745D" w:rsidRPr="00D838DD" w:rsidRDefault="00D5745D" w:rsidP="007F3112">
            <w:pPr>
              <w:spacing w:after="120" w:line="360" w:lineRule="auto"/>
              <w:jc w:val="both"/>
              <w:rPr>
                <w:rFonts w:ascii="Arial" w:hAnsi="Arial" w:cs="Arial"/>
                <w:sz w:val="20"/>
                <w:szCs w:val="20"/>
              </w:rPr>
            </w:pPr>
          </w:p>
        </w:tc>
        <w:tc>
          <w:tcPr>
            <w:tcW w:w="851" w:type="dxa"/>
            <w:shd w:val="clear" w:color="auto" w:fill="auto"/>
          </w:tcPr>
          <w:p w14:paraId="297F793D"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781</w:t>
            </w:r>
          </w:p>
        </w:tc>
        <w:tc>
          <w:tcPr>
            <w:tcW w:w="283" w:type="dxa"/>
            <w:shd w:val="clear" w:color="auto" w:fill="auto"/>
          </w:tcPr>
          <w:p w14:paraId="1A5AF061" w14:textId="77777777" w:rsidR="00D5745D" w:rsidRPr="00D838DD" w:rsidRDefault="00D5745D" w:rsidP="007F3112">
            <w:pPr>
              <w:spacing w:after="120" w:line="360" w:lineRule="auto"/>
              <w:jc w:val="both"/>
              <w:rPr>
                <w:rFonts w:ascii="Arial" w:hAnsi="Arial" w:cs="Arial"/>
                <w:sz w:val="20"/>
                <w:szCs w:val="20"/>
              </w:rPr>
            </w:pPr>
          </w:p>
        </w:tc>
        <w:tc>
          <w:tcPr>
            <w:tcW w:w="917" w:type="dxa"/>
            <w:shd w:val="clear" w:color="auto" w:fill="auto"/>
          </w:tcPr>
          <w:p w14:paraId="2DC47D33"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739</w:t>
            </w:r>
          </w:p>
        </w:tc>
        <w:tc>
          <w:tcPr>
            <w:tcW w:w="281" w:type="dxa"/>
            <w:shd w:val="clear" w:color="auto" w:fill="auto"/>
          </w:tcPr>
          <w:p w14:paraId="6603DDB3" w14:textId="77777777" w:rsidR="00D5745D" w:rsidRPr="00D838DD" w:rsidRDefault="00D5745D" w:rsidP="007F3112">
            <w:pPr>
              <w:spacing w:after="120" w:line="360" w:lineRule="auto"/>
              <w:jc w:val="both"/>
              <w:rPr>
                <w:rFonts w:ascii="Arial" w:hAnsi="Arial" w:cs="Arial"/>
                <w:sz w:val="20"/>
                <w:szCs w:val="20"/>
              </w:rPr>
            </w:pPr>
          </w:p>
        </w:tc>
        <w:tc>
          <w:tcPr>
            <w:tcW w:w="797" w:type="dxa"/>
            <w:shd w:val="clear" w:color="auto" w:fill="auto"/>
          </w:tcPr>
          <w:p w14:paraId="3D5D0381"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983</w:t>
            </w:r>
          </w:p>
        </w:tc>
        <w:tc>
          <w:tcPr>
            <w:tcW w:w="268" w:type="dxa"/>
            <w:shd w:val="clear" w:color="auto" w:fill="auto"/>
          </w:tcPr>
          <w:p w14:paraId="345C3FC9" w14:textId="77777777" w:rsidR="00D5745D" w:rsidRPr="00B4474D" w:rsidRDefault="00D5745D" w:rsidP="007F3112">
            <w:pPr>
              <w:spacing w:after="120" w:line="360" w:lineRule="auto"/>
              <w:jc w:val="both"/>
              <w:rPr>
                <w:rFonts w:ascii="Arial" w:hAnsi="Arial" w:cs="Arial"/>
                <w:sz w:val="20"/>
                <w:szCs w:val="20"/>
              </w:rPr>
            </w:pPr>
          </w:p>
        </w:tc>
      </w:tr>
      <w:tr w:rsidR="00D5745D" w:rsidRPr="00B4474D" w14:paraId="2F45D8BE" w14:textId="77777777" w:rsidTr="007F3112">
        <w:trPr>
          <w:gridAfter w:val="1"/>
          <w:wAfter w:w="20" w:type="dxa"/>
          <w:trHeight w:val="191"/>
        </w:trPr>
        <w:tc>
          <w:tcPr>
            <w:tcW w:w="1560" w:type="dxa"/>
            <w:shd w:val="clear" w:color="auto" w:fill="auto"/>
          </w:tcPr>
          <w:p w14:paraId="0F4E7DD8"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Matrícula</w:t>
            </w:r>
          </w:p>
        </w:tc>
        <w:tc>
          <w:tcPr>
            <w:tcW w:w="850" w:type="dxa"/>
            <w:shd w:val="clear" w:color="auto" w:fill="auto"/>
          </w:tcPr>
          <w:p w14:paraId="513E7819"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4.527</w:t>
            </w:r>
          </w:p>
        </w:tc>
        <w:tc>
          <w:tcPr>
            <w:tcW w:w="284" w:type="dxa"/>
            <w:shd w:val="clear" w:color="auto" w:fill="auto"/>
          </w:tcPr>
          <w:p w14:paraId="64922C80" w14:textId="77777777" w:rsidR="00D5745D" w:rsidRPr="00D838DD" w:rsidRDefault="00D5745D" w:rsidP="007F3112">
            <w:pPr>
              <w:spacing w:after="120" w:line="360" w:lineRule="auto"/>
              <w:jc w:val="both"/>
              <w:rPr>
                <w:rFonts w:ascii="Arial" w:hAnsi="Arial" w:cs="Arial"/>
                <w:sz w:val="20"/>
                <w:szCs w:val="20"/>
              </w:rPr>
            </w:pPr>
          </w:p>
        </w:tc>
        <w:tc>
          <w:tcPr>
            <w:tcW w:w="992" w:type="dxa"/>
            <w:shd w:val="clear" w:color="auto" w:fill="auto"/>
          </w:tcPr>
          <w:p w14:paraId="56C20709"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3.739</w:t>
            </w:r>
          </w:p>
        </w:tc>
        <w:tc>
          <w:tcPr>
            <w:tcW w:w="283" w:type="dxa"/>
            <w:shd w:val="clear" w:color="auto" w:fill="auto"/>
          </w:tcPr>
          <w:p w14:paraId="6C94CA9F" w14:textId="77777777" w:rsidR="00D5745D" w:rsidRPr="00D838DD" w:rsidRDefault="00D5745D" w:rsidP="007F3112">
            <w:pPr>
              <w:spacing w:after="120" w:line="360" w:lineRule="auto"/>
              <w:jc w:val="both"/>
              <w:rPr>
                <w:rFonts w:ascii="Arial" w:hAnsi="Arial" w:cs="Arial"/>
                <w:sz w:val="20"/>
                <w:szCs w:val="20"/>
              </w:rPr>
            </w:pPr>
          </w:p>
        </w:tc>
        <w:tc>
          <w:tcPr>
            <w:tcW w:w="993" w:type="dxa"/>
            <w:shd w:val="clear" w:color="auto" w:fill="auto"/>
          </w:tcPr>
          <w:p w14:paraId="232E1440"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2.994</w:t>
            </w:r>
          </w:p>
        </w:tc>
        <w:tc>
          <w:tcPr>
            <w:tcW w:w="283" w:type="dxa"/>
            <w:shd w:val="clear" w:color="auto" w:fill="auto"/>
          </w:tcPr>
          <w:p w14:paraId="39CB90AD" w14:textId="77777777" w:rsidR="00D5745D" w:rsidRPr="00D838DD" w:rsidRDefault="00D5745D" w:rsidP="007F3112">
            <w:pPr>
              <w:spacing w:after="120" w:line="360" w:lineRule="auto"/>
              <w:jc w:val="both"/>
              <w:rPr>
                <w:rFonts w:ascii="Arial" w:hAnsi="Arial" w:cs="Arial"/>
                <w:sz w:val="20"/>
                <w:szCs w:val="20"/>
              </w:rPr>
            </w:pPr>
          </w:p>
        </w:tc>
        <w:tc>
          <w:tcPr>
            <w:tcW w:w="851" w:type="dxa"/>
            <w:shd w:val="clear" w:color="auto" w:fill="auto"/>
          </w:tcPr>
          <w:p w14:paraId="517A03E1"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2.674</w:t>
            </w:r>
          </w:p>
        </w:tc>
        <w:tc>
          <w:tcPr>
            <w:tcW w:w="283" w:type="dxa"/>
            <w:shd w:val="clear" w:color="auto" w:fill="auto"/>
          </w:tcPr>
          <w:p w14:paraId="50F3B012" w14:textId="77777777" w:rsidR="00D5745D" w:rsidRPr="00D838DD" w:rsidRDefault="00D5745D" w:rsidP="007F3112">
            <w:pPr>
              <w:spacing w:after="120" w:line="360" w:lineRule="auto"/>
              <w:jc w:val="both"/>
              <w:rPr>
                <w:rFonts w:ascii="Arial" w:hAnsi="Arial" w:cs="Arial"/>
                <w:sz w:val="20"/>
                <w:szCs w:val="20"/>
              </w:rPr>
            </w:pPr>
          </w:p>
        </w:tc>
        <w:tc>
          <w:tcPr>
            <w:tcW w:w="917" w:type="dxa"/>
            <w:shd w:val="clear" w:color="auto" w:fill="auto"/>
          </w:tcPr>
          <w:p w14:paraId="2FB67A82"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2.301</w:t>
            </w:r>
          </w:p>
        </w:tc>
        <w:tc>
          <w:tcPr>
            <w:tcW w:w="281" w:type="dxa"/>
            <w:shd w:val="clear" w:color="auto" w:fill="auto"/>
          </w:tcPr>
          <w:p w14:paraId="06868A26" w14:textId="77777777" w:rsidR="00D5745D" w:rsidRPr="00D838DD" w:rsidRDefault="00D5745D" w:rsidP="007F3112">
            <w:pPr>
              <w:spacing w:after="120" w:line="360" w:lineRule="auto"/>
              <w:jc w:val="both"/>
              <w:rPr>
                <w:rFonts w:ascii="Arial" w:hAnsi="Arial" w:cs="Arial"/>
                <w:sz w:val="20"/>
                <w:szCs w:val="20"/>
              </w:rPr>
            </w:pPr>
          </w:p>
        </w:tc>
        <w:tc>
          <w:tcPr>
            <w:tcW w:w="797" w:type="dxa"/>
            <w:shd w:val="clear" w:color="auto" w:fill="auto"/>
          </w:tcPr>
          <w:p w14:paraId="726E7AC4"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2.392</w:t>
            </w:r>
          </w:p>
        </w:tc>
        <w:tc>
          <w:tcPr>
            <w:tcW w:w="268" w:type="dxa"/>
            <w:shd w:val="clear" w:color="auto" w:fill="auto"/>
          </w:tcPr>
          <w:p w14:paraId="13689C6E" w14:textId="77777777" w:rsidR="00D5745D" w:rsidRPr="00B4474D" w:rsidRDefault="00D5745D" w:rsidP="007F3112">
            <w:pPr>
              <w:spacing w:after="120" w:line="360" w:lineRule="auto"/>
              <w:jc w:val="both"/>
              <w:rPr>
                <w:rFonts w:ascii="Arial" w:hAnsi="Arial" w:cs="Arial"/>
                <w:sz w:val="20"/>
                <w:szCs w:val="20"/>
              </w:rPr>
            </w:pPr>
          </w:p>
        </w:tc>
      </w:tr>
      <w:tr w:rsidR="00D5745D" w:rsidRPr="00B4474D" w14:paraId="24A0FF86" w14:textId="77777777" w:rsidTr="007F3112">
        <w:trPr>
          <w:gridAfter w:val="1"/>
          <w:wAfter w:w="20" w:type="dxa"/>
          <w:trHeight w:val="156"/>
        </w:trPr>
        <w:tc>
          <w:tcPr>
            <w:tcW w:w="1560" w:type="dxa"/>
            <w:shd w:val="clear" w:color="auto" w:fill="auto"/>
          </w:tcPr>
          <w:p w14:paraId="2598AE04"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Concluinte</w:t>
            </w:r>
          </w:p>
        </w:tc>
        <w:tc>
          <w:tcPr>
            <w:tcW w:w="850" w:type="dxa"/>
            <w:shd w:val="clear" w:color="auto" w:fill="auto"/>
          </w:tcPr>
          <w:p w14:paraId="6D58A3BF"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1.262</w:t>
            </w:r>
          </w:p>
        </w:tc>
        <w:tc>
          <w:tcPr>
            <w:tcW w:w="284" w:type="dxa"/>
            <w:shd w:val="clear" w:color="auto" w:fill="auto"/>
          </w:tcPr>
          <w:p w14:paraId="7C8EBD7C" w14:textId="77777777" w:rsidR="00D5745D" w:rsidRPr="00D838DD" w:rsidRDefault="00D5745D" w:rsidP="007F3112">
            <w:pPr>
              <w:spacing w:after="120" w:line="360" w:lineRule="auto"/>
              <w:jc w:val="both"/>
              <w:rPr>
                <w:rFonts w:ascii="Arial" w:hAnsi="Arial" w:cs="Arial"/>
                <w:sz w:val="20"/>
                <w:szCs w:val="20"/>
              </w:rPr>
            </w:pPr>
          </w:p>
        </w:tc>
        <w:tc>
          <w:tcPr>
            <w:tcW w:w="992" w:type="dxa"/>
            <w:shd w:val="clear" w:color="auto" w:fill="auto"/>
          </w:tcPr>
          <w:p w14:paraId="0B083BDB"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688</w:t>
            </w:r>
          </w:p>
        </w:tc>
        <w:tc>
          <w:tcPr>
            <w:tcW w:w="283" w:type="dxa"/>
            <w:shd w:val="clear" w:color="auto" w:fill="auto"/>
          </w:tcPr>
          <w:p w14:paraId="55ECF322" w14:textId="77777777" w:rsidR="00D5745D" w:rsidRPr="00D838DD" w:rsidRDefault="00D5745D" w:rsidP="007F3112">
            <w:pPr>
              <w:spacing w:after="120" w:line="360" w:lineRule="auto"/>
              <w:jc w:val="both"/>
              <w:rPr>
                <w:rFonts w:ascii="Arial" w:hAnsi="Arial" w:cs="Arial"/>
                <w:sz w:val="20"/>
                <w:szCs w:val="20"/>
              </w:rPr>
            </w:pPr>
          </w:p>
        </w:tc>
        <w:tc>
          <w:tcPr>
            <w:tcW w:w="993" w:type="dxa"/>
            <w:shd w:val="clear" w:color="auto" w:fill="auto"/>
          </w:tcPr>
          <w:p w14:paraId="7E38507D"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762</w:t>
            </w:r>
          </w:p>
        </w:tc>
        <w:tc>
          <w:tcPr>
            <w:tcW w:w="283" w:type="dxa"/>
            <w:shd w:val="clear" w:color="auto" w:fill="auto"/>
          </w:tcPr>
          <w:p w14:paraId="5174D640" w14:textId="77777777" w:rsidR="00D5745D" w:rsidRPr="00D838DD" w:rsidRDefault="00D5745D" w:rsidP="007F3112">
            <w:pPr>
              <w:spacing w:after="120" w:line="360" w:lineRule="auto"/>
              <w:jc w:val="both"/>
              <w:rPr>
                <w:rFonts w:ascii="Arial" w:hAnsi="Arial" w:cs="Arial"/>
                <w:sz w:val="20"/>
                <w:szCs w:val="20"/>
              </w:rPr>
            </w:pPr>
          </w:p>
        </w:tc>
        <w:tc>
          <w:tcPr>
            <w:tcW w:w="851" w:type="dxa"/>
            <w:shd w:val="clear" w:color="auto" w:fill="auto"/>
          </w:tcPr>
          <w:p w14:paraId="0A4C456C"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750</w:t>
            </w:r>
          </w:p>
        </w:tc>
        <w:tc>
          <w:tcPr>
            <w:tcW w:w="283" w:type="dxa"/>
            <w:shd w:val="clear" w:color="auto" w:fill="auto"/>
          </w:tcPr>
          <w:p w14:paraId="2B0FF07D" w14:textId="77777777" w:rsidR="00D5745D" w:rsidRPr="00D838DD" w:rsidRDefault="00D5745D" w:rsidP="007F3112">
            <w:pPr>
              <w:spacing w:after="120" w:line="360" w:lineRule="auto"/>
              <w:jc w:val="both"/>
              <w:rPr>
                <w:rFonts w:ascii="Arial" w:hAnsi="Arial" w:cs="Arial"/>
                <w:sz w:val="20"/>
                <w:szCs w:val="20"/>
              </w:rPr>
            </w:pPr>
          </w:p>
        </w:tc>
        <w:tc>
          <w:tcPr>
            <w:tcW w:w="917" w:type="dxa"/>
            <w:shd w:val="clear" w:color="auto" w:fill="auto"/>
          </w:tcPr>
          <w:p w14:paraId="1D89C45A"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719</w:t>
            </w:r>
          </w:p>
        </w:tc>
        <w:tc>
          <w:tcPr>
            <w:tcW w:w="281" w:type="dxa"/>
            <w:shd w:val="clear" w:color="auto" w:fill="auto"/>
          </w:tcPr>
          <w:p w14:paraId="493E7B79" w14:textId="77777777" w:rsidR="00D5745D" w:rsidRPr="00D838DD" w:rsidRDefault="00D5745D" w:rsidP="007F3112">
            <w:pPr>
              <w:spacing w:after="120" w:line="360" w:lineRule="auto"/>
              <w:jc w:val="both"/>
              <w:rPr>
                <w:rFonts w:ascii="Arial" w:hAnsi="Arial" w:cs="Arial"/>
                <w:sz w:val="20"/>
                <w:szCs w:val="20"/>
              </w:rPr>
            </w:pPr>
          </w:p>
        </w:tc>
        <w:tc>
          <w:tcPr>
            <w:tcW w:w="797" w:type="dxa"/>
            <w:shd w:val="clear" w:color="auto" w:fill="auto"/>
          </w:tcPr>
          <w:p w14:paraId="7D13B56F" w14:textId="77777777" w:rsidR="00D5745D" w:rsidRPr="00D838DD" w:rsidRDefault="00D5745D" w:rsidP="007F3112">
            <w:pPr>
              <w:spacing w:after="120" w:line="360" w:lineRule="auto"/>
              <w:jc w:val="both"/>
              <w:rPr>
                <w:rFonts w:ascii="Arial" w:hAnsi="Arial" w:cs="Arial"/>
                <w:sz w:val="20"/>
                <w:szCs w:val="20"/>
              </w:rPr>
            </w:pPr>
            <w:r w:rsidRPr="00D838DD">
              <w:rPr>
                <w:rFonts w:ascii="Arial" w:hAnsi="Arial" w:cs="Arial"/>
                <w:sz w:val="20"/>
                <w:szCs w:val="20"/>
              </w:rPr>
              <w:t>486</w:t>
            </w:r>
          </w:p>
        </w:tc>
        <w:tc>
          <w:tcPr>
            <w:tcW w:w="268" w:type="dxa"/>
            <w:shd w:val="clear" w:color="auto" w:fill="auto"/>
          </w:tcPr>
          <w:p w14:paraId="7824536A" w14:textId="77777777" w:rsidR="00D5745D" w:rsidRPr="00B4474D" w:rsidRDefault="00D5745D" w:rsidP="007F3112">
            <w:pPr>
              <w:spacing w:after="120" w:line="360" w:lineRule="auto"/>
              <w:jc w:val="both"/>
              <w:rPr>
                <w:rFonts w:ascii="Arial" w:hAnsi="Arial" w:cs="Arial"/>
                <w:sz w:val="20"/>
                <w:szCs w:val="20"/>
              </w:rPr>
            </w:pPr>
          </w:p>
        </w:tc>
      </w:tr>
    </w:tbl>
    <w:p w14:paraId="4F776E74" w14:textId="77777777" w:rsidR="00D5745D" w:rsidRDefault="00D5745D" w:rsidP="00D5745D">
      <w:pPr>
        <w:spacing w:after="0" w:line="240" w:lineRule="auto"/>
        <w:jc w:val="both"/>
        <w:rPr>
          <w:rFonts w:ascii="Arial" w:hAnsi="Arial" w:cs="Arial"/>
          <w:sz w:val="20"/>
          <w:szCs w:val="20"/>
        </w:rPr>
      </w:pPr>
      <w:r w:rsidRPr="00D838DD">
        <w:rPr>
          <w:rFonts w:ascii="Arial" w:hAnsi="Arial" w:cs="Arial"/>
          <w:sz w:val="20"/>
          <w:szCs w:val="20"/>
        </w:rPr>
        <w:t xml:space="preserve">Fonte: quadro criado pela pesquisadora com dados fornecidos pelo INEP/CENSUP (2018-2023). Disponível em:  </w:t>
      </w:r>
      <w:hyperlink r:id="rId7" w:history="1">
        <w:proofErr w:type="gramStart"/>
        <w:r w:rsidRPr="00D838DD">
          <w:rPr>
            <w:rStyle w:val="Hyperlink"/>
            <w:rFonts w:ascii="Arial" w:hAnsi="Arial" w:cs="Arial"/>
            <w:sz w:val="20"/>
            <w:szCs w:val="20"/>
          </w:rPr>
          <w:t>https://www.gov.br/inep/pt-br/acesso-a-informacao/dados-abertos/microdados/censo-da-educacao-superior</w:t>
        </w:r>
      </w:hyperlink>
      <w:r w:rsidRPr="00D838DD">
        <w:rPr>
          <w:rFonts w:ascii="Arial" w:hAnsi="Arial" w:cs="Arial"/>
          <w:sz w:val="20"/>
          <w:szCs w:val="20"/>
        </w:rPr>
        <w:t xml:space="preserve">  Acesso</w:t>
      </w:r>
      <w:proofErr w:type="gramEnd"/>
      <w:r w:rsidRPr="00D838DD">
        <w:rPr>
          <w:rFonts w:ascii="Arial" w:hAnsi="Arial" w:cs="Arial"/>
          <w:sz w:val="20"/>
          <w:szCs w:val="20"/>
        </w:rPr>
        <w:t xml:space="preserve"> de 20/10/2024 a 01/12/2024.</w:t>
      </w:r>
    </w:p>
    <w:p w14:paraId="33D52984" w14:textId="77777777" w:rsidR="00D5745D" w:rsidRPr="00D838DD" w:rsidRDefault="00D5745D" w:rsidP="00D5745D">
      <w:pPr>
        <w:spacing w:after="0" w:line="240" w:lineRule="auto"/>
        <w:ind w:left="-142"/>
        <w:jc w:val="both"/>
        <w:rPr>
          <w:rFonts w:ascii="Arial" w:hAnsi="Arial" w:cs="Arial"/>
          <w:sz w:val="20"/>
          <w:szCs w:val="20"/>
        </w:rPr>
      </w:pPr>
    </w:p>
    <w:p w14:paraId="13A66A79" w14:textId="77777777" w:rsidR="00D5745D" w:rsidRPr="00B4474D" w:rsidRDefault="00D5745D" w:rsidP="00D5745D">
      <w:pPr>
        <w:spacing w:after="0" w:line="240" w:lineRule="auto"/>
        <w:jc w:val="both"/>
        <w:rPr>
          <w:rFonts w:ascii="Arial" w:eastAsia="Calibri" w:hAnsi="Arial" w:cs="Arial"/>
          <w:sz w:val="20"/>
          <w:szCs w:val="20"/>
        </w:rPr>
      </w:pPr>
    </w:p>
    <w:p w14:paraId="7CD880A1" w14:textId="77777777" w:rsidR="00D5745D" w:rsidRDefault="00D5745D" w:rsidP="00D5745D">
      <w:pPr>
        <w:spacing w:after="120" w:line="360" w:lineRule="auto"/>
        <w:ind w:left="-142" w:right="-143" w:firstLine="142"/>
        <w:jc w:val="both"/>
        <w:rPr>
          <w:rFonts w:ascii="Arial" w:hAnsi="Arial" w:cs="Arial"/>
        </w:rPr>
      </w:pPr>
    </w:p>
    <w:p w14:paraId="724F5C4D" w14:textId="77777777" w:rsidR="00D5745D" w:rsidRDefault="00D5745D" w:rsidP="00D5745D">
      <w:pPr>
        <w:spacing w:after="120" w:line="360" w:lineRule="auto"/>
        <w:ind w:left="-142" w:right="-143" w:firstLine="142"/>
        <w:jc w:val="both"/>
        <w:rPr>
          <w:rFonts w:ascii="Arial" w:hAnsi="Arial" w:cs="Arial"/>
        </w:rPr>
      </w:pPr>
      <w:r>
        <w:rPr>
          <w:rFonts w:ascii="Arial" w:hAnsi="Arial" w:cs="Arial"/>
        </w:rPr>
        <w:t>Em uma l</w:t>
      </w:r>
      <w:r w:rsidRPr="007B2A7F">
        <w:rPr>
          <w:rFonts w:ascii="Arial" w:hAnsi="Arial" w:cs="Arial"/>
        </w:rPr>
        <w:t xml:space="preserve">eitura </w:t>
      </w:r>
      <w:r>
        <w:rPr>
          <w:rFonts w:ascii="Arial" w:hAnsi="Arial" w:cs="Arial"/>
        </w:rPr>
        <w:t>flutuante:</w:t>
      </w:r>
    </w:p>
    <w:p w14:paraId="6994E696" w14:textId="77777777" w:rsidR="00D5745D" w:rsidRDefault="00D5745D" w:rsidP="00D5745D">
      <w:pPr>
        <w:spacing w:after="120" w:line="360" w:lineRule="auto"/>
        <w:ind w:left="-142" w:right="-143"/>
        <w:jc w:val="both"/>
        <w:rPr>
          <w:rFonts w:ascii="Arial" w:hAnsi="Arial" w:cs="Arial"/>
        </w:rPr>
      </w:pPr>
      <w:r>
        <w:rPr>
          <w:rFonts w:ascii="Arial" w:hAnsi="Arial" w:cs="Arial"/>
        </w:rPr>
        <w:t xml:space="preserve">- Em 2018 tinha um total de cursos de 47 e em 2023 os cursos foram para 39, redução de 17% em 6 anos. </w:t>
      </w:r>
    </w:p>
    <w:p w14:paraId="105F08FF" w14:textId="77777777" w:rsidR="00D5745D" w:rsidRDefault="00D5745D" w:rsidP="00D5745D">
      <w:pPr>
        <w:spacing w:after="120" w:line="360" w:lineRule="auto"/>
        <w:ind w:left="-142" w:right="-143"/>
        <w:jc w:val="both"/>
        <w:rPr>
          <w:rFonts w:ascii="Arial" w:hAnsi="Arial" w:cs="Arial"/>
        </w:rPr>
      </w:pPr>
      <w:r>
        <w:rPr>
          <w:rFonts w:ascii="Arial" w:hAnsi="Arial" w:cs="Arial"/>
        </w:rPr>
        <w:t xml:space="preserve">- Existe uma queda em 2020, por causa da Pandemia do </w:t>
      </w:r>
      <w:proofErr w:type="spellStart"/>
      <w:r>
        <w:rPr>
          <w:rFonts w:ascii="Arial" w:hAnsi="Arial" w:cs="Arial"/>
        </w:rPr>
        <w:t>Covid</w:t>
      </w:r>
      <w:proofErr w:type="spellEnd"/>
      <w:r>
        <w:rPr>
          <w:rFonts w:ascii="Arial" w:hAnsi="Arial" w:cs="Arial"/>
        </w:rPr>
        <w:t xml:space="preserve"> 19 (2020 e 2021) de 8,7% na qual os cursos se adaptaram a modalidade remota. Porém em 2021 voltou a aumentar atingindo o mesmo patamar de 2018. Curioso é que logo depois desse aumento voltou a cair o número de cursos presenciais em 14,89%, isto é, de 47 para 40 e em 2023 baixo para 39 cursos, isso é, 2,5% a menos.</w:t>
      </w:r>
    </w:p>
    <w:p w14:paraId="28E8E5D2" w14:textId="77777777" w:rsidR="00D5745D" w:rsidRDefault="00D5745D" w:rsidP="00D5745D">
      <w:pPr>
        <w:spacing w:after="120" w:line="360" w:lineRule="auto"/>
        <w:jc w:val="both"/>
        <w:rPr>
          <w:rFonts w:ascii="Arial" w:hAnsi="Arial" w:cs="Arial"/>
        </w:rPr>
      </w:pPr>
      <w:r>
        <w:rPr>
          <w:rFonts w:ascii="Arial" w:hAnsi="Arial" w:cs="Arial"/>
        </w:rPr>
        <w:t>- Quantos as vagas oferecidas pelas IES, em 2018 eram de 5.478 e em 2023 teve um decréscimo de 56% (2.412). Isso pode mostrar, por exemplo, um baixa no investimento das IES pelos cursos presenciais.</w:t>
      </w:r>
    </w:p>
    <w:p w14:paraId="09C57233" w14:textId="77777777" w:rsidR="00D5745D" w:rsidRDefault="00D5745D" w:rsidP="00D5745D">
      <w:pPr>
        <w:spacing w:after="120" w:line="360" w:lineRule="auto"/>
        <w:jc w:val="both"/>
        <w:rPr>
          <w:rFonts w:ascii="Arial" w:hAnsi="Arial" w:cs="Arial"/>
        </w:rPr>
      </w:pPr>
      <w:r>
        <w:rPr>
          <w:rFonts w:ascii="Arial" w:hAnsi="Arial" w:cs="Arial"/>
        </w:rPr>
        <w:t>- Quanto ao número de inscritos (aqueles que vão prestar o vestibular) teve um decréscimo de 50% (2018 a 2023), apontando menos interesse pelos cursos presenciais investigados.</w:t>
      </w:r>
    </w:p>
    <w:p w14:paraId="76BAB7E2" w14:textId="77777777" w:rsidR="00D5745D" w:rsidRDefault="00D5745D" w:rsidP="00D5745D">
      <w:pPr>
        <w:spacing w:after="120" w:line="360" w:lineRule="auto"/>
        <w:jc w:val="both"/>
        <w:rPr>
          <w:rFonts w:ascii="Arial" w:hAnsi="Arial" w:cs="Arial"/>
        </w:rPr>
      </w:pPr>
      <w:r>
        <w:rPr>
          <w:rFonts w:ascii="Arial" w:hAnsi="Arial" w:cs="Arial"/>
        </w:rPr>
        <w:t xml:space="preserve">- Quanto ao número de ingressantes (são todos os estudantes que ingressam no ano investigado) houve um decréscimo de 37,83% podendo indicar que: houve migração para outros cursos; estudantes evadindo, etc. </w:t>
      </w:r>
    </w:p>
    <w:p w14:paraId="742D637E" w14:textId="00AA2CB6" w:rsidR="00D5745D" w:rsidRPr="00561D9D" w:rsidRDefault="00D5745D" w:rsidP="00D5745D">
      <w:pPr>
        <w:spacing w:after="120" w:line="360" w:lineRule="auto"/>
        <w:jc w:val="both"/>
        <w:rPr>
          <w:rFonts w:ascii="Arial" w:hAnsi="Arial" w:cs="Arial"/>
        </w:rPr>
      </w:pPr>
      <w:r>
        <w:rPr>
          <w:rFonts w:ascii="Arial" w:hAnsi="Arial" w:cs="Arial"/>
        </w:rPr>
        <w:t xml:space="preserve">- Quanto ao número de matrículas houve um decréscimo de 47% entre 2018 e 2023, podendo anunciar uma diminuição pelo interesse aos cursos de licenciatura em arte de forma presencial, e ao número de concluintes que teve </w:t>
      </w:r>
      <w:r>
        <w:rPr>
          <w:rFonts w:ascii="Arial" w:hAnsi="Arial" w:cs="Arial"/>
        </w:rPr>
        <w:lastRenderedPageBreak/>
        <w:t xml:space="preserve">um decréscimo de 61%. Mesmo considerando fatores como, migração, trancamento de matrículas, etc.  Fica claro que o número de matriculados em 2018 (4.527), que poderiam formar profissionais professores de arte (4 anos de curso) em 2023 se formaram apenas 486, isto </w:t>
      </w:r>
      <w:r w:rsidR="004E0197">
        <w:rPr>
          <w:rFonts w:ascii="Arial" w:hAnsi="Arial" w:cs="Arial"/>
        </w:rPr>
        <w:t>é, 89</w:t>
      </w:r>
      <w:r w:rsidRPr="005C4D19">
        <w:rPr>
          <w:rFonts w:ascii="Arial" w:hAnsi="Arial" w:cs="Arial"/>
        </w:rPr>
        <w:t>,22%</w:t>
      </w:r>
      <w:r>
        <w:rPr>
          <w:rFonts w:ascii="Arial" w:hAnsi="Arial" w:cs="Arial"/>
        </w:rPr>
        <w:t xml:space="preserve"> não se formaram.</w:t>
      </w:r>
    </w:p>
    <w:p w14:paraId="0C4EC57F" w14:textId="2DDC20BE" w:rsidR="00D5745D" w:rsidRDefault="00D5745D" w:rsidP="00B3270E">
      <w:pPr>
        <w:spacing w:after="120" w:line="360" w:lineRule="auto"/>
        <w:ind w:firstLine="708"/>
        <w:jc w:val="both"/>
        <w:rPr>
          <w:rFonts w:ascii="Arial" w:hAnsi="Arial" w:cs="Arial"/>
        </w:rPr>
      </w:pPr>
      <w:r>
        <w:rPr>
          <w:rFonts w:ascii="Arial" w:hAnsi="Arial" w:cs="Arial"/>
        </w:rPr>
        <w:t>Toda essa problemática evidenciada acima vem ao encontro das críticas que o governo do Estado</w:t>
      </w:r>
      <w:r w:rsidRPr="00561D9D">
        <w:rPr>
          <w:rFonts w:ascii="Arial" w:hAnsi="Arial" w:cs="Arial"/>
        </w:rPr>
        <w:t xml:space="preserve"> de São Paulo</w:t>
      </w:r>
      <w:r>
        <w:rPr>
          <w:rFonts w:ascii="Arial" w:hAnsi="Arial" w:cs="Arial"/>
        </w:rPr>
        <w:t xml:space="preserve"> vem</w:t>
      </w:r>
      <w:r w:rsidRPr="00561D9D">
        <w:rPr>
          <w:rFonts w:ascii="Arial" w:hAnsi="Arial" w:cs="Arial"/>
        </w:rPr>
        <w:t xml:space="preserve"> enfrenta</w:t>
      </w:r>
      <w:r>
        <w:rPr>
          <w:rFonts w:ascii="Arial" w:hAnsi="Arial" w:cs="Arial"/>
        </w:rPr>
        <w:t>ndo</w:t>
      </w:r>
      <w:r w:rsidRPr="00561D9D">
        <w:rPr>
          <w:rFonts w:ascii="Arial" w:hAnsi="Arial" w:cs="Arial"/>
        </w:rPr>
        <w:t>, destacando</w:t>
      </w:r>
      <w:r>
        <w:rPr>
          <w:rFonts w:ascii="Arial" w:hAnsi="Arial" w:cs="Arial"/>
        </w:rPr>
        <w:t xml:space="preserve"> a redução de recursos financeiros comprometendo assim a qualidade do ensino em geral, a falta de professores especializados e a escassez de docentes em arte, as ações de contratação de professores </w:t>
      </w:r>
      <w:r w:rsidRPr="00561D9D">
        <w:rPr>
          <w:rFonts w:ascii="Arial" w:hAnsi="Arial" w:cs="Arial"/>
        </w:rPr>
        <w:t>insuficientes</w:t>
      </w:r>
      <w:r>
        <w:rPr>
          <w:rFonts w:ascii="Arial" w:hAnsi="Arial" w:cs="Arial"/>
        </w:rPr>
        <w:t xml:space="preserve"> pela f</w:t>
      </w:r>
      <w:r w:rsidRPr="00561D9D">
        <w:rPr>
          <w:rFonts w:ascii="Arial" w:hAnsi="Arial" w:cs="Arial"/>
        </w:rPr>
        <w:t>alta de concursos para professores de arte ou</w:t>
      </w:r>
      <w:r>
        <w:rPr>
          <w:rFonts w:ascii="Arial" w:hAnsi="Arial" w:cs="Arial"/>
        </w:rPr>
        <w:t xml:space="preserve"> com</w:t>
      </w:r>
      <w:r w:rsidRPr="00561D9D">
        <w:rPr>
          <w:rFonts w:ascii="Arial" w:hAnsi="Arial" w:cs="Arial"/>
        </w:rPr>
        <w:t xml:space="preserve"> vagas limitadas</w:t>
      </w:r>
      <w:r>
        <w:rPr>
          <w:rFonts w:ascii="Arial" w:hAnsi="Arial" w:cs="Arial"/>
        </w:rPr>
        <w:t xml:space="preserve"> que, muitas vezes, docentes de outras disciplinas acabam ministrando as aulas de arte; o currículo limitado dando enfoque excessivo às disciplinas da área de exatas, a desvalorização da arte colocando essa disciplina em segundo plano como atividade secundária e a falta de espaços e equipamentos adequados. Portanto necessitamos de reformas profundas. </w:t>
      </w:r>
    </w:p>
    <w:p w14:paraId="44FB6231" w14:textId="77777777" w:rsidR="00D5745D" w:rsidRPr="00561D9D" w:rsidRDefault="00D5745D" w:rsidP="00D5745D">
      <w:pPr>
        <w:spacing w:after="120" w:line="360" w:lineRule="auto"/>
        <w:ind w:firstLine="708"/>
        <w:jc w:val="both"/>
        <w:rPr>
          <w:rFonts w:ascii="Arial" w:hAnsi="Arial" w:cs="Arial"/>
        </w:rPr>
      </w:pPr>
    </w:p>
    <w:p w14:paraId="7AF2CF75" w14:textId="77777777" w:rsidR="00D5745D" w:rsidRDefault="00D5745D" w:rsidP="00D5745D">
      <w:pPr>
        <w:spacing w:after="120" w:line="360" w:lineRule="auto"/>
        <w:jc w:val="both"/>
        <w:rPr>
          <w:rFonts w:ascii="Arial" w:hAnsi="Arial" w:cs="Arial"/>
          <w:b/>
        </w:rPr>
      </w:pPr>
      <w:r w:rsidRPr="002214B5">
        <w:rPr>
          <w:rFonts w:ascii="Arial" w:hAnsi="Arial" w:cs="Arial"/>
          <w:b/>
        </w:rPr>
        <w:t>Considerações</w:t>
      </w:r>
    </w:p>
    <w:p w14:paraId="500DBDA7" w14:textId="48A2A5FF" w:rsidR="00D5745D" w:rsidRDefault="00D5745D" w:rsidP="00D5745D">
      <w:pPr>
        <w:spacing w:after="120" w:line="360" w:lineRule="auto"/>
        <w:ind w:firstLine="708"/>
        <w:jc w:val="both"/>
        <w:rPr>
          <w:rFonts w:ascii="Arial" w:hAnsi="Arial" w:cs="Arial"/>
        </w:rPr>
      </w:pPr>
      <w:r w:rsidRPr="00561D9D">
        <w:rPr>
          <w:rFonts w:ascii="Arial" w:hAnsi="Arial" w:cs="Arial"/>
        </w:rPr>
        <w:t xml:space="preserve">A falta de professores de arte </w:t>
      </w:r>
      <w:r>
        <w:rPr>
          <w:rFonts w:ascii="Arial" w:hAnsi="Arial" w:cs="Arial"/>
        </w:rPr>
        <w:t>no Estado de</w:t>
      </w:r>
      <w:r w:rsidRPr="00561D9D">
        <w:rPr>
          <w:rFonts w:ascii="Arial" w:hAnsi="Arial" w:cs="Arial"/>
        </w:rPr>
        <w:t xml:space="preserve"> São Paulo</w:t>
      </w:r>
      <w:r w:rsidR="00B3270E">
        <w:rPr>
          <w:rFonts w:ascii="Arial" w:hAnsi="Arial" w:cs="Arial"/>
        </w:rPr>
        <w:t>,</w:t>
      </w:r>
      <w:r w:rsidRPr="00561D9D">
        <w:rPr>
          <w:rFonts w:ascii="Arial" w:hAnsi="Arial" w:cs="Arial"/>
        </w:rPr>
        <w:t xml:space="preserve"> é um desafio que exige atenção imediata. É fundamental reconhecer a importância da arte na formação educacional e trabalhar para superar essa crise</w:t>
      </w:r>
      <w:r>
        <w:rPr>
          <w:rFonts w:ascii="Arial" w:hAnsi="Arial" w:cs="Arial"/>
        </w:rPr>
        <w:t xml:space="preserve"> na for</w:t>
      </w:r>
      <w:r w:rsidR="00B3270E">
        <w:rPr>
          <w:rFonts w:ascii="Arial" w:hAnsi="Arial" w:cs="Arial"/>
        </w:rPr>
        <w:t>mação do(a) profissional professor(a)</w:t>
      </w:r>
      <w:r>
        <w:rPr>
          <w:rFonts w:ascii="Arial" w:hAnsi="Arial" w:cs="Arial"/>
        </w:rPr>
        <w:t xml:space="preserve"> de arte como:</w:t>
      </w:r>
      <w:r w:rsidRPr="00561D9D">
        <w:rPr>
          <w:rFonts w:ascii="Arial" w:hAnsi="Arial" w:cs="Arial"/>
        </w:rPr>
        <w:t xml:space="preserve"> </w:t>
      </w:r>
    </w:p>
    <w:p w14:paraId="3A319D24" w14:textId="3510868C" w:rsidR="00D5745D" w:rsidRPr="00561D9D" w:rsidRDefault="00D5745D" w:rsidP="00D5745D">
      <w:pPr>
        <w:spacing w:after="120" w:line="360" w:lineRule="auto"/>
        <w:ind w:firstLine="708"/>
        <w:jc w:val="both"/>
        <w:rPr>
          <w:rFonts w:ascii="Arial" w:hAnsi="Arial" w:cs="Arial"/>
        </w:rPr>
      </w:pPr>
      <w:r>
        <w:rPr>
          <w:rFonts w:ascii="Arial" w:hAnsi="Arial" w:cs="Arial"/>
        </w:rPr>
        <w:t xml:space="preserve">- A reformulação curricular incluindo a arte como </w:t>
      </w:r>
      <w:r w:rsidR="00B3270E">
        <w:rPr>
          <w:rFonts w:ascii="Arial" w:hAnsi="Arial" w:cs="Arial"/>
        </w:rPr>
        <w:t>área de conhecimento</w:t>
      </w:r>
      <w:r>
        <w:rPr>
          <w:rFonts w:ascii="Arial" w:hAnsi="Arial" w:cs="Arial"/>
        </w:rPr>
        <w:t xml:space="preserve"> obrigatória dentro de um campo específico para a educação básica.</w:t>
      </w:r>
    </w:p>
    <w:p w14:paraId="1C663004" w14:textId="1BB4DD85" w:rsidR="00D5745D" w:rsidRPr="00561D9D" w:rsidRDefault="00D5745D" w:rsidP="00D5745D">
      <w:pPr>
        <w:spacing w:after="120" w:line="360" w:lineRule="auto"/>
        <w:ind w:firstLine="708"/>
        <w:jc w:val="both"/>
        <w:rPr>
          <w:rFonts w:ascii="Arial" w:hAnsi="Arial" w:cs="Arial"/>
        </w:rPr>
      </w:pPr>
      <w:r>
        <w:rPr>
          <w:rFonts w:ascii="Arial" w:hAnsi="Arial" w:cs="Arial"/>
        </w:rPr>
        <w:t xml:space="preserve">- </w:t>
      </w:r>
      <w:r w:rsidRPr="00561D9D">
        <w:rPr>
          <w:rFonts w:ascii="Arial" w:hAnsi="Arial" w:cs="Arial"/>
        </w:rPr>
        <w:t>Criar plano</w:t>
      </w:r>
      <w:r>
        <w:rPr>
          <w:rFonts w:ascii="Arial" w:hAnsi="Arial" w:cs="Arial"/>
        </w:rPr>
        <w:t>s de ações e</w:t>
      </w:r>
      <w:r w:rsidRPr="00561D9D">
        <w:rPr>
          <w:rFonts w:ascii="Arial" w:hAnsi="Arial" w:cs="Arial"/>
        </w:rPr>
        <w:t xml:space="preserve"> </w:t>
      </w:r>
      <w:r>
        <w:rPr>
          <w:rFonts w:ascii="Arial" w:hAnsi="Arial" w:cs="Arial"/>
        </w:rPr>
        <w:t>trabalhar a formação do</w:t>
      </w:r>
      <w:r w:rsidR="00B3270E">
        <w:rPr>
          <w:rFonts w:ascii="Arial" w:hAnsi="Arial" w:cs="Arial"/>
        </w:rPr>
        <w:t>(a)</w:t>
      </w:r>
      <w:r>
        <w:rPr>
          <w:rFonts w:ascii="Arial" w:hAnsi="Arial" w:cs="Arial"/>
        </w:rPr>
        <w:t xml:space="preserve"> professor</w:t>
      </w:r>
      <w:r w:rsidR="00B3270E">
        <w:rPr>
          <w:rFonts w:ascii="Arial" w:hAnsi="Arial" w:cs="Arial"/>
        </w:rPr>
        <w:t>(a)</w:t>
      </w:r>
      <w:r>
        <w:rPr>
          <w:rFonts w:ascii="Arial" w:hAnsi="Arial" w:cs="Arial"/>
        </w:rPr>
        <w:t xml:space="preserve"> de arte em parceria</w:t>
      </w:r>
      <w:r w:rsidRPr="00561D9D">
        <w:rPr>
          <w:rFonts w:ascii="Arial" w:hAnsi="Arial" w:cs="Arial"/>
        </w:rPr>
        <w:t xml:space="preserve"> </w:t>
      </w:r>
      <w:r>
        <w:rPr>
          <w:rFonts w:ascii="Arial" w:hAnsi="Arial" w:cs="Arial"/>
        </w:rPr>
        <w:t xml:space="preserve">com </w:t>
      </w:r>
      <w:r w:rsidRPr="00561D9D">
        <w:rPr>
          <w:rFonts w:ascii="Arial" w:hAnsi="Arial" w:cs="Arial"/>
        </w:rPr>
        <w:t>instituições</w:t>
      </w:r>
      <w:r>
        <w:rPr>
          <w:rFonts w:ascii="Arial" w:hAnsi="Arial" w:cs="Arial"/>
        </w:rPr>
        <w:t xml:space="preserve"> educacionais e</w:t>
      </w:r>
      <w:r w:rsidRPr="00561D9D">
        <w:rPr>
          <w:rFonts w:ascii="Arial" w:hAnsi="Arial" w:cs="Arial"/>
        </w:rPr>
        <w:t xml:space="preserve"> culturais</w:t>
      </w:r>
      <w:r>
        <w:rPr>
          <w:rFonts w:ascii="Arial" w:hAnsi="Arial" w:cs="Arial"/>
        </w:rPr>
        <w:t>.</w:t>
      </w:r>
    </w:p>
    <w:p w14:paraId="174CDD4D" w14:textId="77777777" w:rsidR="00D5745D" w:rsidRDefault="00D5745D" w:rsidP="00D5745D">
      <w:pPr>
        <w:spacing w:after="120" w:line="360" w:lineRule="auto"/>
        <w:ind w:firstLine="708"/>
        <w:jc w:val="both"/>
        <w:rPr>
          <w:rFonts w:ascii="Arial" w:hAnsi="Arial" w:cs="Arial"/>
        </w:rPr>
      </w:pPr>
      <w:r>
        <w:rPr>
          <w:rFonts w:ascii="Arial" w:hAnsi="Arial" w:cs="Arial"/>
        </w:rPr>
        <w:t>- Ter mais c</w:t>
      </w:r>
      <w:r w:rsidRPr="00561D9D">
        <w:rPr>
          <w:rFonts w:ascii="Arial" w:hAnsi="Arial" w:cs="Arial"/>
        </w:rPr>
        <w:t>oncursos públicos</w:t>
      </w:r>
      <w:r>
        <w:rPr>
          <w:rFonts w:ascii="Arial" w:hAnsi="Arial" w:cs="Arial"/>
        </w:rPr>
        <w:t xml:space="preserve"> com certa</w:t>
      </w:r>
      <w:r w:rsidRPr="00561D9D">
        <w:rPr>
          <w:rFonts w:ascii="Arial" w:hAnsi="Arial" w:cs="Arial"/>
        </w:rPr>
        <w:t xml:space="preserve"> regula</w:t>
      </w:r>
      <w:r>
        <w:rPr>
          <w:rFonts w:ascii="Arial" w:hAnsi="Arial" w:cs="Arial"/>
        </w:rPr>
        <w:t>ridade com a</w:t>
      </w:r>
      <w:r w:rsidRPr="00561D9D">
        <w:rPr>
          <w:rFonts w:ascii="Arial" w:hAnsi="Arial" w:cs="Arial"/>
        </w:rPr>
        <w:t>bertura de vagas</w:t>
      </w:r>
      <w:r>
        <w:rPr>
          <w:rFonts w:ascii="Arial" w:hAnsi="Arial" w:cs="Arial"/>
        </w:rPr>
        <w:t xml:space="preserve"> e</w:t>
      </w:r>
      <w:r w:rsidRPr="00561D9D">
        <w:rPr>
          <w:rFonts w:ascii="Arial" w:hAnsi="Arial" w:cs="Arial"/>
        </w:rPr>
        <w:t xml:space="preserve"> metas para aumentar </w:t>
      </w:r>
      <w:r>
        <w:rPr>
          <w:rFonts w:ascii="Arial" w:hAnsi="Arial" w:cs="Arial"/>
        </w:rPr>
        <w:t>o número de professores de arte especializados.</w:t>
      </w:r>
    </w:p>
    <w:p w14:paraId="7AD29043" w14:textId="77777777" w:rsidR="00D5745D" w:rsidRPr="00561D9D" w:rsidRDefault="00D5745D" w:rsidP="00D5745D">
      <w:pPr>
        <w:spacing w:after="120" w:line="360" w:lineRule="auto"/>
        <w:ind w:firstLine="708"/>
        <w:jc w:val="both"/>
        <w:rPr>
          <w:rFonts w:ascii="Arial" w:hAnsi="Arial" w:cs="Arial"/>
        </w:rPr>
      </w:pPr>
    </w:p>
    <w:p w14:paraId="7AF54A81" w14:textId="77777777" w:rsidR="00D5745D" w:rsidRPr="002D0B46" w:rsidRDefault="00D5745D" w:rsidP="00D5745D">
      <w:pPr>
        <w:spacing w:after="120" w:line="360" w:lineRule="auto"/>
        <w:jc w:val="both"/>
        <w:rPr>
          <w:rFonts w:ascii="Arial" w:hAnsi="Arial" w:cs="Arial"/>
          <w:b/>
        </w:rPr>
      </w:pPr>
      <w:r w:rsidRPr="008D3867">
        <w:rPr>
          <w:rFonts w:ascii="Arial" w:hAnsi="Arial" w:cs="Arial"/>
          <w:b/>
        </w:rPr>
        <w:t>Referências</w:t>
      </w:r>
    </w:p>
    <w:p w14:paraId="1A2C9E5B" w14:textId="43AC47E7" w:rsidR="00D5745D" w:rsidRPr="002C14CE" w:rsidRDefault="00D5745D" w:rsidP="00B3270E">
      <w:pPr>
        <w:pStyle w:val="DisReferencia"/>
        <w:spacing w:before="120" w:after="120" w:line="360" w:lineRule="auto"/>
        <w:rPr>
          <w:szCs w:val="24"/>
        </w:rPr>
      </w:pPr>
      <w:r w:rsidRPr="007321C5">
        <w:rPr>
          <w:szCs w:val="24"/>
        </w:rPr>
        <w:lastRenderedPageBreak/>
        <w:t xml:space="preserve">FREIRE, Paulo. </w:t>
      </w:r>
      <w:r w:rsidRPr="007321C5">
        <w:rPr>
          <w:b/>
          <w:szCs w:val="24"/>
        </w:rPr>
        <w:t>Pedagogia da Autonomia</w:t>
      </w:r>
      <w:r w:rsidRPr="007321C5">
        <w:rPr>
          <w:szCs w:val="24"/>
        </w:rPr>
        <w:t>: saberes necessários à prática educativa. São Paulo: Paz e Terra, 1996.</w:t>
      </w:r>
    </w:p>
    <w:p w14:paraId="3AEA1548" w14:textId="434F3E56" w:rsidR="00D5745D" w:rsidRPr="004342CE" w:rsidRDefault="00D5745D" w:rsidP="00B3270E">
      <w:pPr>
        <w:spacing w:before="120" w:after="120" w:line="360" w:lineRule="auto"/>
        <w:jc w:val="both"/>
        <w:rPr>
          <w:rFonts w:ascii="Arial" w:hAnsi="Arial" w:cs="Arial"/>
          <w:color w:val="000000" w:themeColor="text1"/>
        </w:rPr>
      </w:pPr>
      <w:r w:rsidRPr="007321C5">
        <w:rPr>
          <w:rFonts w:ascii="Arial" w:hAnsi="Arial" w:cs="Arial"/>
          <w:color w:val="000000" w:themeColor="text1"/>
        </w:rPr>
        <w:t xml:space="preserve">IMBERNÓN, Francisco. </w:t>
      </w:r>
      <w:r w:rsidRPr="007321C5">
        <w:rPr>
          <w:rFonts w:ascii="Arial" w:hAnsi="Arial" w:cs="Arial"/>
          <w:b/>
          <w:color w:val="000000" w:themeColor="text1"/>
        </w:rPr>
        <w:t>Formação Permanente do Professorado</w:t>
      </w:r>
      <w:r w:rsidRPr="007321C5">
        <w:rPr>
          <w:rFonts w:ascii="Arial" w:hAnsi="Arial" w:cs="Arial"/>
          <w:color w:val="000000" w:themeColor="text1"/>
        </w:rPr>
        <w:t xml:space="preserve">: novas tendências. Trad. Sandra T. </w:t>
      </w:r>
      <w:proofErr w:type="spellStart"/>
      <w:r w:rsidRPr="007321C5">
        <w:rPr>
          <w:rFonts w:ascii="Arial" w:hAnsi="Arial" w:cs="Arial"/>
          <w:color w:val="000000" w:themeColor="text1"/>
        </w:rPr>
        <w:t>Valenzuela</w:t>
      </w:r>
      <w:proofErr w:type="spellEnd"/>
      <w:r w:rsidRPr="007321C5">
        <w:rPr>
          <w:rFonts w:ascii="Arial" w:hAnsi="Arial" w:cs="Arial"/>
          <w:color w:val="000000" w:themeColor="text1"/>
        </w:rPr>
        <w:t>. São Paulo: Cortez, 2009.</w:t>
      </w:r>
    </w:p>
    <w:p w14:paraId="413F490B" w14:textId="77777777" w:rsidR="00D5745D" w:rsidRPr="00561D9D" w:rsidRDefault="00D5745D" w:rsidP="00B3270E">
      <w:pPr>
        <w:spacing w:after="120" w:line="360" w:lineRule="auto"/>
        <w:jc w:val="both"/>
        <w:rPr>
          <w:rFonts w:ascii="Arial" w:hAnsi="Arial" w:cs="Arial"/>
        </w:rPr>
      </w:pPr>
      <w:r w:rsidRPr="00561D9D">
        <w:rPr>
          <w:rFonts w:ascii="Arial" w:hAnsi="Arial" w:cs="Arial"/>
        </w:rPr>
        <w:t xml:space="preserve">LAVAL, C. </w:t>
      </w:r>
      <w:r w:rsidRPr="004342CE">
        <w:rPr>
          <w:rFonts w:ascii="Arial" w:hAnsi="Arial" w:cs="Arial"/>
          <w:b/>
        </w:rPr>
        <w:t>A nova ordem educacional</w:t>
      </w:r>
      <w:r>
        <w:rPr>
          <w:rFonts w:ascii="Arial" w:hAnsi="Arial" w:cs="Arial"/>
        </w:rPr>
        <w:t>. Petrópolis: Vozes, 2004</w:t>
      </w:r>
      <w:r w:rsidRPr="00561D9D">
        <w:rPr>
          <w:rFonts w:ascii="Arial" w:hAnsi="Arial" w:cs="Arial"/>
        </w:rPr>
        <w:t>.</w:t>
      </w:r>
    </w:p>
    <w:p w14:paraId="33E1F553" w14:textId="77777777" w:rsidR="00D5745D" w:rsidRPr="00561D9D" w:rsidRDefault="00D5745D" w:rsidP="00B3270E">
      <w:pPr>
        <w:spacing w:after="120" w:line="360" w:lineRule="auto"/>
        <w:jc w:val="both"/>
        <w:rPr>
          <w:rFonts w:ascii="Arial" w:hAnsi="Arial" w:cs="Arial"/>
        </w:rPr>
      </w:pPr>
      <w:r>
        <w:rPr>
          <w:rFonts w:ascii="Arial" w:hAnsi="Arial" w:cs="Arial"/>
        </w:rPr>
        <w:t>NÓ</w:t>
      </w:r>
      <w:r w:rsidRPr="00561D9D">
        <w:rPr>
          <w:rFonts w:ascii="Arial" w:hAnsi="Arial" w:cs="Arial"/>
        </w:rPr>
        <w:t xml:space="preserve">VOA, A. </w:t>
      </w:r>
      <w:r w:rsidRPr="004342CE">
        <w:rPr>
          <w:rFonts w:ascii="Arial" w:hAnsi="Arial" w:cs="Arial"/>
          <w:b/>
        </w:rPr>
        <w:t>Para uma crítica da razão neoliberal</w:t>
      </w:r>
      <w:r>
        <w:rPr>
          <w:rFonts w:ascii="Arial" w:hAnsi="Arial" w:cs="Arial"/>
        </w:rPr>
        <w:t>. Lisboa: Educação e Sociedade,</w:t>
      </w:r>
      <w:r w:rsidRPr="004342CE">
        <w:rPr>
          <w:rFonts w:ascii="Arial" w:hAnsi="Arial" w:cs="Arial"/>
        </w:rPr>
        <w:t xml:space="preserve"> </w:t>
      </w:r>
      <w:r>
        <w:rPr>
          <w:rFonts w:ascii="Arial" w:hAnsi="Arial" w:cs="Arial"/>
        </w:rPr>
        <w:t>2009</w:t>
      </w:r>
      <w:r w:rsidRPr="00561D9D">
        <w:rPr>
          <w:rFonts w:ascii="Arial" w:hAnsi="Arial" w:cs="Arial"/>
        </w:rPr>
        <w:t>.</w:t>
      </w:r>
    </w:p>
    <w:p w14:paraId="7E8D522E" w14:textId="77777777" w:rsidR="00D5745D" w:rsidRPr="00561D9D" w:rsidRDefault="00D5745D" w:rsidP="00D5745D">
      <w:pPr>
        <w:spacing w:after="120" w:line="360" w:lineRule="auto"/>
        <w:jc w:val="both"/>
        <w:rPr>
          <w:rFonts w:ascii="Arial" w:hAnsi="Arial" w:cs="Arial"/>
        </w:rPr>
      </w:pPr>
    </w:p>
    <w:p w14:paraId="229A8CDC" w14:textId="77777777" w:rsidR="00FF7CFD" w:rsidRPr="00D5745D" w:rsidRDefault="00FF7CFD" w:rsidP="00D5745D">
      <w:pPr>
        <w:rPr>
          <w:rFonts w:ascii="Arial" w:hAnsi="Arial" w:cs="Arial"/>
        </w:rPr>
      </w:pPr>
    </w:p>
    <w:sectPr w:rsidR="00FF7CFD" w:rsidRPr="00D5745D" w:rsidSect="00442A47">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A083F" w14:textId="77777777" w:rsidR="00A40C74" w:rsidRDefault="00A40C74" w:rsidP="00442A47">
      <w:pPr>
        <w:spacing w:after="0" w:line="240" w:lineRule="auto"/>
      </w:pPr>
      <w:r>
        <w:separator/>
      </w:r>
    </w:p>
  </w:endnote>
  <w:endnote w:type="continuationSeparator" w:id="0">
    <w:p w14:paraId="7AACAEB2" w14:textId="77777777" w:rsidR="00A40C74" w:rsidRDefault="00A40C74"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FC4F" w14:textId="77777777" w:rsidR="00903A33" w:rsidRDefault="00903A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9EE78" w14:textId="628EB210" w:rsidR="00A340AC" w:rsidRDefault="00A340AC" w:rsidP="00595A5D">
    <w:pPr>
      <w:pStyle w:val="Rodap"/>
      <w:ind w:left="-1560"/>
      <w:jc w:val="center"/>
    </w:pPr>
    <w:r w:rsidRPr="00A340AC">
      <w:rPr>
        <w:noProof/>
        <w:lang w:eastAsia="pt-BR"/>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1FCCD" w14:textId="77777777" w:rsidR="00903A33" w:rsidRDefault="00903A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CC1A5" w14:textId="77777777" w:rsidR="00A40C74" w:rsidRDefault="00A40C74" w:rsidP="00442A47">
      <w:pPr>
        <w:spacing w:after="0" w:line="240" w:lineRule="auto"/>
      </w:pPr>
      <w:r>
        <w:separator/>
      </w:r>
    </w:p>
  </w:footnote>
  <w:footnote w:type="continuationSeparator" w:id="0">
    <w:p w14:paraId="1F38244B" w14:textId="77777777" w:rsidR="00A40C74" w:rsidRDefault="00A40C74" w:rsidP="00442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3E58B" w14:textId="77777777" w:rsidR="00903A33" w:rsidRDefault="00903A3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47"/>
    <w:rsid w:val="00073CE9"/>
    <w:rsid w:val="000D34B8"/>
    <w:rsid w:val="00114785"/>
    <w:rsid w:val="001F4920"/>
    <w:rsid w:val="00254C4D"/>
    <w:rsid w:val="003B7209"/>
    <w:rsid w:val="00442A47"/>
    <w:rsid w:val="004E0197"/>
    <w:rsid w:val="004E4F0D"/>
    <w:rsid w:val="00595A5D"/>
    <w:rsid w:val="00707DBF"/>
    <w:rsid w:val="007D7CA8"/>
    <w:rsid w:val="007F5C85"/>
    <w:rsid w:val="00886864"/>
    <w:rsid w:val="008B3108"/>
    <w:rsid w:val="00903A33"/>
    <w:rsid w:val="00905EB5"/>
    <w:rsid w:val="00917966"/>
    <w:rsid w:val="00A340AC"/>
    <w:rsid w:val="00A34261"/>
    <w:rsid w:val="00A346C5"/>
    <w:rsid w:val="00A40C74"/>
    <w:rsid w:val="00AC463E"/>
    <w:rsid w:val="00B3270E"/>
    <w:rsid w:val="00B67BC1"/>
    <w:rsid w:val="00C21B9E"/>
    <w:rsid w:val="00C57497"/>
    <w:rsid w:val="00CD54ED"/>
    <w:rsid w:val="00CF0C5E"/>
    <w:rsid w:val="00D24E43"/>
    <w:rsid w:val="00D5745D"/>
    <w:rsid w:val="00DB083C"/>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D5745D"/>
    <w:rPr>
      <w:color w:val="467886" w:themeColor="hyperlink"/>
      <w:u w:val="single"/>
    </w:rPr>
  </w:style>
  <w:style w:type="table" w:customStyle="1" w:styleId="Tabelacomgrade15">
    <w:name w:val="Tabela com grade15"/>
    <w:basedOn w:val="Tabelanormal"/>
    <w:next w:val="Tabelacomgrade"/>
    <w:uiPriority w:val="39"/>
    <w:rsid w:val="00D5745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sReferencia">
    <w:name w:val="Dis_Referencia"/>
    <w:basedOn w:val="Normal"/>
    <w:qFormat/>
    <w:rsid w:val="00D5745D"/>
    <w:pPr>
      <w:spacing w:after="240" w:line="240" w:lineRule="auto"/>
      <w:jc w:val="both"/>
    </w:pPr>
    <w:rPr>
      <w:rFonts w:ascii="Arial" w:eastAsia="Calibri" w:hAnsi="Arial" w:cs="Arial"/>
      <w:kern w:val="0"/>
      <w:szCs w:val="22"/>
      <w:shd w:val="clear" w:color="auto" w:fill="FFFFFF"/>
      <w:lang w:eastAsia="zh-CN"/>
      <w14:ligatures w14:val="none"/>
    </w:rPr>
  </w:style>
  <w:style w:type="table" w:styleId="Tabelacomgrade">
    <w:name w:val="Table Grid"/>
    <w:basedOn w:val="Tabelanormal"/>
    <w:uiPriority w:val="39"/>
    <w:rsid w:val="00D57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5">
    <w:name w:val="Estilo5"/>
    <w:basedOn w:val="Normal"/>
    <w:rsid w:val="00A34261"/>
    <w:pPr>
      <w:spacing w:after="0" w:line="240" w:lineRule="auto"/>
      <w:ind w:left="3969"/>
      <w:jc w:val="both"/>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inep/pt-br/acesso-a-informacao/dados-abertos/microdados/censo-da-educacao-superi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AC7A-F4C4-43FE-A998-1964EDF0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6</Pages>
  <Words>1496</Words>
  <Characters>8080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Conta da Microsoft</cp:lastModifiedBy>
  <cp:revision>13</cp:revision>
  <dcterms:created xsi:type="dcterms:W3CDTF">2025-02-11T20:29:00Z</dcterms:created>
  <dcterms:modified xsi:type="dcterms:W3CDTF">2025-03-26T00:18:00Z</dcterms:modified>
</cp:coreProperties>
</file>