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77" w:rsidRPr="00396CCF" w:rsidRDefault="00D65F77" w:rsidP="00D65F77">
      <w:pPr>
        <w:jc w:val="both"/>
        <w:rPr>
          <w:rFonts w:ascii="Arial" w:hAnsi="Arial" w:cs="Arial"/>
          <w:color w:val="000000" w:themeColor="text1"/>
        </w:rPr>
      </w:pPr>
    </w:p>
    <w:p w:rsidR="00581B99" w:rsidRDefault="00581B99" w:rsidP="00581B99">
      <w:pPr>
        <w:jc w:val="both"/>
        <w:rPr>
          <w:rFonts w:asciiTheme="minorHAnsi" w:hAnsiTheme="minorHAnsi" w:cstheme="minorHAnsi"/>
          <w:color w:val="000000" w:themeColor="text1"/>
        </w:rPr>
      </w:pPr>
    </w:p>
    <w:p w:rsidR="00D65F77" w:rsidRPr="0064653A" w:rsidRDefault="00581B99" w:rsidP="0064653A">
      <w:pPr>
        <w:jc w:val="center"/>
        <w:rPr>
          <w:rFonts w:ascii="Arial" w:hAnsi="Arial" w:cs="Arial"/>
          <w:b/>
          <w:sz w:val="28"/>
          <w:szCs w:val="28"/>
        </w:rPr>
      </w:pPr>
      <w:r w:rsidRPr="00F74E27">
        <w:rPr>
          <w:rFonts w:ascii="Arial" w:hAnsi="Arial" w:cs="Arial"/>
          <w:b/>
          <w:sz w:val="28"/>
          <w:szCs w:val="28"/>
        </w:rPr>
        <w:t>ENCERAMENTO DIAGNÓSTICO NA PRÁTICA CLÍNICA: RELATO DE EXPERIÊNCIA</w:t>
      </w:r>
      <w:r w:rsidR="00D65F77" w:rsidRPr="00381B5C">
        <w:rPr>
          <w:rStyle w:val="Refdenotaderodap"/>
          <w:rFonts w:ascii="Arial" w:hAnsi="Arial" w:cs="Arial"/>
          <w:b/>
          <w:sz w:val="22"/>
          <w:szCs w:val="22"/>
        </w:rPr>
        <w:footnoteReference w:id="1"/>
      </w:r>
    </w:p>
    <w:p w:rsidR="0064653A" w:rsidRPr="0064653A" w:rsidRDefault="0064653A" w:rsidP="0064653A">
      <w:pPr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proofErr w:type="spellStart"/>
      <w:r w:rsidRPr="0064653A">
        <w:rPr>
          <w:rFonts w:ascii="Arial" w:hAnsi="Arial" w:cs="Arial"/>
          <w:b/>
          <w:bCs/>
          <w:sz w:val="22"/>
          <w:szCs w:val="22"/>
        </w:rPr>
        <w:t>Fabricia</w:t>
      </w:r>
      <w:proofErr w:type="spellEnd"/>
      <w:r w:rsidRPr="0064653A">
        <w:rPr>
          <w:rFonts w:ascii="Arial" w:hAnsi="Arial" w:cs="Arial"/>
          <w:b/>
          <w:bCs/>
          <w:sz w:val="22"/>
          <w:szCs w:val="22"/>
        </w:rPr>
        <w:t xml:space="preserve"> Sousa Almeida</w:t>
      </w:r>
      <w:r w:rsidRPr="0064653A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D65F77" w:rsidRDefault="00581B99" w:rsidP="0064653A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Talisse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Pereira de Sousa</w:t>
      </w:r>
      <w:r w:rsidR="00D65F77" w:rsidRPr="00381B5C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D65F77" w:rsidRPr="00B95EE3" w:rsidRDefault="00581B99" w:rsidP="0064653A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>
        <w:rPr>
          <w:rFonts w:ascii="Arial" w:hAnsi="Arial" w:cs="Arial"/>
          <w:b/>
          <w:sz w:val="22"/>
          <w:szCs w:val="22"/>
        </w:rPr>
        <w:t>Wendyla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Silva dos Reis</w:t>
      </w:r>
      <w:r w:rsidR="00D65F77">
        <w:rPr>
          <w:rFonts w:ascii="Arial" w:hAnsi="Arial" w:cs="Arial"/>
          <w:b/>
          <w:sz w:val="22"/>
          <w:szCs w:val="22"/>
          <w:vertAlign w:val="superscript"/>
        </w:rPr>
        <w:t>4</w:t>
      </w:r>
    </w:p>
    <w:p w:rsidR="00D65F77" w:rsidRPr="00F12973" w:rsidRDefault="00D65F77" w:rsidP="0064653A">
      <w:pPr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r w:rsidR="00581B99">
        <w:rPr>
          <w:rFonts w:ascii="Arial" w:hAnsi="Arial" w:cs="Arial"/>
          <w:b/>
          <w:sz w:val="22"/>
          <w:szCs w:val="22"/>
        </w:rPr>
        <w:t xml:space="preserve">           </w:t>
      </w:r>
      <w:proofErr w:type="spellStart"/>
      <w:r w:rsidR="00581B99">
        <w:rPr>
          <w:rFonts w:ascii="Arial" w:hAnsi="Arial" w:cs="Arial"/>
          <w:b/>
          <w:sz w:val="22"/>
          <w:szCs w:val="22"/>
        </w:rPr>
        <w:t>Karolayne</w:t>
      </w:r>
      <w:proofErr w:type="spellEnd"/>
      <w:r w:rsidR="00581B99">
        <w:rPr>
          <w:rFonts w:ascii="Arial" w:hAnsi="Arial" w:cs="Arial"/>
          <w:b/>
          <w:sz w:val="22"/>
          <w:szCs w:val="22"/>
        </w:rPr>
        <w:t xml:space="preserve"> Leite Vila Nova</w:t>
      </w:r>
      <w:r>
        <w:rPr>
          <w:rFonts w:ascii="Arial" w:hAnsi="Arial" w:cs="Arial"/>
          <w:b/>
          <w:sz w:val="22"/>
          <w:szCs w:val="22"/>
          <w:vertAlign w:val="superscript"/>
        </w:rPr>
        <w:t>5</w:t>
      </w:r>
    </w:p>
    <w:p w:rsidR="00D65F77" w:rsidRPr="00381B5C" w:rsidRDefault="00581B99" w:rsidP="0064653A">
      <w:pPr>
        <w:wordWrap w:val="0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Talhia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Oliveira Alves Feitosa</w:t>
      </w:r>
      <w:r w:rsidR="00D65F77">
        <w:rPr>
          <w:rFonts w:ascii="Arial" w:hAnsi="Arial" w:cs="Arial"/>
          <w:b/>
          <w:sz w:val="22"/>
          <w:szCs w:val="22"/>
          <w:vertAlign w:val="superscript"/>
        </w:rPr>
        <w:t>6</w:t>
      </w:r>
    </w:p>
    <w:p w:rsidR="00D65F77" w:rsidRDefault="00581B99" w:rsidP="0064653A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Isabella da Silva e Silva</w:t>
      </w:r>
      <w:r w:rsidR="00D65F77">
        <w:rPr>
          <w:rFonts w:ascii="Arial" w:hAnsi="Arial" w:cs="Arial"/>
          <w:b/>
          <w:sz w:val="22"/>
          <w:szCs w:val="22"/>
          <w:vertAlign w:val="superscript"/>
        </w:rPr>
        <w:t>7</w:t>
      </w:r>
    </w:p>
    <w:p w:rsidR="00D65F77" w:rsidRPr="008C1B62" w:rsidRDefault="00581B99" w:rsidP="0064653A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>
        <w:rPr>
          <w:rFonts w:ascii="Arial" w:hAnsi="Arial" w:cs="Arial"/>
          <w:b/>
          <w:sz w:val="22"/>
          <w:szCs w:val="22"/>
        </w:rPr>
        <w:t>Luanne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Mara Rodrigues de Matos</w:t>
      </w:r>
      <w:r w:rsidR="00D65F77">
        <w:rPr>
          <w:rFonts w:ascii="Arial" w:hAnsi="Arial" w:cs="Arial"/>
          <w:b/>
          <w:sz w:val="22"/>
          <w:szCs w:val="22"/>
          <w:vertAlign w:val="superscript"/>
        </w:rPr>
        <w:t>8</w:t>
      </w:r>
    </w:p>
    <w:p w:rsidR="00D65F77" w:rsidRPr="008C1B62" w:rsidRDefault="00581B99" w:rsidP="0064653A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Marcelo Lopes Silva</w:t>
      </w:r>
      <w:r w:rsidR="00D65F77">
        <w:rPr>
          <w:rFonts w:ascii="Arial" w:hAnsi="Arial" w:cs="Arial"/>
          <w:b/>
          <w:sz w:val="22"/>
          <w:szCs w:val="22"/>
          <w:vertAlign w:val="superscript"/>
        </w:rPr>
        <w:t>9</w:t>
      </w:r>
    </w:p>
    <w:p w:rsidR="00D65F77" w:rsidRDefault="00D65F77" w:rsidP="00D65F77">
      <w:pPr>
        <w:spacing w:after="120"/>
        <w:ind w:right="665"/>
        <w:jc w:val="both"/>
        <w:rPr>
          <w:rFonts w:ascii="Arial" w:hAnsi="Arial" w:cs="Arial"/>
          <w:b/>
          <w:sz w:val="22"/>
          <w:szCs w:val="22"/>
        </w:rPr>
      </w:pPr>
    </w:p>
    <w:p w:rsidR="00D65F77" w:rsidRPr="00704393" w:rsidRDefault="00D65F77" w:rsidP="00D65F77">
      <w:pPr>
        <w:spacing w:after="120"/>
        <w:ind w:right="665"/>
        <w:jc w:val="both"/>
        <w:rPr>
          <w:rFonts w:ascii="Arial" w:hAnsi="Arial" w:cs="Arial"/>
          <w:b/>
        </w:rPr>
      </w:pPr>
      <w:r w:rsidRPr="00704393">
        <w:rPr>
          <w:rFonts w:ascii="Arial" w:hAnsi="Arial" w:cs="Arial"/>
          <w:b/>
        </w:rPr>
        <w:t>RESUMO</w:t>
      </w:r>
    </w:p>
    <w:p w:rsidR="00D65F77" w:rsidRDefault="00D65F77" w:rsidP="00D65F77">
      <w:pPr>
        <w:jc w:val="both"/>
        <w:rPr>
          <w:rFonts w:ascii="Arial" w:hAnsi="Arial" w:cs="Arial"/>
        </w:rPr>
      </w:pPr>
      <w:r w:rsidRPr="00127710">
        <w:rPr>
          <w:rFonts w:ascii="Arial" w:hAnsi="Arial" w:cs="Arial"/>
          <w:b/>
        </w:rPr>
        <w:t>INTRODUÇÃO</w:t>
      </w:r>
      <w:r w:rsidRPr="00127710">
        <w:rPr>
          <w:rFonts w:ascii="Arial" w:hAnsi="Arial" w:cs="Arial"/>
        </w:rPr>
        <w:t xml:space="preserve">: </w:t>
      </w:r>
      <w:r w:rsidRPr="00F74E27">
        <w:rPr>
          <w:rFonts w:ascii="Arial" w:hAnsi="Arial" w:cs="Arial"/>
        </w:rPr>
        <w:t xml:space="preserve">O enceramento diagnóstico é uma ferramenta essencial na odontologia, utilizada para planejar e visualizar previamente restaurações </w:t>
      </w:r>
      <w:proofErr w:type="gramStart"/>
      <w:r w:rsidRPr="00F74E27">
        <w:rPr>
          <w:rFonts w:ascii="Arial" w:hAnsi="Arial" w:cs="Arial"/>
        </w:rPr>
        <w:t>e</w:t>
      </w:r>
      <w:proofErr w:type="gramEnd"/>
      <w:r w:rsidRPr="00F74E27">
        <w:rPr>
          <w:rFonts w:ascii="Arial" w:hAnsi="Arial" w:cs="Arial"/>
        </w:rPr>
        <w:t xml:space="preserve"> </w:t>
      </w:r>
      <w:proofErr w:type="gramStart"/>
      <w:r w:rsidRPr="00F74E27">
        <w:rPr>
          <w:rFonts w:ascii="Arial" w:hAnsi="Arial" w:cs="Arial"/>
        </w:rPr>
        <w:t>reabilitações</w:t>
      </w:r>
      <w:proofErr w:type="gramEnd"/>
      <w:r w:rsidRPr="00F74E27">
        <w:rPr>
          <w:rFonts w:ascii="Arial" w:hAnsi="Arial" w:cs="Arial"/>
        </w:rPr>
        <w:t xml:space="preserve"> em cera. É indicado em casos de pacientes parcialmente dentados ou totalmente edêntulos, envolvendo próteses fixas, removíveis ou sobre implantes. Esse procedimento melhora a precisão clínica, a previsibilidade estética e funcional do tratamento, além de facilitar a comunicação entre o dentista e o paciente, contribuindo para o sucesso da reabilitação.</w:t>
      </w:r>
      <w:r w:rsidRPr="00D65F77">
        <w:rPr>
          <w:rFonts w:ascii="Arial" w:hAnsi="Arial" w:cs="Arial"/>
          <w:b/>
        </w:rPr>
        <w:t xml:space="preserve"> </w:t>
      </w:r>
      <w:r w:rsidRPr="00F74E27">
        <w:rPr>
          <w:rFonts w:ascii="Arial" w:hAnsi="Arial" w:cs="Arial"/>
          <w:b/>
        </w:rPr>
        <w:t>RELATO</w:t>
      </w:r>
      <w:r>
        <w:rPr>
          <w:rFonts w:ascii="Arial" w:hAnsi="Arial" w:cs="Arial"/>
          <w:b/>
        </w:rPr>
        <w:t xml:space="preserve"> DE EXPERIÊNCIA</w:t>
      </w:r>
      <w:r w:rsidRPr="00F74E27">
        <w:rPr>
          <w:rFonts w:ascii="Arial" w:hAnsi="Arial" w:cs="Arial"/>
          <w:b/>
        </w:rPr>
        <w:t>:</w:t>
      </w:r>
      <w:r w:rsidRPr="00F74E27">
        <w:rPr>
          <w:rFonts w:ascii="Arial" w:hAnsi="Arial" w:cs="Arial"/>
        </w:rPr>
        <w:t xml:space="preserve"> O projeto de extensão </w:t>
      </w:r>
      <w:r w:rsidRPr="00DC5FB1">
        <w:rPr>
          <w:rStyle w:val="nfase"/>
          <w:rFonts w:ascii="Arial" w:hAnsi="Arial" w:cs="Arial"/>
          <w:i w:val="0"/>
        </w:rPr>
        <w:t>Enceramento Diagnóstico na Prática Clínica</w:t>
      </w:r>
      <w:r w:rsidRPr="00F74E27">
        <w:rPr>
          <w:rFonts w:ascii="Arial" w:hAnsi="Arial" w:cs="Arial"/>
        </w:rPr>
        <w:t xml:space="preserve"> foi realizado entre março e junho de 2024, no Centro Universitário Santo Agostinho, com a participação de alunos do 3º ao 10º período do curso de Odontologia. Teve como objetivos principais a execução de enceramentos diagnósticos em pacientes com necessidade de planejamento, o ensino dos fundamentos teóricos relacionados ao enceramento e sua relação com a oclusão, prótese e dentística, além da aplicação prática dessa técnica no planejamento de casos clínicos</w:t>
      </w:r>
      <w:r w:rsidRPr="001277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74E27">
        <w:rPr>
          <w:rFonts w:ascii="Arial" w:hAnsi="Arial" w:cs="Arial"/>
          <w:b/>
        </w:rPr>
        <w:t>CONSIDERAÇÕES FINAIS</w:t>
      </w:r>
      <w:r w:rsidRPr="00F74E27">
        <w:rPr>
          <w:rFonts w:ascii="Arial" w:hAnsi="Arial" w:cs="Arial"/>
        </w:rPr>
        <w:t xml:space="preserve">: A participação no projeto de extensão </w:t>
      </w:r>
      <w:r w:rsidRPr="00DC5FB1">
        <w:rPr>
          <w:rStyle w:val="nfase"/>
          <w:rFonts w:ascii="Arial" w:hAnsi="Arial" w:cs="Arial"/>
          <w:i w:val="0"/>
        </w:rPr>
        <w:t>Enceramento Diagnóstico na Prática Clínica</w:t>
      </w:r>
      <w:r w:rsidRPr="00F74E27">
        <w:rPr>
          <w:rFonts w:ascii="Arial" w:hAnsi="Arial" w:cs="Arial"/>
        </w:rPr>
        <w:t xml:space="preserve"> proporcionou aos alunos uma vivência enriquecedora, unindo teoria e prática de forma integrada. O desenvolvimento dos enceramentos diagnósticos permitiu maior compreensão da importância do planejamento na reabilitação oral, além de contribuir para a formação </w:t>
      </w:r>
      <w:r w:rsidRPr="00F74E27">
        <w:rPr>
          <w:rFonts w:ascii="Arial" w:hAnsi="Arial" w:cs="Arial"/>
        </w:rPr>
        <w:lastRenderedPageBreak/>
        <w:t>clínica dos estudantes, estimulando o raciocínio crítico, a comunicação com o paciente e a previsibilidade nos tratamentos.</w:t>
      </w:r>
    </w:p>
    <w:p w:rsidR="00D65F77" w:rsidRPr="00127710" w:rsidRDefault="00D65F77" w:rsidP="00D65F77">
      <w:pPr>
        <w:jc w:val="both"/>
        <w:rPr>
          <w:rFonts w:ascii="Arial" w:hAnsi="Arial" w:cs="Arial"/>
        </w:rPr>
      </w:pPr>
    </w:p>
    <w:p w:rsidR="00D65F77" w:rsidRPr="00127710" w:rsidRDefault="00D65F77" w:rsidP="00D65F77">
      <w:pPr>
        <w:pStyle w:val="NormalWeb"/>
        <w:jc w:val="both"/>
        <w:rPr>
          <w:rFonts w:ascii="Arial" w:hAnsi="Arial" w:cs="Arial"/>
          <w:bCs/>
        </w:rPr>
      </w:pPr>
      <w:r w:rsidRPr="00127710">
        <w:rPr>
          <w:rFonts w:ascii="Arial" w:hAnsi="Arial" w:cs="Arial"/>
          <w:b/>
        </w:rPr>
        <w:t xml:space="preserve">Descritores: </w:t>
      </w:r>
      <w:r w:rsidR="00EB5618" w:rsidRPr="00F74E27">
        <w:rPr>
          <w:rFonts w:ascii="Arial" w:hAnsi="Arial" w:cs="Arial"/>
        </w:rPr>
        <w:t>Estética dentária. Escultura. Oclusão Dentária. Reabilitação bucal</w:t>
      </w:r>
      <w:r w:rsidR="00EB5618">
        <w:rPr>
          <w:rFonts w:ascii="Arial" w:hAnsi="Arial" w:cs="Arial"/>
        </w:rPr>
        <w:t>.</w:t>
      </w:r>
    </w:p>
    <w:p w:rsidR="00D65F77" w:rsidRPr="00127710" w:rsidRDefault="00D65F77" w:rsidP="00D65F77">
      <w:pPr>
        <w:spacing w:after="120"/>
        <w:ind w:right="665"/>
        <w:jc w:val="both"/>
        <w:rPr>
          <w:rFonts w:ascii="Arial" w:hAnsi="Arial" w:cs="Arial"/>
          <w:b/>
        </w:rPr>
      </w:pPr>
    </w:p>
    <w:p w:rsidR="00D65F77" w:rsidRPr="0041428D" w:rsidRDefault="00D65F77" w:rsidP="00D65F77">
      <w:pPr>
        <w:pStyle w:val="NormalWeb"/>
        <w:jc w:val="both"/>
        <w:rPr>
          <w:rFonts w:ascii="Arial" w:hAnsi="Arial" w:cs="Arial"/>
          <w:b/>
        </w:rPr>
      </w:pPr>
    </w:p>
    <w:p w:rsidR="00D65F77" w:rsidRDefault="00D65F77" w:rsidP="00D65F77">
      <w:pPr>
        <w:pStyle w:val="NormalWeb"/>
        <w:jc w:val="both"/>
        <w:rPr>
          <w:rFonts w:ascii="Arial" w:hAnsi="Arial" w:cs="Arial"/>
          <w:b/>
        </w:rPr>
      </w:pPr>
    </w:p>
    <w:p w:rsidR="00D65F77" w:rsidRPr="0041428D" w:rsidRDefault="00D65F77" w:rsidP="00D65F77">
      <w:pPr>
        <w:pStyle w:val="NormalWeb"/>
        <w:jc w:val="both"/>
        <w:rPr>
          <w:rFonts w:ascii="Arial" w:hAnsi="Arial" w:cs="Arial"/>
          <w:b/>
        </w:rPr>
      </w:pPr>
    </w:p>
    <w:p w:rsidR="00C47279" w:rsidRPr="00D65F77" w:rsidRDefault="00C47279" w:rsidP="00D65F77"/>
    <w:sectPr w:rsidR="00C47279" w:rsidRPr="00D65F77" w:rsidSect="007C0914">
      <w:headerReference w:type="default" r:id="rId6"/>
      <w:footerReference w:type="default" r:id="rId7"/>
      <w:headerReference w:type="first" r:id="rId8"/>
      <w:pgSz w:w="11907" w:h="16840"/>
      <w:pgMar w:top="142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C1" w:rsidRDefault="006331C1" w:rsidP="00D65F77">
      <w:r>
        <w:separator/>
      </w:r>
    </w:p>
  </w:endnote>
  <w:endnote w:type="continuationSeparator" w:id="0">
    <w:p w:rsidR="006331C1" w:rsidRDefault="006331C1" w:rsidP="00D65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323E4F" w:themeColor="text2" w:themeShade="BF"/>
          <w:sz w:val="20"/>
          <w:szCs w:val="20"/>
        </w:rPr>
        <w:id w:val="-1870907473"/>
      </w:sdtPr>
      <w:sdtEndPr>
        <w:rPr>
          <w:rFonts w:eastAsia="Times New Roman"/>
          <w:color w:val="2F5496" w:themeColor="accent1" w:themeShade="BF"/>
          <w:sz w:val="28"/>
          <w:szCs w:val="24"/>
        </w:rPr>
      </w:sdtEndPr>
      <w:sdtContent>
        <w:tr w:rsidR="00A178CF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A178CF" w:rsidRDefault="006331C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323E4F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A178CF" w:rsidRDefault="003A5915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2F5496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fldChar w:fldCharType="begin"/>
              </w:r>
              <w:r w:rsidR="006331C1"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instrText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fldChar w:fldCharType="separate"/>
              </w:r>
              <w:r w:rsidR="0032612E">
                <w:rPr>
                  <w:rFonts w:asciiTheme="minorHAnsi" w:hAnsiTheme="minorHAnsi" w:cstheme="minorHAnsi"/>
                  <w:b/>
                  <w:bCs/>
                  <w:noProof/>
                  <w:color w:val="2F5496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A178CF" w:rsidRDefault="006331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C1" w:rsidRDefault="006331C1" w:rsidP="00D65F77">
      <w:r>
        <w:separator/>
      </w:r>
    </w:p>
  </w:footnote>
  <w:footnote w:type="continuationSeparator" w:id="0">
    <w:p w:rsidR="006331C1" w:rsidRDefault="006331C1" w:rsidP="00D65F77">
      <w:r>
        <w:continuationSeparator/>
      </w:r>
    </w:p>
  </w:footnote>
  <w:footnote w:id="1">
    <w:p w:rsidR="007E2525" w:rsidRPr="007E2525" w:rsidRDefault="007E2525" w:rsidP="00D65F77">
      <w:pPr>
        <w:pStyle w:val="Textodenotaderodap"/>
        <w:jc w:val="both"/>
      </w:pPr>
      <w:r w:rsidRPr="00191AA0">
        <w:rPr>
          <w:rStyle w:val="Refdenotaderodap"/>
        </w:rPr>
        <w:footnoteRef/>
      </w:r>
      <w:r w:rsidRPr="00191AA0">
        <w:t>Trabalho apresentado na V Jornada Acadêmica de Odontologia (JAO), promovida pelo Centro Universitário Santo Agostinho, nos dias 29 e 30 de maio de 2025.</w:t>
      </w:r>
    </w:p>
    <w:p w:rsidR="00D65F77" w:rsidRPr="008C1B62" w:rsidRDefault="007E2525" w:rsidP="00D65F77">
      <w:pPr>
        <w:pStyle w:val="Textodenotaderodap"/>
        <w:jc w:val="both"/>
      </w:pPr>
      <w:proofErr w:type="gramStart"/>
      <w:r>
        <w:rPr>
          <w:vertAlign w:val="superscript"/>
        </w:rPr>
        <w:t>2</w:t>
      </w:r>
      <w:proofErr w:type="gramEnd"/>
      <w:r w:rsidR="006F4077">
        <w:rPr>
          <w:vertAlign w:val="superscript"/>
        </w:rPr>
        <w:t xml:space="preserve"> </w:t>
      </w:r>
      <w:r w:rsidR="00D65F77" w:rsidRPr="008C1B62">
        <w:t>Autor. Estudante do curso de graduação em Odontologia no Centro Universitário Santo Agostinho (UNIFSA)</w:t>
      </w:r>
      <w:r w:rsidR="00D65F77" w:rsidRPr="008C1B62">
        <w:rPr>
          <w:iCs/>
        </w:rPr>
        <w:t>.</w:t>
      </w:r>
      <w:r w:rsidR="00D65F77" w:rsidRPr="008C1B62">
        <w:t xml:space="preserve">  </w:t>
      </w:r>
    </w:p>
    <w:p w:rsidR="00D65F77" w:rsidRPr="008C1B62" w:rsidRDefault="00D65F77" w:rsidP="00D65F77">
      <w:pPr>
        <w:pStyle w:val="Textodenotaderodap"/>
        <w:jc w:val="both"/>
      </w:pPr>
      <w:r w:rsidRPr="008C1B62">
        <w:rPr>
          <w:rStyle w:val="Refdenotaderodap"/>
        </w:rPr>
        <w:t>3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 </w:t>
      </w:r>
    </w:p>
    <w:p w:rsidR="00D65F77" w:rsidRPr="008C1B62" w:rsidRDefault="00D65F77" w:rsidP="00D65F77">
      <w:pPr>
        <w:pStyle w:val="Textodenotaderodap"/>
        <w:jc w:val="both"/>
      </w:pPr>
      <w:r w:rsidRPr="008C1B62">
        <w:rPr>
          <w:rStyle w:val="Refdenotaderodap"/>
        </w:rPr>
        <w:t>4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</w:t>
      </w:r>
    </w:p>
    <w:p w:rsidR="00D65F77" w:rsidRPr="008C1B62" w:rsidRDefault="00D65F77" w:rsidP="00D65F77">
      <w:pPr>
        <w:pStyle w:val="Textodenotaderodap"/>
        <w:jc w:val="both"/>
      </w:pPr>
      <w:r w:rsidRPr="008C1B62">
        <w:rPr>
          <w:rStyle w:val="Refdenotaderodap"/>
        </w:rPr>
        <w:t>5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 </w:t>
      </w:r>
    </w:p>
    <w:p w:rsidR="00D65F77" w:rsidRPr="008C1B62" w:rsidRDefault="00D65F77" w:rsidP="00D65F77">
      <w:pPr>
        <w:pStyle w:val="Textodenotaderodap"/>
        <w:jc w:val="both"/>
      </w:pPr>
      <w:r w:rsidRPr="008C1B62">
        <w:rPr>
          <w:rStyle w:val="Refdenotaderodap"/>
        </w:rPr>
        <w:t>6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</w:t>
      </w:r>
    </w:p>
    <w:p w:rsidR="00D65F77" w:rsidRPr="008C1B62" w:rsidRDefault="00D65F77" w:rsidP="00D65F77">
      <w:pPr>
        <w:pStyle w:val="Textodenotaderodap"/>
        <w:jc w:val="both"/>
      </w:pPr>
      <w:proofErr w:type="gramStart"/>
      <w:r w:rsidRPr="008C1B62">
        <w:rPr>
          <w:vertAlign w:val="superscript"/>
        </w:rPr>
        <w:t>7</w:t>
      </w:r>
      <w:proofErr w:type="gramEnd"/>
      <w:r w:rsidR="0032612E">
        <w:t xml:space="preserve"> </w:t>
      </w:r>
      <w:r w:rsidRPr="008C1B62">
        <w:t>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 </w:t>
      </w:r>
    </w:p>
    <w:p w:rsidR="00D65F77" w:rsidRPr="00191AA0" w:rsidRDefault="00D65F77" w:rsidP="00D65F77">
      <w:pPr>
        <w:pStyle w:val="Textodenotaderodap"/>
        <w:jc w:val="both"/>
      </w:pPr>
      <w:proofErr w:type="gramStart"/>
      <w:r>
        <w:rPr>
          <w:vertAlign w:val="superscript"/>
        </w:rPr>
        <w:t>8</w:t>
      </w:r>
      <w:proofErr w:type="gramEnd"/>
      <w:r w:rsidR="0032612E">
        <w:rPr>
          <w:vertAlign w:val="superscript"/>
        </w:rPr>
        <w:t xml:space="preserve"> </w:t>
      </w:r>
      <w:r w:rsidRPr="00191AA0">
        <w:t>Graduad</w:t>
      </w:r>
      <w:r>
        <w:t xml:space="preserve">a em Odontologia pela Faculdade Integral Diferencial (2015). Mestrado em Clínicas Odontológicas pela </w:t>
      </w:r>
      <w:proofErr w:type="spellStart"/>
      <w:r>
        <w:t>Fop</w:t>
      </w:r>
      <w:proofErr w:type="spellEnd"/>
      <w:r>
        <w:t xml:space="preserve"> Unicamp (2019)</w:t>
      </w:r>
      <w:r w:rsidRPr="00CE72FF">
        <w:t>.</w:t>
      </w:r>
      <w:r>
        <w:t xml:space="preserve"> Doutorado pela PUC Minas (2023).</w:t>
      </w:r>
      <w:r w:rsidRPr="00CE72FF">
        <w:t xml:space="preserve"> Professor</w:t>
      </w:r>
      <w:r>
        <w:t>a</w:t>
      </w:r>
      <w:r w:rsidRPr="00CE72FF">
        <w:t xml:space="preserve"> do Centro Universitário </w:t>
      </w:r>
      <w:r>
        <w:t>Santo Agostinho (UNIFSA).</w:t>
      </w:r>
      <w:r w:rsidRPr="00191AA0">
        <w:t xml:space="preserve"> </w:t>
      </w:r>
    </w:p>
    <w:p w:rsidR="00D65F77" w:rsidRPr="005F3AC2" w:rsidRDefault="00D65F77" w:rsidP="00D65F77">
      <w:pPr>
        <w:spacing w:after="120"/>
        <w:ind w:right="665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9</w:t>
      </w:r>
      <w:r w:rsidRPr="00191AA0">
        <w:rPr>
          <w:sz w:val="20"/>
          <w:szCs w:val="20"/>
        </w:rPr>
        <w:t>Graduad</w:t>
      </w:r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em Odontologia pela UPE (1996</w:t>
      </w:r>
      <w:r w:rsidRPr="00CE72FF">
        <w:rPr>
          <w:sz w:val="20"/>
          <w:szCs w:val="20"/>
        </w:rPr>
        <w:t>). Mestre Profissional</w:t>
      </w:r>
      <w:r w:rsidR="00E57C61">
        <w:rPr>
          <w:sz w:val="20"/>
          <w:szCs w:val="20"/>
        </w:rPr>
        <w:t xml:space="preserve"> em Odontologia na Universidade </w:t>
      </w:r>
      <w:r w:rsidRPr="00CE72FF">
        <w:rPr>
          <w:sz w:val="20"/>
          <w:szCs w:val="20"/>
        </w:rPr>
        <w:t>Federal do Maranhão (UFMA). Professor do Centro Universitário Santo Agostinho (UNIFSA). Orientador da Pesquisa</w:t>
      </w:r>
      <w:r>
        <w:rPr>
          <w:sz w:val="20"/>
          <w:szCs w:val="20"/>
        </w:rPr>
        <w:t>.</w:t>
      </w:r>
    </w:p>
    <w:p w:rsidR="00D65F77" w:rsidRDefault="00D65F77" w:rsidP="00D65F77">
      <w:pPr>
        <w:pStyle w:val="Textodenotaderodap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</w:rPr>
    </w:pPr>
  </w:p>
  <w:p w:rsidR="00A178CF" w:rsidRDefault="006331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8CF" w:rsidRDefault="006331C1">
    <w:pPr>
      <w:pStyle w:val="Cabealho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  <w:r>
      <w:rPr>
        <w:rFonts w:asciiTheme="minorHAnsi" w:hAnsiTheme="minorHAnsi" w:cstheme="minorHAnsi"/>
        <w:b/>
        <w:bCs/>
        <w:noProof/>
        <w:color w:val="222A35" w:themeColor="text2" w:themeShade="80"/>
        <w:sz w:val="16"/>
        <w:szCs w:val="16"/>
        <w:shd w:val="clear" w:color="auto" w:fill="D9E2F3" w:themeFill="accent1" w:themeFillTint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-306705</wp:posOffset>
          </wp:positionV>
          <wp:extent cx="7248525" cy="1484630"/>
          <wp:effectExtent l="0" t="0" r="0" b="1905"/>
          <wp:wrapNone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6331C1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:rsidR="00A178CF" w:rsidRDefault="006331C1">
    <w:pPr>
      <w:pStyle w:val="Cabealho"/>
      <w:shd w:val="clear" w:color="auto" w:fill="2F5496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F77"/>
    <w:rsid w:val="000251A5"/>
    <w:rsid w:val="001B7B9F"/>
    <w:rsid w:val="001F422D"/>
    <w:rsid w:val="001F4993"/>
    <w:rsid w:val="0032612E"/>
    <w:rsid w:val="003A5915"/>
    <w:rsid w:val="00581B99"/>
    <w:rsid w:val="006331C1"/>
    <w:rsid w:val="0064653A"/>
    <w:rsid w:val="00661FFB"/>
    <w:rsid w:val="006F4077"/>
    <w:rsid w:val="007E2525"/>
    <w:rsid w:val="00921063"/>
    <w:rsid w:val="00AD6ECE"/>
    <w:rsid w:val="00C47279"/>
    <w:rsid w:val="00C97289"/>
    <w:rsid w:val="00D65F77"/>
    <w:rsid w:val="00DC5FB1"/>
    <w:rsid w:val="00DD36F3"/>
    <w:rsid w:val="00E57C61"/>
    <w:rsid w:val="00EB11D0"/>
    <w:rsid w:val="00EB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65F77"/>
    <w:rPr>
      <w:b/>
      <w:bCs/>
    </w:rPr>
  </w:style>
  <w:style w:type="character" w:styleId="Refdenotaderodap">
    <w:name w:val="footnote reference"/>
    <w:basedOn w:val="Fontepargpadro"/>
    <w:semiHidden/>
    <w:rsid w:val="00D65F77"/>
    <w:rPr>
      <w:vertAlign w:val="superscript"/>
    </w:rPr>
  </w:style>
  <w:style w:type="paragraph" w:styleId="NormalWeb">
    <w:name w:val="Normal (Web)"/>
    <w:basedOn w:val="Normal"/>
    <w:uiPriority w:val="99"/>
    <w:rsid w:val="00D65F7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D65F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F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5F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F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65F7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65F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D65F7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F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Fabricia Sousa Almeida</cp:lastModifiedBy>
  <cp:revision>15</cp:revision>
  <dcterms:created xsi:type="dcterms:W3CDTF">2025-05-21T18:30:00Z</dcterms:created>
  <dcterms:modified xsi:type="dcterms:W3CDTF">2025-05-21T19:02:00Z</dcterms:modified>
</cp:coreProperties>
</file>