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A378F36" w14:textId="50DA8BA3" w:rsidR="0096465C" w:rsidRPr="00101808" w:rsidRDefault="0001003A" w:rsidP="0096465C">
      <w:pPr>
        <w:pStyle w:val="ABNT"/>
        <w:ind w:firstLine="0"/>
        <w:jc w:val="center"/>
        <w:rPr>
          <w:b/>
          <w:color w:val="000000" w:themeColor="text1"/>
        </w:rPr>
      </w:pPr>
      <w:r w:rsidRPr="0001003A">
        <w:rPr>
          <w:b/>
          <w:color w:val="000000" w:themeColor="text1"/>
          <w:sz w:val="28"/>
          <w:szCs w:val="28"/>
        </w:rPr>
        <w:t>VITAMINA D E SUAS IMPLICAÇÕES CLÍNICAS: UMA REVISÃO NARRATIVA</w:t>
      </w:r>
    </w:p>
    <w:p w14:paraId="31564934" w14:textId="29D9ACFE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 xml:space="preserve">Sarah Louredo </w:t>
      </w:r>
      <w:proofErr w:type="spellStart"/>
      <w:r w:rsidRPr="00693732">
        <w:rPr>
          <w:color w:val="000000" w:themeColor="text1"/>
          <w:sz w:val="20"/>
          <w:szCs w:val="20"/>
        </w:rPr>
        <w:t>Torquette</w:t>
      </w:r>
      <w:proofErr w:type="spellEnd"/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  <w:r w:rsidRPr="00693732">
        <w:rPr>
          <w:color w:val="000000" w:themeColor="text1"/>
          <w:sz w:val="20"/>
          <w:szCs w:val="20"/>
        </w:rPr>
        <w:t xml:space="preserve"> </w:t>
      </w:r>
    </w:p>
    <w:p w14:paraId="2417BCC6" w14:textId="2A1D49E9" w:rsidR="00693732" w:rsidRPr="00101808" w:rsidRDefault="00693732" w:rsidP="00693732">
      <w:pPr>
        <w:pStyle w:val="ABNT"/>
        <w:jc w:val="right"/>
        <w:rPr>
          <w:b/>
          <w:color w:val="000000" w:themeColor="text1"/>
          <w:sz w:val="20"/>
        </w:rPr>
      </w:pPr>
      <w:r w:rsidRPr="00693732">
        <w:rPr>
          <w:color w:val="000000" w:themeColor="text1"/>
          <w:sz w:val="20"/>
          <w:szCs w:val="20"/>
        </w:rPr>
        <w:t>Ana Clara Fonseca Souza de Jesus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²</w:t>
      </w:r>
    </w:p>
    <w:p w14:paraId="564329E1" w14:textId="49DC38A3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>Isabella Coimbra de Souza Parahyba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69AA8ABB" w14:textId="5A91D733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>Julia Resende Silva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4E991AA6" w14:textId="2C836813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>Silvia Pereira Freire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62A02FAA" w14:textId="19E62557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>Sofia de Melo Ramos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36517309" w14:textId="6269FFCE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 xml:space="preserve">Adriano </w:t>
      </w:r>
      <w:proofErr w:type="spellStart"/>
      <w:r w:rsidRPr="00693732">
        <w:rPr>
          <w:color w:val="000000" w:themeColor="text1"/>
          <w:sz w:val="20"/>
          <w:szCs w:val="20"/>
        </w:rPr>
        <w:t>Lourençoni</w:t>
      </w:r>
      <w:proofErr w:type="spellEnd"/>
      <w:r w:rsidRPr="00693732">
        <w:rPr>
          <w:color w:val="000000" w:themeColor="text1"/>
          <w:sz w:val="20"/>
          <w:szCs w:val="20"/>
        </w:rPr>
        <w:t xml:space="preserve"> Freitas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6DB6F7C9" w14:textId="1DF42CDC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 xml:space="preserve">Déborah Maria </w:t>
      </w:r>
      <w:proofErr w:type="spellStart"/>
      <w:r w:rsidRPr="00693732">
        <w:rPr>
          <w:color w:val="000000" w:themeColor="text1"/>
          <w:sz w:val="20"/>
          <w:szCs w:val="20"/>
        </w:rPr>
        <w:t>Gonçales</w:t>
      </w:r>
      <w:proofErr w:type="spellEnd"/>
      <w:r w:rsidRPr="00693732">
        <w:rPr>
          <w:color w:val="000000" w:themeColor="text1"/>
          <w:sz w:val="20"/>
          <w:szCs w:val="20"/>
        </w:rPr>
        <w:t xml:space="preserve"> Ribeiro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1F4CB9DB" w14:textId="7EA2399F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 xml:space="preserve">Victor </w:t>
      </w:r>
      <w:proofErr w:type="spellStart"/>
      <w:r w:rsidRPr="00693732">
        <w:rPr>
          <w:color w:val="000000" w:themeColor="text1"/>
          <w:sz w:val="20"/>
          <w:szCs w:val="20"/>
        </w:rPr>
        <w:t>Grigorio</w:t>
      </w:r>
      <w:proofErr w:type="spellEnd"/>
      <w:r w:rsidRPr="00693732">
        <w:rPr>
          <w:color w:val="000000" w:themeColor="text1"/>
          <w:sz w:val="20"/>
          <w:szCs w:val="20"/>
        </w:rPr>
        <w:t xml:space="preserve"> Campos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5D82C652" w14:textId="5AC5B1B7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>Lucas Teixeira Campos Queir</w:t>
      </w:r>
      <w:r w:rsidR="000302EE">
        <w:rPr>
          <w:color w:val="000000" w:themeColor="text1"/>
          <w:sz w:val="20"/>
          <w:szCs w:val="20"/>
        </w:rPr>
        <w:t xml:space="preserve">oz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7CFF27BB" w14:textId="44E9D0FF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>Sara Correa Costa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63A41902" w14:textId="0F97C174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 xml:space="preserve">Sara Alice Gonçalves </w:t>
      </w:r>
      <w:proofErr w:type="spellStart"/>
      <w:r w:rsidRPr="00693732">
        <w:rPr>
          <w:color w:val="000000" w:themeColor="text1"/>
          <w:sz w:val="20"/>
          <w:szCs w:val="20"/>
        </w:rPr>
        <w:t>Ballesteros</w:t>
      </w:r>
      <w:proofErr w:type="spellEnd"/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2960471B" w14:textId="61B46889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>Maria Eduarda Soares Barbosa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</w:rPr>
        <w:t>¹</w:t>
      </w:r>
    </w:p>
    <w:p w14:paraId="6D94A76E" w14:textId="40A366C8" w:rsid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  <w:r w:rsidRPr="00693732">
        <w:rPr>
          <w:color w:val="000000" w:themeColor="text1"/>
          <w:sz w:val="20"/>
          <w:szCs w:val="20"/>
        </w:rPr>
        <w:t>Ana Beatriz Fonseca Souza de Jesus</w:t>
      </w:r>
      <w:r w:rsidR="000302EE">
        <w:rPr>
          <w:color w:val="000000" w:themeColor="text1"/>
          <w:sz w:val="20"/>
          <w:szCs w:val="20"/>
        </w:rPr>
        <w:t xml:space="preserve"> </w:t>
      </w:r>
      <w:r w:rsidR="000302EE"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588BBE1E" w14:textId="77777777" w:rsid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</w:p>
    <w:p w14:paraId="1123ECA5" w14:textId="611E868D" w:rsidR="00693732" w:rsidRPr="00101808" w:rsidRDefault="00693732" w:rsidP="006937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>Medicina</w:t>
      </w:r>
      <w:r w:rsidRPr="00101808">
        <w:rPr>
          <w:color w:val="000000" w:themeColor="text1"/>
          <w:sz w:val="20"/>
          <w:szCs w:val="20"/>
        </w:rPr>
        <w:t>, F</w:t>
      </w:r>
      <w:r>
        <w:rPr>
          <w:color w:val="000000" w:themeColor="text1"/>
          <w:sz w:val="20"/>
          <w:szCs w:val="20"/>
        </w:rPr>
        <w:t>aculdade de Ciências Médicas de Minas Gerais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Horizonte, Minas Gerais.</w:t>
      </w:r>
    </w:p>
    <w:p w14:paraId="2A3A3542" w14:textId="6C3538A4" w:rsidR="00693732" w:rsidRPr="00101808" w:rsidRDefault="00693732" w:rsidP="006937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</w:t>
      </w:r>
      <w:r>
        <w:rPr>
          <w:color w:val="000000" w:themeColor="text1"/>
          <w:sz w:val="20"/>
          <w:szCs w:val="20"/>
        </w:rPr>
        <w:t>M</w:t>
      </w:r>
      <w:r w:rsidR="000302EE">
        <w:rPr>
          <w:color w:val="000000" w:themeColor="text1"/>
          <w:sz w:val="20"/>
          <w:szCs w:val="20"/>
        </w:rPr>
        <w:t>é</w:t>
      </w:r>
      <w:r>
        <w:rPr>
          <w:color w:val="000000" w:themeColor="text1"/>
          <w:sz w:val="20"/>
          <w:szCs w:val="20"/>
        </w:rPr>
        <w:t>dic</w:t>
      </w:r>
      <w:r w:rsidR="000302EE">
        <w:rPr>
          <w:color w:val="000000" w:themeColor="text1"/>
          <w:sz w:val="20"/>
          <w:szCs w:val="20"/>
        </w:rPr>
        <w:t>a pela</w:t>
      </w:r>
      <w:r>
        <w:rPr>
          <w:color w:val="000000" w:themeColor="text1"/>
          <w:sz w:val="20"/>
          <w:szCs w:val="20"/>
        </w:rPr>
        <w:t xml:space="preserve"> Faculdade de Minas</w:t>
      </w:r>
      <w:r w:rsidRPr="00101808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Belo Horizonte, M</w:t>
      </w:r>
      <w:r>
        <w:rPr>
          <w:color w:val="000000" w:themeColor="text1"/>
          <w:sz w:val="20"/>
          <w:szCs w:val="20"/>
        </w:rPr>
        <w:t xml:space="preserve">inas </w:t>
      </w:r>
      <w:r>
        <w:rPr>
          <w:color w:val="000000" w:themeColor="text1"/>
          <w:sz w:val="20"/>
          <w:szCs w:val="20"/>
        </w:rPr>
        <w:t>G</w:t>
      </w:r>
      <w:r>
        <w:rPr>
          <w:color w:val="000000" w:themeColor="text1"/>
          <w:sz w:val="20"/>
          <w:szCs w:val="20"/>
        </w:rPr>
        <w:t>erais</w:t>
      </w:r>
      <w:r>
        <w:rPr>
          <w:color w:val="000000" w:themeColor="text1"/>
          <w:sz w:val="20"/>
          <w:szCs w:val="20"/>
        </w:rPr>
        <w:t>.</w:t>
      </w:r>
    </w:p>
    <w:p w14:paraId="5EF2ED0E" w14:textId="43749A1F" w:rsidR="00693732" w:rsidRPr="00101808" w:rsidRDefault="000302EE" w:rsidP="006937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="00693732">
        <w:rPr>
          <w:color w:val="000000" w:themeColor="text1"/>
          <w:sz w:val="20"/>
          <w:szCs w:val="20"/>
        </w:rPr>
        <w:t>Medicina</w:t>
      </w:r>
      <w:r w:rsidR="00693732" w:rsidRPr="00101808">
        <w:rPr>
          <w:color w:val="000000" w:themeColor="text1"/>
          <w:sz w:val="20"/>
          <w:szCs w:val="20"/>
        </w:rPr>
        <w:t xml:space="preserve">, </w:t>
      </w:r>
      <w:r w:rsidR="00693732">
        <w:rPr>
          <w:color w:val="000000" w:themeColor="text1"/>
          <w:sz w:val="20"/>
          <w:szCs w:val="20"/>
        </w:rPr>
        <w:t xml:space="preserve">Universidade Prof. Edson Antônio </w:t>
      </w:r>
      <w:proofErr w:type="spellStart"/>
      <w:r w:rsidR="00693732">
        <w:rPr>
          <w:color w:val="000000" w:themeColor="text1"/>
          <w:sz w:val="20"/>
          <w:szCs w:val="20"/>
        </w:rPr>
        <w:t>Velano</w:t>
      </w:r>
      <w:proofErr w:type="spellEnd"/>
      <w:r w:rsidR="00693732" w:rsidRPr="00101808">
        <w:rPr>
          <w:color w:val="000000" w:themeColor="text1"/>
          <w:sz w:val="20"/>
          <w:szCs w:val="20"/>
        </w:rPr>
        <w:t xml:space="preserve">, </w:t>
      </w:r>
      <w:r w:rsidR="00693732">
        <w:rPr>
          <w:color w:val="000000" w:themeColor="text1"/>
          <w:sz w:val="20"/>
          <w:szCs w:val="20"/>
        </w:rPr>
        <w:t>Belo Horizonte, M</w:t>
      </w:r>
      <w:r w:rsidR="00693732">
        <w:rPr>
          <w:color w:val="000000" w:themeColor="text1"/>
          <w:sz w:val="20"/>
          <w:szCs w:val="20"/>
        </w:rPr>
        <w:t xml:space="preserve">inas </w:t>
      </w:r>
      <w:r w:rsidR="00693732">
        <w:rPr>
          <w:color w:val="000000" w:themeColor="text1"/>
          <w:sz w:val="20"/>
          <w:szCs w:val="20"/>
        </w:rPr>
        <w:t>G</w:t>
      </w:r>
      <w:r w:rsidR="00693732">
        <w:rPr>
          <w:color w:val="000000" w:themeColor="text1"/>
          <w:sz w:val="20"/>
          <w:szCs w:val="20"/>
        </w:rPr>
        <w:t>erais</w:t>
      </w:r>
      <w:r w:rsidR="00693732">
        <w:rPr>
          <w:color w:val="000000" w:themeColor="text1"/>
          <w:sz w:val="20"/>
          <w:szCs w:val="20"/>
        </w:rPr>
        <w:t>.</w:t>
      </w:r>
    </w:p>
    <w:p w14:paraId="1619EB1D" w14:textId="287D1D03" w:rsidR="00693732" w:rsidRPr="00101808" w:rsidRDefault="00693732" w:rsidP="00693732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76114F81" w14:textId="77777777" w:rsidR="00693732" w:rsidRPr="00693732" w:rsidRDefault="00693732" w:rsidP="00693732">
      <w:pPr>
        <w:pStyle w:val="ABNT"/>
        <w:jc w:val="right"/>
        <w:rPr>
          <w:color w:val="000000" w:themeColor="text1"/>
          <w:sz w:val="20"/>
          <w:szCs w:val="20"/>
        </w:rPr>
      </w:pPr>
    </w:p>
    <w:p w14:paraId="123B46E4" w14:textId="4D2515D9" w:rsidR="0001003A" w:rsidRDefault="0096465C" w:rsidP="000100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01003A" w:rsidRPr="000100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Introdução:</w:t>
      </w:r>
      <w:r w:rsidR="0001003A" w:rsidRPr="0001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vitamina D é uma vitamina lipossolúvel essencial para a regulação da homeostase do cálcio e do fosfato, bem como do metabolismo ósseo. Sua forma inativa é sintetizada endogenamente pela pele durante a exposição aos raios ultravioleta. Vitamina D é também convertida enzimaticamente, em sua forma ativa, no fígado e rins, ou pode ser encontrada em alguns alimentos. </w:t>
      </w:r>
      <w:r w:rsidR="0001003A" w:rsidRPr="000100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="0001003A" w:rsidRPr="0001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Descrever a importância da vitamina D e como ela atua no organismo. Em adição, estudar o impacto de sua suplementação em diferentes grupos populacionais. </w:t>
      </w:r>
      <w:r w:rsidR="0001003A" w:rsidRPr="000100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Métodos:</w:t>
      </w:r>
      <w:r w:rsidR="0001003A" w:rsidRPr="0001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Realizou-se uma revisão narrativa, avaliando quali</w:t>
      </w:r>
      <w:r w:rsidR="0001003A">
        <w:rPr>
          <w:rFonts w:ascii="Times New Roman" w:hAnsi="Times New Roman" w:cs="Times New Roman"/>
          <w:color w:val="000000" w:themeColor="text1"/>
          <w:sz w:val="24"/>
          <w:szCs w:val="24"/>
        </w:rPr>
        <w:t>tativamente</w:t>
      </w:r>
      <w:r w:rsidR="0001003A" w:rsidRPr="0001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quantitativamente os artigos sobre vitamina D, hipovitaminose e sua suplementação.  </w:t>
      </w:r>
      <w:r w:rsidR="0001003A" w:rsidRPr="000100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 e discussão:</w:t>
      </w:r>
      <w:r w:rsidR="0001003A" w:rsidRPr="0001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Encontrou-se prevalência de deficiência de vitamina D, caracterizada por níveis séricos abaixo de 20ng/ml. Essa pode estar associada a distúrbios da absorção intestinal, insensibilidade no receptor final, patologias hepáticas e renais e ingestão </w:t>
      </w:r>
      <w:r w:rsidR="0001003A" w:rsidRPr="000100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ou exposição à luz solar insuficientes. Pacientes com deficiência prolongada e grave de vitamina D podem apresentar sintomas associados a dores ósseas, artralgias, mialgias, fadiga e fraqueza. Essa deficiência aumenta a chance de desenvolver doenças como raquitismo e osteoporose, com maior risco de fraturas. Assim, a suplementação, em pacientes com níveis inadequados, torna-se fundamental para o metabolismo e saúde. </w:t>
      </w:r>
      <w:r w:rsidR="0001003A" w:rsidRPr="000100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 w:rsidR="0001003A" w:rsidRPr="0001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Atualmente, </w:t>
      </w:r>
      <w:r w:rsidR="0001003A" w:rsidRPr="0001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faltam protocolos para a realização de suplementação, além daqueles que considerem possíveis intoxicações. Há a necessidade </w:t>
      </w:r>
      <w:r w:rsidR="0001003A">
        <w:rPr>
          <w:rFonts w:ascii="Times New Roman" w:hAnsi="Times New Roman" w:cs="Times New Roman"/>
          <w:color w:val="000000" w:themeColor="text1"/>
          <w:sz w:val="24"/>
          <w:szCs w:val="24"/>
        </w:rPr>
        <w:t>de obter</w:t>
      </w:r>
      <w:r w:rsidR="0001003A" w:rsidRPr="0001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conhecimento de uma análise prévia específica quanto à posologia administrada. Além disso, a suplementação deve ser considerada em todas as idades devido aos riscos associados à hipovitaminose para diabetes e doenças cardiovasculares.</w:t>
      </w:r>
    </w:p>
    <w:p w14:paraId="15EB87D8" w14:textId="77777777" w:rsidR="0001003A" w:rsidRDefault="0001003A" w:rsidP="000100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AD487C" w14:textId="1956099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="0001003A" w:rsidRPr="0001003A">
        <w:rPr>
          <w:color w:val="000000" w:themeColor="text1"/>
          <w:szCs w:val="24"/>
        </w:rPr>
        <w:t>Vitamina D, Deficiência de vitaminas, vitaminas lipossolúveis.</w:t>
      </w:r>
    </w:p>
    <w:p w14:paraId="31C29889" w14:textId="07F840CE" w:rsidR="0096465C" w:rsidRPr="0001003A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01003A">
        <w:rPr>
          <w:b/>
          <w:color w:val="000000" w:themeColor="text1"/>
          <w:szCs w:val="24"/>
        </w:rPr>
        <w:t xml:space="preserve"> </w:t>
      </w:r>
      <w:r w:rsidR="008E06A9">
        <w:rPr>
          <w:bCs/>
          <w:color w:val="000000" w:themeColor="text1"/>
          <w:szCs w:val="24"/>
        </w:rPr>
        <w:t>Clínica Médica</w:t>
      </w:r>
      <w:r w:rsidR="0001003A">
        <w:rPr>
          <w:bCs/>
          <w:color w:val="000000" w:themeColor="text1"/>
          <w:szCs w:val="24"/>
        </w:rPr>
        <w:t>.</w:t>
      </w:r>
    </w:p>
    <w:p w14:paraId="1162914B" w14:textId="1E9E9E4D" w:rsidR="0096465C" w:rsidRPr="0001003A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01003A">
        <w:rPr>
          <w:b/>
          <w:color w:val="000000" w:themeColor="text1"/>
          <w:szCs w:val="24"/>
        </w:rPr>
        <w:t xml:space="preserve"> </w:t>
      </w:r>
      <w:r w:rsidR="0001003A">
        <w:rPr>
          <w:bCs/>
          <w:color w:val="000000" w:themeColor="text1"/>
          <w:szCs w:val="24"/>
        </w:rPr>
        <w:t>sarahlouredos@gmail.com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3F64191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E23B7CF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B4F7756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¹Curso, Filiação Institucional, Cidade-Estado, E- mail.</w:t>
      </w:r>
    </w:p>
    <w:p w14:paraId="2B9E6F9E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²Curso, Filiação Institucional, Cidade-Estado, E- mail.</w:t>
      </w:r>
    </w:p>
    <w:p w14:paraId="782CC328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Pr="00101808">
        <w:rPr>
          <w:color w:val="000000" w:themeColor="text1"/>
          <w:sz w:val="20"/>
          <w:szCs w:val="20"/>
        </w:rPr>
        <w:t>Curso, Filiação Institucional, Cidade-Estado, E- mail.</w:t>
      </w:r>
    </w:p>
    <w:p w14:paraId="6847CFAA" w14:textId="77777777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3400B0FE" w14:textId="77777777" w:rsidR="0001003A" w:rsidRDefault="0001003A" w:rsidP="0001003A">
      <w:pPr>
        <w:spacing w:after="288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vitamina D tem importante função metabólica devido à sua inter-relação com a homeostase do cálcio e o metabolismo ósseo.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Ela participa da função muscular, da modulação da secreção de paratormônio (PTH), da funcionalidade das células ósseas, e da absorção intestinal do cálcio. Além disso, sugere-se que o funcionamento dos sistemas cardiovascular, neural e imune, inato e adaptativo, estão associados aos níveis séricos de vitamina D (MAEDA et al., 2014; CHRISTAKOS et al., 2010).</w:t>
      </w:r>
    </w:p>
    <w:p w14:paraId="1992DA31" w14:textId="77777777" w:rsidR="0001003A" w:rsidRDefault="0001003A" w:rsidP="0001003A">
      <w:pPr>
        <w:spacing w:after="288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obtenção mais eficiente dessa vitamina é relacionada à síntese dérmica, a partir 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7-desidrocolesterol após a exposição aos raios ultravioletas, complementarmente, ela pode ser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encontrada sob as formas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ergocalciferol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 vitamina D2. Através da alimentação com alimentos que sejam derivados de fungos e de fígado de peixes gordurosos, como também, alimentos fortificados, a vitamina encontra-se na forma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 vitamina D3. Entretanto, essas formas de obtenção disponibilizam metabólitos inativos da vitamina D, que ao serem convertidos nas formas ativas são chamados de 25-hidroxivitamina D (25[OH]D) e 1,25-dihidroxivitamina D (HOLICK et al., 2011).</w:t>
      </w:r>
    </w:p>
    <w:p w14:paraId="31C93C14" w14:textId="77777777" w:rsidR="0001003A" w:rsidRDefault="0001003A" w:rsidP="0001003A">
      <w:pPr>
        <w:spacing w:after="288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relação aos níveis séricos de vitamina D, adequados para o organismo humano, esses variam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entre 20 e 40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(50 a 100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nmol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sendo que níveis abaixo de 20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/ml (37,5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nmol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são caracterizados como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insuficientes, configurando assim, hipovitaminose. A hipovitaminose pode ser decorrente de quatro fatores: menor disponibilidade, distúrbio do metabolismo hepático, função renal comprometida, e insensibilidade do órgão final aos metabólitos da vitamina D. Nesse caso, a dose da suplementação varia de 400 a 50.000 UI (100 mcg = 4000 UI), a depender da condição patológica associada. Entretanto, é necessário o monitoramento dos pacientes, frente à possibilidade de intoxicação, posterior à suplementação, sendo sinais desta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hipercalciúria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hipercalcemia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(KUMAR, 1983; DIBBLE et al., 1984; COMPSTON, 1986; MORGAN, WEINSIER, 1998; VIETH, 2006)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 </w:t>
      </w:r>
    </w:p>
    <w:p w14:paraId="6D5DE7D8" w14:textId="37CE6AAD" w:rsidR="0096465C" w:rsidRPr="00D643F3" w:rsidRDefault="0001003A" w:rsidP="00D643F3">
      <w:pPr>
        <w:pStyle w:val="NormalWeb"/>
        <w:spacing w:before="0" w:beforeAutospacing="0" w:after="288" w:afterAutospacing="0" w:line="360" w:lineRule="auto"/>
        <w:ind w:right="40"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Assim, devido a importância dessa vitamina para a homeostasia de diferentes estruturas do organismo, os efeitos da hipovitaminose, as possibilidades de suplementação, e os efeitos da sua sobrecarga devem ser discutidos.</w:t>
      </w:r>
      <w:r>
        <w:rPr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 </w:t>
      </w:r>
      <w:r>
        <w:rPr>
          <w:color w:val="000000" w:themeColor="text1"/>
        </w:rPr>
        <w:t>Nesse contexto, esse artigo buscou descrever a importância da vitamina D, como ela atua em diversos sistemas do organismo e entender a suplementação dessa em diferentes grupos populacionais.</w:t>
      </w:r>
    </w:p>
    <w:p w14:paraId="46944C5E" w14:textId="7777777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2. MÉTODO OU METODOLOGIA </w:t>
      </w:r>
    </w:p>
    <w:p w14:paraId="2D2B526B" w14:textId="77777777" w:rsidR="00D643F3" w:rsidRDefault="00D643F3" w:rsidP="00D643F3">
      <w:pPr>
        <w:spacing w:after="288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Revisão narrativa que apresenta análise de documentos científicos de forma qualitativa e quantitativa. Para o desenvolvimento desse artigo foram utilizados como critérios de inclusão os seguintes itens: artigos em português e inglês, que abordavam a população geral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trabalhos publicados entre os anos de 2015 e 2020 e que apresentavam o assunto principal a partir dos descritores utilizados.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Excluiu-se artigos duplicados, publicações fora do recorte temporal, relatos e séries de casos, e artigos embasados em estudos com animais. Acrescentou-se manuais relevantes ao tema, sendo selecionados artigos originais e revisões. Foram analisados e interpretados ainda, informações acerca do metabolismo da vitamina D, desde a sua produção até a ação esperada nos diferentes sistemas do organismo humano.</w:t>
      </w:r>
    </w:p>
    <w:p w14:paraId="720596C1" w14:textId="48F95258" w:rsidR="00D643F3" w:rsidRDefault="00D643F3" w:rsidP="00D643F3">
      <w:pPr>
        <w:spacing w:after="288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buscas foram realizadas nas plataformas e bases de dados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BVS, SciELO,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LILACS,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UpToDate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Para tanto, utilizou-se os filtros “full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text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”;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”;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portuguese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”;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articles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2020” e os descritores disponíveis no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sendo eles: vitamina D e os sinônimos dessa em inglês; Deficiência de vitaminas; e Vitaminas Lipossolúveis. Adicionou-se, ainda, diretrizes brasileiras sobre o tema.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partir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descritores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foi  realizada  uma  busca  avançada  utilizando-se  operadores  booleanos  “AND” e “OR”.</w:t>
      </w:r>
    </w:p>
    <w:p w14:paraId="5B7559AE" w14:textId="77777777" w:rsidR="00D643F3" w:rsidRDefault="00D643F3" w:rsidP="00D643F3">
      <w:pPr>
        <w:spacing w:after="288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processo de triagem dos artigos foi feito pela leitura, respectivamente, dos títulos, dos resumos e do trabalho completo. Aqueles selecionados em sua completude foram interpretados de forma crítica, comparativa, objetiva e imparcial. Dessa forma, pode-se buscar esclarecimento sobre o que a literatura informa acerca do tratamento da hipovitaminose D, da suplementação e da toxicidade dessa vitamina.</w:t>
      </w:r>
    </w:p>
    <w:p w14:paraId="3FFE53E2" w14:textId="77777777" w:rsidR="00D643F3" w:rsidRDefault="00D643F3" w:rsidP="00D643F3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Nesta revisão, para a execução da pesquisa bibliográfica partiu-se das perguntas: “Qual a importância da vitamina D e como ela atua em diversos sistemas do organismo humano? e “Como é realizada a suplementação com essa vitamina em diferentes grupos populacionais?”. </w:t>
      </w:r>
    </w:p>
    <w:p w14:paraId="552FFDE0" w14:textId="1F6FF58F" w:rsidR="00D643F3" w:rsidRPr="00101808" w:rsidRDefault="00D643F3" w:rsidP="00D643F3">
      <w:pPr>
        <w:pStyle w:val="ABNT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Foram encontrados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pt-BR"/>
        </w:rPr>
        <w:t>um</w:t>
      </w:r>
      <w:r>
        <w:rPr>
          <w:rFonts w:eastAsia="Times New Roman" w:cs="Times New Roman"/>
          <w:color w:val="000000" w:themeColor="text1"/>
          <w:szCs w:val="24"/>
          <w:lang w:eastAsia="pt-BR"/>
        </w:rPr>
        <w:t>  total</w:t>
      </w:r>
      <w:proofErr w:type="gram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  de  8607  artigos,  destes </w:t>
      </w:r>
      <w:r>
        <w:rPr>
          <w:rFonts w:eastAsia="Times New Roman" w:cs="Times New Roman"/>
          <w:color w:val="000000" w:themeColor="text1"/>
          <w:szCs w:val="24"/>
          <w:shd w:val="clear" w:color="auto" w:fill="FFFFFF"/>
          <w:lang w:eastAsia="pt-BR"/>
        </w:rPr>
        <w:t> 5797</w:t>
      </w: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no 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pt-BR"/>
        </w:rPr>
        <w:t>Pubmed</w:t>
      </w:r>
      <w:proofErr w:type="spell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, </w:t>
      </w:r>
      <w:r>
        <w:rPr>
          <w:rFonts w:eastAsia="Times New Roman" w:cs="Times New Roman"/>
          <w:color w:val="000000" w:themeColor="text1"/>
          <w:szCs w:val="24"/>
          <w:shd w:val="clear" w:color="auto" w:fill="FFFFFF"/>
          <w:lang w:eastAsia="pt-BR"/>
        </w:rPr>
        <w:t>2331  na  BVS</w:t>
      </w: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, </w:t>
      </w:r>
      <w:r>
        <w:rPr>
          <w:rFonts w:eastAsia="Times New Roman" w:cs="Times New Roman"/>
          <w:color w:val="000000" w:themeColor="text1"/>
          <w:szCs w:val="24"/>
          <w:shd w:val="clear" w:color="auto" w:fill="FFFFFF"/>
          <w:lang w:eastAsia="pt-BR"/>
        </w:rPr>
        <w:t> 340</w:t>
      </w: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  no  SciELO, 62 no 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pt-BR"/>
        </w:rPr>
        <w:t>UpToDate</w:t>
      </w:r>
      <w:proofErr w:type="spell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e 77 no LILACS. Alguns artigos foram removidos antes da seleção, como: artigos duplicados (n=231), aplicação de critérios de inclusão e  exclusão após análise do título  (n=8327), aplicação de critérios de inclusão e </w:t>
      </w:r>
      <w:r>
        <w:rPr>
          <w:rFonts w:eastAsia="Times New Roman" w:cs="Times New Roman"/>
          <w:color w:val="000000" w:themeColor="text1"/>
          <w:szCs w:val="24"/>
          <w:lang w:eastAsia="pt-BR"/>
        </w:rPr>
        <w:lastRenderedPageBreak/>
        <w:t>exclusão após análise do resumo/abstract  (n=280), aplicação de critérios de inclusão e  exclusão após análise do artigo na íntegra  (n=57)  e documentos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removidos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por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outros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parâmetros  (n=48),  </w:t>
      </w:r>
      <w:r>
        <w:rPr>
          <w:rFonts w:eastAsia="Times New Roman" w:cs="Times New Roman"/>
          <w:color w:val="000000" w:themeColor="text1"/>
          <w:szCs w:val="24"/>
          <w:shd w:val="clear" w:color="auto" w:fill="FFFFFF"/>
          <w:lang w:eastAsia="pt-BR"/>
        </w:rPr>
        <w:t xml:space="preserve">sendo  estas,  artigos  de  editoriais, documentos  de  consensos,  </w:t>
      </w:r>
      <w:proofErr w:type="spellStart"/>
      <w:r>
        <w:rPr>
          <w:rFonts w:eastAsia="Times New Roman" w:cs="Times New Roman"/>
          <w:color w:val="000000" w:themeColor="text1"/>
          <w:szCs w:val="24"/>
          <w:shd w:val="clear" w:color="auto" w:fill="FFFFFF"/>
          <w:lang w:eastAsia="pt-BR"/>
        </w:rPr>
        <w:t>guidelines</w:t>
      </w:r>
      <w:proofErr w:type="spellEnd"/>
      <w:r>
        <w:rPr>
          <w:rFonts w:eastAsia="Times New Roman" w:cs="Times New Roman"/>
          <w:color w:val="000000" w:themeColor="text1"/>
          <w:szCs w:val="24"/>
          <w:shd w:val="clear" w:color="auto" w:fill="FFFFFF"/>
          <w:lang w:eastAsia="pt-BR"/>
        </w:rPr>
        <w:t>,  comentários,  estudos  com  metodologia  ausente  e  estudos  sem ligação  direta  com  a  pesquisa  que  foi  conduzida.</w:t>
      </w:r>
      <w:r>
        <w:rPr>
          <w:rFonts w:eastAsia="Times New Roman" w:cs="Times New Roman"/>
          <w:color w:val="000000" w:themeColor="text1"/>
          <w:szCs w:val="24"/>
          <w:lang w:eastAsia="pt-BR"/>
        </w:rPr>
        <w:t>  Para um artigo ser considerado como elegível para compor essa revisão foram utilizados apenas artigos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completos.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A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partir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de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todos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os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documentos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encontrados,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pt-BR"/>
        </w:rPr>
        <w:t>foram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Cs w:val="24"/>
          <w:lang w:eastAsia="pt-BR"/>
        </w:rPr>
        <w:t>selecionados </w:t>
      </w:r>
      <w:r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>
        <w:rPr>
          <w:rFonts w:eastAsia="Times New Roman" w:cs="Times New Roman"/>
          <w:color w:val="000000" w:themeColor="text1"/>
          <w:szCs w:val="24"/>
          <w:shd w:val="clear" w:color="auto" w:fill="FFFFFF"/>
          <w:lang w:eastAsia="pt-BR"/>
        </w:rPr>
        <w:t>14</w:t>
      </w:r>
      <w:proofErr w:type="gramEnd"/>
      <w:r>
        <w:rPr>
          <w:rFonts w:eastAsia="Times New Roman" w:cs="Times New Roman"/>
          <w:color w:val="000000" w:themeColor="text1"/>
          <w:szCs w:val="24"/>
          <w:lang w:eastAsia="pt-BR"/>
        </w:rPr>
        <w:t xml:space="preserve"> artigos considerados pertinentes  para  este  trabalho</w:t>
      </w:r>
      <w:r>
        <w:rPr>
          <w:rFonts w:eastAsia="Times New Roman" w:cs="Times New Roman"/>
          <w:color w:val="000000" w:themeColor="text1"/>
          <w:szCs w:val="24"/>
          <w:lang w:eastAsia="pt-BR"/>
        </w:rPr>
        <w:t>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C548487" w14:textId="77777777" w:rsidR="00D643F3" w:rsidRDefault="00D643F3" w:rsidP="00D643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3.1 Metabolismo da vitamina D</w:t>
      </w:r>
    </w:p>
    <w:p w14:paraId="116D0A02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Há duas formas de obtenção da vitamina D, a Vitamina D3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adquirida na dieta e/ou sintetizada pela derme, e a Vitamina D2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Ergocalciferol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adquirida somente através da ingestão de alimentos (figura 1). Ambas são biologicamente inativas, sendo diferenciadas por uma ligação dupla adicional e um grupo metil incorporados à cadeia lateral da vitamina D2. Portanto, precisam ser convertidas em metabólitos ativos (MAEDA et al., 2014). A formação da vitamina D3 ocorre após a exposição solar, na qual os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fótons ultravioleta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tipo B (UVB), penetram na pele e induzem a produção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pré-colecalciferol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por meio de fragmentações bioquímica 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7-deidrocolesterol (7-DHC)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Em seguida, há uma isomerização térmica, que converte esse intermediário no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é transportado para o fígado pela proteína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ligadora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vitamina D (DBP- do inglês,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vitamin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binding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protein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(MAEDA et al., 2014).</w:t>
      </w:r>
    </w:p>
    <w:p w14:paraId="1F25B5D6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Já a vitamina D2 é liberada no intestino e incorporada em quilomícrons e absorvida pelos enterócitos, sendo transferida para a circulação venosa onde é transportada em associação com lipoproteínas para o fígado (BROWN, 1999; CHRISTAKOS et al., 2010). No fígado, ambas as vitaminas D são metabolizadas e hidroxiladas na posição 25, pela enzima 25-hidroxilase, formando a 25-hidroxivitamina D2 e a 25-hidroxivitamina D3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25[OH]D,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calcidiol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vez formadas, ambas são ligadas a DBP, sendo deslocadas para a circulação sanguínea, e transportadas até os rins. Esse complexo DBP-25(OH)D penetra no túbulo renal por endocitose mediada por receptores, com ajuda de, no mínimo duas proteínas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cubilina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megalina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(NYKJAER et al., 1999; TAKEYAMA et al., 1997)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facilitarão a captação 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molécula. Dentro das células tubulares, a 25(OH)D é liberada da DBP e é hidroxilada novamente, pela ação das enzimas do sistema P450, a 1-alfa-hidroxilase (CYP27B1) e a 24-alfa-hidroxilase (CYP24), formando a 1,25-di-hidroxivitamina D (forma mais ativa da vitamina D) e a 24,25-di-hidroxivitamina D (metabólito inativo)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(VAN DRIEL et al., 2006).</w:t>
      </w:r>
    </w:p>
    <w:p w14:paraId="04BD94AF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Ressalta-se que a enzima CYP27B1 também pode ser expressa na pele, no trato gastrointestinal, nas células epiteliais mamárias, e nos osteoblastos e osteoclastos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HEWISON et al., 2007; PRENTICE et al., 2008)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sendo responsável por efeito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autócrino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parácrino local, contribuindo para a homeostase sistêmica da 1,25(OH)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(LIDA et al., 1995).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Faz-se necessário destacar que em caso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hiperestimulação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enzima CYP27B1 as manifestações são a hipercalcemia e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hipercalciúria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sendo essas recorrentes em pacientes com doenças granulomatosas, como sarcoidose, tuberculose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coccidioidomicose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14:paraId="77FDAB0D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1-alfa-hidroxilase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regulada, principalmente, pelas concentrações séricas de cálcio e fosfato, pelo PTH e pelo fator de crescimento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fibroblástico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 (FGF23) (VAN DRIEL et al., 2006; CHRISTAKOS et al., 2010). Esse último, por sua vez, diminui a produção renal de 1,25-di-hidroxivitamina D por inibição da enzima 1-alfa-hidroxilase e concomitantemente aumenta a produção de 24,25-di-hidroxivitamina D pela ativação da enzima 24-alfa-hidroxilase.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studos sugerem que o FGF23 também é estimulado pela 1,25-di-hidroxivitamina D e auxilia na homeostase do fosfato, diminuindo a reabsorção renal e gastrointestinal induzida pela 1,25-di-hidroxivitamina 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(VAN DRIEL et al., 2006; CHRISTAKOS et al., 2010; ZIEROLD et al., 1984).</w:t>
      </w:r>
    </w:p>
    <w:p w14:paraId="59981BBD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relação às concentrações de cálcio, fosfato e PTH, na ocorrência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hipofosfatemia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aumento da secreção de PTH devido à queda na concentração plasmática de cálcio, há estimulação da produção de 1,25-di-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hidroxivitamina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que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inibe a secreção de PTH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síntese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também pode ser modulada por receptores de vitamina D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VDRs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inglês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vitamin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receptors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na superfície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celular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pela própria 1,25(OH)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calcitriol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que desvia sua síntese para um metabólito inativo, a 24,25-di-hidroxivitamina D (ZIEROLD et al., 1998; HEWISON et al., 2007).</w:t>
      </w:r>
    </w:p>
    <w:p w14:paraId="6257885F" w14:textId="160F9791" w:rsidR="00D643F3" w:rsidRDefault="00D643F3" w:rsidP="00D643F3">
      <w:pPr>
        <w:spacing w:after="288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formas ativas da vitamina D circulantes no organismo,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25-hidroxivitamina D e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1,25-di-hidroxivitamina D, se ligam aos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VDRs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presentes em quase todas as células nucleadas, sendo os principais órgãos-alvo os ossos, os rins, o intestino e as paratireoides.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Após essa ligação dos metabólitos ativos da vitamina D ao receptor um complexo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heterodimérico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(RXR-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VDR) é formado e se liga às sequências específicas do DNA, conhecidas como elemento responsivo à vitamina D (VDRE), que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recruta complexos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corregulatórios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sua atividade genômica. Esse recrutamento permite a seletividade 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1,25-di-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hidroxivitamina D específica para genes e células.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outra via, essas formas ativas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podem ser degradadas pela 24-hydroxylase, que tem sua atividade aumentada pela 1,25-di-hidroxivitamina e diminuída pelo PTH, produzindo a 24,25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di-hidroxivitamina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(CHRISTAKOS et al., 2010; HOLICK et al., 2011)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14:paraId="53179B92" w14:textId="77777777" w:rsidR="00D643F3" w:rsidRDefault="00D643F3" w:rsidP="00D643F3">
      <w:pPr>
        <w:spacing w:after="120" w:line="360" w:lineRule="auto"/>
        <w:ind w:firstLine="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Figura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Metabolismo da vitamina D</w:t>
      </w:r>
    </w:p>
    <w:p w14:paraId="4BB821EE" w14:textId="77777777" w:rsidR="00D643F3" w:rsidRDefault="00D643F3" w:rsidP="00D643F3">
      <w:pPr>
        <w:spacing w:after="288" w:line="360" w:lineRule="auto"/>
        <w:ind w:left="83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1643D64" wp14:editId="0D940B62">
            <wp:extent cx="5440680" cy="4080510"/>
            <wp:effectExtent l="0" t="0" r="0" b="0"/>
            <wp:docPr id="408409908" name="Imagem 408409908" descr="C:\Users\AnaCl\AppData\Local\Microsoft\Windows\INetCache\Content.MSO\89D857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AnaCl\AppData\Local\Microsoft\Windows\INetCache\Content.MSO\89D8571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7648" cy="408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A84E5" w14:textId="77777777" w:rsidR="00D643F3" w:rsidRDefault="00D643F3" w:rsidP="00D643F3">
      <w:pPr>
        <w:spacing w:after="288" w:line="240" w:lineRule="auto"/>
        <w:ind w:left="83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Fonte: CHRISTAKOS et al., 2010</w:t>
      </w:r>
    </w:p>
    <w:p w14:paraId="32C93270" w14:textId="77777777" w:rsidR="00D643F3" w:rsidRDefault="00D643F3" w:rsidP="00D643F3">
      <w:pPr>
        <w:spacing w:after="120" w:line="360" w:lineRule="auto"/>
        <w:ind w:firstLine="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3.2 Deficiência da vitamina 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6BA0C63B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25(OH)D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calcidiol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ao ter as suas concentrações séricas determinadas é considerada a molécula utilizada para avaliar os níveis séricos de vitamina D. A partir dela é possível classificar os indivíduos de acordo com 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Endocrine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Society,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Osteoporosis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Foundation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(NOF),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Osteoporosis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Foundation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(IOF),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American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Geriatrics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Society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(AGS) em grupos que apresentam níveis adequados (&gt;30ng/ml; &gt;75nmol/L) ou deficientes (&lt;20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/ml; &lt;50nmol/L) (VIETH, 2006; DAWSON et al., 2010; American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Geriatrics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Society, 2014; EDDY, 1971). É importante ressaltar que a hipovitaminose D pode desencadear processos de hipocalcemia,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hipofosfatemia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raquitismo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osteomalacia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1E1B395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deficiência de vitamina D pode ser causada desde a baixa exposição à luz solar, insuficiente ingestão de alimentos que contêm vitamina D, distúrbios de absorção intestinal, insuficiência hepática ou renal, até a insensibilidade dos receptores finais (mesmo se a concentração sérica estiver adequada). A doença gastrointestinal subjacente à deficiência dessa vitamina é um fator recorrente em pacientes com má absorção, intestino curto por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colescitectomia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ou patologias associadas. Assim, pode-se ser necessário maior oferta de cálcio e vitamina D devido à má absorção gástrica generalizada, acidez gástrica diminuída, ou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esteatorréia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(NILAS et al., 1985; GERTNER et al., 1977; BISBALLE et al., 1991; VAZIRI, 1993).</w:t>
      </w:r>
    </w:p>
    <w:p w14:paraId="1AB30F35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 relação à fatores de risco associados a hipovitaminose, pesquisas sugerem maior prevalência em indivíduos de pele negra, obesos ou com baixos níveis de colesterol de alta densidade (HDL), sem educação universitária, baixo consumo de leite,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osteoporose, doenças inflamatórias intestinais, e doença celíaca (KOUTKIA et al.,2001; STUHSDREHER, 2011; MAEDA et al., 2014; FORREST). Países menos desenvolvidos também costumam apresentar populações com níveis séricos menores dessa vitamina, possivelmente pela inexistência de políticas nacionais de enriquecimento de alimentos com a vitamina D. </w:t>
      </w:r>
    </w:p>
    <w:p w14:paraId="625B20F2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Já a deficiência de BPG não costuma ser relacionada à hipovitaminose D, porque essa proteína possui somente 3-5% dos seus receptores ocupados pela vitamina D. Assim, a interferência no metabolismo da vitamina D ocorre apenas quando há excreção da DBP na urina devido a patologias renais como a síndrome nefrótica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FORREST; STUHSDREHER, 2011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Duas proteínas associadas a hipovitaminose D são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cubilina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megalina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expressas no túbulo renal onde há a filtração do complexo DBP com a vitamina D 25(OH)D. Elas agem como receptores aumentando a captação de ligantes extracelulares à 25(OH)D e, quando há déficit, ocorre aumento da excreção dessa molécula.</w:t>
      </w:r>
    </w:p>
    <w:p w14:paraId="5D0BC2B2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outra abordagem, os níveis baixos de vitamina D podem estar associados com acloridria e má absorção de cálcio e fósforo. Esse contexto metabólico colabora com o início de um quadro de hipocalcemia e possível evolução para hiperparatireoidismo secundário,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sendo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esse diretamente relacionado com condições como: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osteomalacia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fosfatúria, raquitismo (mais comum em crianças)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desmineralização óssea. 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osteomalacia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patologia mais comumente relacionada com a modulação aumentada da secreção de PTH e a absorção intestinal de cálcio, há interferência no metabolismo da vitamina D. Adultos que apresentam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osteomalacia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intestinal por distúrbios de absorção, como ocorre na doença celíaca, na nutrição inadequada ou em pouca exposição à luz solar, geralmente apresentam níveis menores do que 10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/ml [25nmol/L] de vitamina D, o que evidencia a hipovitaminose associada a essa doença. Nesse contexto clínico, os sintomas percebidos são sensibilidade e dor óssea, fraqueza muscular, e esforço físico reduzido (BHAMBRI et al., 2006; ROSTAND SG, 1997; PILZ, 2008).</w:t>
      </w:r>
    </w:p>
    <w:p w14:paraId="27391E40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Apesar das evidências encontradas até o momento serem insuficientes, um estudo observacional demonstrou a relação entre a deficiência da vitamina D, como fator de risco para doenças cardiovasculares, quando associadas a pacientes negros, com baixo nível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calcitriol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por ativação de genes que produzem renina, divisão de células musculares cardíacas e regulação negativa da proteína C reativa (FORREST; STUHSDREHER, 2011). Complementarmente, outro trabalho faz a associação de hipovitaminose D e doença arterial coronariana relacionadas a metade das mortes por acidente vascular cerebral (KRISHNAN et al., 2011).</w:t>
      </w:r>
    </w:p>
    <w:p w14:paraId="554A5331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deficiência de vitamina D também foi associada a mortes por neoplasias, sendo o risco maior em regiões com menor incidência de luz solar. Sugere-se que a baixa concentração da vitamina faz o tecido ter maior propensão a efeitos carcinogênicos devido à ação da enzima 1,25(OH)D que ao se ligar ao VDR interfere na proliferação, diferenciação, apoptose e angiogênese das células e tecidos. Logo, se houver uma deficiência da enzima 25(OH)D, a produção parácrina de 1,25(OH)2 D3 diminui, interferindo na ligação ao receptor o que altera a transcrição. Estudos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 vitro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indicam ainda, que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medida que o câncer progride a enzima 1α-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hidroxilase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(CYP27B1) e o receptor da vitamina D diminuem e aumenta a enzima 24-hidroxilase (CYP24A1) que é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inativadora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sua forma ativa, 1,25(OH)2 (HEWISON, 2011). </w:t>
      </w:r>
    </w:p>
    <w:p w14:paraId="1F6665C1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Outro fator que merece destaque é a ocorrência de doenças autoimunes e sua relação com a deficiência de vitamina D. Um trabalho demonstrou diversos efeitos desta vitamina em quase toda totalidade das células do sistema imune. O VDR presente nos linfócitos T e B e em células apresentadoras de antígenos, como macrófagos e células dendríticas, interage com a vitamina D para formar o complexo VDR-vitamina D que tem a capacidade de modificar reações do sistema imune inato e adaptativo. A vitamina D ativa o sistema imunológico inato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através de monócitos e macrófagos, por meio de uma regulação positiva da expressão do VDR e da enzima 1-alfa-hidroxilase. Um estudo realizado em pacientes com tuberculose demonstrou o efeito antimicrobiano da enzima 1,25(OH)2 D3 por meio da estimulação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catelicidina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proteína que age na destruição de agentes patológicos (VISWESWARAN; LEKHA, 2013). Evidências epidemiológicas indicaram que a falta de vitamina D pode aumentar os riscos de desenvolver doenças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auto-imunes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como a esclerose múltipla, pois essa vitamina interage com as proteínas do Complexo Principal de Histocompatibilidade (MHC - da inglês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Major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Histocompatibility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Complex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de classe II e interfere 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apresentação de peptídeos aos Linfócitos T para que a resposta imune ocorra (HEWISON, 2003; LEE et al., 2011).</w:t>
      </w:r>
    </w:p>
    <w:p w14:paraId="365A669E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importante apontar que os níveis de vitamina D diminuem com a idade, no inverno e em países localizados mais distantes da linha do Equador, devido à menor exposição à luz solar. Assim, o envelhecimento associado a essa deficiência e ao aumento de PTH pode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ocasionar um declínio cognitivo e chances para desenvolvimento da Doença de Alzheimer e depressão, pois o receptor VDR e a enzima 1-alfa-hidroxilase são expressos em diversas regiões do sistema nervoso central (HOLICK 2004; BALION et al., 2012; ANGLIN et al, 2013).</w:t>
      </w:r>
    </w:p>
    <w:p w14:paraId="451F9C81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maior ocorrência de obesidade também foi relacionada à falta de vitamina D. A deficiência dessa vitamina pode aumentar o depósito de ácidos graxos no tecido adiposo por meio de mecanismos de regulação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 apoptose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adipócitos pela 1,25(OH)2D3 (ELAMIN et al., 2010; FISCELLA; FRANKER 2010; SONG; SERGEEV 2012). Dificultando a resolução da situação, sabe-se que as doses necessárias para repor a vitamina nesses pacientes são maiores comparadas a não obesos. Contudo, ainda não há comprovação da eficácia da suplementação no tratamento da obesidade em humanos (DANESCU et al, 2009).</w:t>
      </w:r>
    </w:p>
    <w:p w14:paraId="68C3EA49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Outra associação comumente feita é da insuficiência da vitamina D com o diabetes mellitus dos tipos I e II, que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relaciona-se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a patogênese do processo inflamatório, a influência do sistema imune e o controle dessa patologia. Estudos apontam que a insuficiência de vitamina D e cálcio influencia na glicemia e reduz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insulinite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auto-imune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diabete mellitus I (DM1) por ação na supressão da síntese e secreção de imunoglobulinas, inibição da formação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IFN-y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IL-2 e a maturação de células dendríticas que podem culminar na destruição de ilhotas pancreáticas por ativar macrófagos e células T citotóxicas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PITTAS et al., 2007)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Além do citado, a diminuição da resistência insulínica e o aumento da secreção são moduladas pelo sistema imune e processos inflamatórios associados a falta de vitamina D, principalmente 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pacientes obesos, e atua diretamente na diabete mellitus II (DM2) por um aumento da proteína C reativa, fatores de necrose tumoral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α e β e fatores ativados por plasminogênio (INSTITUTE OF MEDICINE, 2010).</w:t>
      </w:r>
    </w:p>
    <w:p w14:paraId="3EFFE22A" w14:textId="77777777" w:rsidR="00D643F3" w:rsidRDefault="00D643F3" w:rsidP="00D64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943175" w14:textId="77777777" w:rsidR="00D643F3" w:rsidRDefault="00D643F3" w:rsidP="00D643F3">
      <w:pPr>
        <w:spacing w:after="120" w:line="360" w:lineRule="auto"/>
        <w:ind w:firstLine="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3.3 Recomendação e Suplementação</w:t>
      </w:r>
    </w:p>
    <w:p w14:paraId="453A4B4B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recomendação diária de vitamina D é de 600UI (15mcg) por dia para crianças e adolescentes de 1 a 18 anos e para adultos de até 70 anos. Para idosos acima de 70 anos, a recomendação diária passa a ser de 800 UI (20mcg)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COSMAN (2014)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devido a menor exposição solar e menor síntese de vitamina D3 pela derme, além de um maior risco de quedas e lesões ósseas (BASHA et al., 2000; HADDAD, 1994). No caso de gestantes e lactantes, a ingestão diária recomendada também é de 600UI por dia, e para bebês de até doze meses a recomendação é de 400UI (10mcg) por dia; desde que eles sejam exclusivamente amamentados pelo leite materno devido à baixa quantidade de vitamina D no leite humano (Quadro 1).</w:t>
      </w:r>
    </w:p>
    <w:p w14:paraId="68674466" w14:textId="77777777" w:rsidR="00D643F3" w:rsidRDefault="00D643F3" w:rsidP="00D64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B7FA2F" w14:textId="77777777" w:rsidR="00D643F3" w:rsidRDefault="00D643F3" w:rsidP="00D643F3">
      <w:pPr>
        <w:spacing w:after="0" w:line="360" w:lineRule="auto"/>
        <w:ind w:right="40" w:firstLine="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Quadro 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Recomendações de suplementação da vitamina 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2465"/>
        <w:gridCol w:w="1888"/>
      </w:tblGrid>
      <w:tr w:rsidR="00D643F3" w:rsidRPr="00D643F3" w14:paraId="42ED2174" w14:textId="77777777" w:rsidTr="007B2334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5C3F4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Grupo de 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B2A2E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Recomendação diária (UI)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DE594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Limite Seguro (UI)</w:t>
            </w:r>
          </w:p>
        </w:tc>
      </w:tr>
      <w:tr w:rsidR="00D643F3" w:rsidRPr="00D643F3" w14:paraId="1E81ED39" w14:textId="77777777" w:rsidTr="007B2334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92BF2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 a 12 meses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79D5C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C9FF8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4000</w:t>
            </w:r>
          </w:p>
        </w:tc>
      </w:tr>
      <w:tr w:rsidR="00D643F3" w14:paraId="37BFC660" w14:textId="77777777" w:rsidTr="007B2334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66E68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 a 18 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68FA8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71EDE3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4000</w:t>
            </w:r>
          </w:p>
        </w:tc>
      </w:tr>
      <w:tr w:rsidR="00D643F3" w14:paraId="59083B6C" w14:textId="77777777" w:rsidTr="007B2334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2A3175" w14:textId="77777777" w:rsidR="00D643F3" w:rsidRPr="00D643F3" w:rsidRDefault="00D643F3" w:rsidP="007B2334">
            <w:pPr>
              <w:spacing w:after="0" w:line="360" w:lineRule="auto"/>
              <w:ind w:left="83" w:right="40" w:hanging="6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 a 70 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83484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36BB7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4000</w:t>
            </w:r>
          </w:p>
        </w:tc>
      </w:tr>
      <w:tr w:rsidR="00D643F3" w14:paraId="442F92E7" w14:textId="77777777" w:rsidTr="007B2334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C8676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&gt;70 anos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F29BE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145CD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4000</w:t>
            </w:r>
          </w:p>
        </w:tc>
      </w:tr>
      <w:tr w:rsidR="00D643F3" w14:paraId="5C5B54F1" w14:textId="77777777" w:rsidTr="007B2334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3820E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Gestantes e lactantes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140A2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594FE8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4000</w:t>
            </w:r>
          </w:p>
        </w:tc>
      </w:tr>
      <w:tr w:rsidR="00D643F3" w14:paraId="38888A3B" w14:textId="77777777" w:rsidTr="007B2334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67D7D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População de risco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8F961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1000-2000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3D754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43F3" w14:paraId="75531274" w14:textId="77777777" w:rsidTr="007B2334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BD5AB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Osteoporose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0F1F6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1000-2000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F5957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43F3" w14:paraId="29F72394" w14:textId="77777777" w:rsidTr="007B2334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7E0A8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Após cirurgia bariátrica*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251E4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1000-6000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C6EE4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D643F3" w14:paraId="1B0968FB" w14:textId="77777777" w:rsidTr="007B2334">
        <w:trPr>
          <w:trHeight w:val="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CBD42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Pacientes com problemas renais ou hepáticos**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5544F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1000-50000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0318B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14:paraId="530D2399" w14:textId="77777777" w:rsidR="00D643F3" w:rsidRDefault="00D643F3" w:rsidP="00D643F3">
      <w:pPr>
        <w:spacing w:after="0" w:line="360" w:lineRule="auto"/>
        <w:ind w:right="40" w:firstLine="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Fonte: quadro adaptado a partir das referências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MAEDA et al.,2014 e HOLICK, 2007)</w:t>
      </w:r>
    </w:p>
    <w:p w14:paraId="3A1B8A2F" w14:textId="77777777" w:rsidR="00D643F3" w:rsidRDefault="00D643F3" w:rsidP="00D643F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(*) A avaliação dos níveis séricos de 25(OH)D é necessária para escolha da dose adequada. </w:t>
      </w:r>
    </w:p>
    <w:p w14:paraId="4D91129A" w14:textId="77777777" w:rsidR="00D643F3" w:rsidRDefault="00D643F3" w:rsidP="00D643F3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(**) Quantidades referentes às doses de ataque devem ser escolhidas de acordo com os níveis séricos de 25(OH)D, e devem ser reavaliadas ao final de cada ciclo.</w:t>
      </w:r>
    </w:p>
    <w:p w14:paraId="51837C81" w14:textId="77777777" w:rsidR="00D643F3" w:rsidRDefault="00D643F3" w:rsidP="00D64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4C438B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exposição, com frequência moderada à luz do sol fornece quantidades adequadas da vitamina D, sendo estimado que uma breve exposição seja equivalente a produção de 200 UI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por dia (HOLICK, 1994)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Entretanto, para evitar raquitismo e problemas ósseos, assim como em pacientes residentes em países onde a incidência de luz solar é menor, e em pessoas com maior quantidade de melanina podem sofrer com deficiência de vitamina D, mesmo em extensa exposição a raios UV ROSS et al. (2011), havendo a necessidade de fazer a suplementação desses pacientes. Em complemento a luz solar, alguns alimentos também contêm quantidades significativas de vitamina D, e podem substituir a necessidade suplementar quando consumidos costumeiramente (Quadro 2).</w:t>
      </w:r>
    </w:p>
    <w:p w14:paraId="54C80DCD" w14:textId="77777777" w:rsidR="00D643F3" w:rsidRDefault="00D643F3" w:rsidP="00D643F3">
      <w:pPr>
        <w:spacing w:after="120" w:line="360" w:lineRule="auto"/>
        <w:ind w:left="83" w:right="40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Quadro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Alimentos que contém vitamina 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905"/>
        <w:gridCol w:w="3026"/>
      </w:tblGrid>
      <w:tr w:rsidR="00D643F3" w:rsidRPr="00D643F3" w14:paraId="2485549B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6574E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FF90A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Porção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1ED32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Vitamina D em cada porção (u.i.)</w:t>
            </w:r>
          </w:p>
        </w:tc>
      </w:tr>
      <w:tr w:rsidR="00D643F3" w:rsidRPr="00D643F3" w14:paraId="0A3E1EAB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B960D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Óleo de fígado de bacalhau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83F1A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E97BC6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~400-1000</w:t>
            </w:r>
          </w:p>
        </w:tc>
      </w:tr>
      <w:tr w:rsidR="00D643F3" w:rsidRPr="00D643F3" w14:paraId="542078C0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B4165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Salmão selvagem fresco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866CD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CBFA3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~600-1000</w:t>
            </w:r>
          </w:p>
        </w:tc>
      </w:tr>
      <w:tr w:rsidR="00D643F3" w:rsidRPr="00D643F3" w14:paraId="02C41534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541DA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Salmão enlatado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7C3BD0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F5887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~300-600</w:t>
            </w:r>
          </w:p>
        </w:tc>
      </w:tr>
      <w:tr w:rsidR="00D643F3" w:rsidRPr="00D643F3" w14:paraId="64019B76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E1D6B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Atum enlatado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6B6E30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EE987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~230</w:t>
            </w:r>
          </w:p>
        </w:tc>
      </w:tr>
      <w:tr w:rsidR="00D643F3" w:rsidRPr="00D643F3" w14:paraId="51B16E65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5D948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Sardinha enlatada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D69B5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D3AB1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~290</w:t>
            </w:r>
          </w:p>
        </w:tc>
      </w:tr>
      <w:tr w:rsidR="00D643F3" w:rsidRPr="00D643F3" w14:paraId="2234E9A4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4E738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Gema de ovo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7109B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4EC2B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~52</w:t>
            </w:r>
          </w:p>
        </w:tc>
      </w:tr>
      <w:tr w:rsidR="00D643F3" w:rsidRPr="00D643F3" w14:paraId="4F510B2C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F3FF02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Iorgutes</w:t>
            </w:r>
            <w:proofErr w:type="spellEnd"/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fortificados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AE60A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7E033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~100</w:t>
            </w:r>
          </w:p>
        </w:tc>
      </w:tr>
      <w:tr w:rsidR="00D643F3" w:rsidRPr="00D643F3" w14:paraId="3495124E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6808E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Leite fortificado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EC52B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200 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EC694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~98</w:t>
            </w:r>
          </w:p>
        </w:tc>
      </w:tr>
      <w:tr w:rsidR="00D643F3" w:rsidRPr="00D643F3" w14:paraId="70446590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BFB73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Queijos fortificados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A3EB2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E41D49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~120</w:t>
            </w:r>
          </w:p>
        </w:tc>
      </w:tr>
      <w:tr w:rsidR="00D643F3" w:rsidRPr="00D643F3" w14:paraId="3819395D" w14:textId="77777777" w:rsidTr="007B23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942AC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Cogumelos </w:t>
            </w:r>
            <w:proofErr w:type="spellStart"/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Shiitake</w:t>
            </w:r>
            <w:proofErr w:type="spellEnd"/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frescos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F6F9E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100 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9BD8B" w14:textId="77777777" w:rsidR="00D643F3" w:rsidRPr="00D643F3" w:rsidRDefault="00D643F3" w:rsidP="007B2334">
            <w:pPr>
              <w:spacing w:after="0" w:line="360" w:lineRule="auto"/>
              <w:ind w:left="83" w:right="40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3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~100</w:t>
            </w:r>
          </w:p>
        </w:tc>
      </w:tr>
    </w:tbl>
    <w:p w14:paraId="3ABA83A5" w14:textId="77777777" w:rsidR="00D643F3" w:rsidRDefault="00D643F3" w:rsidP="00D643F3">
      <w:pPr>
        <w:spacing w:after="0" w:line="360" w:lineRule="auto"/>
        <w:ind w:left="83"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Fonte: quadro adaptado da referência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(HOLICK, 2007).</w:t>
      </w:r>
    </w:p>
    <w:p w14:paraId="20592922" w14:textId="77777777" w:rsidR="00D643F3" w:rsidRDefault="00D643F3" w:rsidP="00D643F3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8BCF2D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 situação necessária de suplementação, pacientes que apresentam níveis séricos da vitamina D acima de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/ml, quando feita a suplementação, tem um aumento acentuado de 25(OH)D, cerca de 0,5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/ml para 100 UI. Já os pacientes que possuem níveis inferiores a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/ml [25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nmol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/L] possuem um aumento de 25(OH)D de 1,0 a 1,5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/ml para cada 100 UI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suplementação.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relação entre a concentração de vitamina D com a saúde extra esquelética não demonstrou resultados significativos, até o momento, sem nível de evidência suficiente para recomendar a suplementação para melhoria do sistema cardiovascular e sistema imunológico, controle do diabetes, e prevenção de câncer (INSTITUTE OF MEDICINE, 1997). Portanto, a ingestão diária recomendada (IDR) é baseada apenas nos efeitos benéficos da vitamina D na saúde do sistema esquelético (Quadro 1).</w:t>
      </w:r>
    </w:p>
    <w:p w14:paraId="6997B24F" w14:textId="77777777" w:rsidR="00D643F3" w:rsidRDefault="00D643F3" w:rsidP="00D64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A06D0B" w14:textId="77777777" w:rsidR="00D643F3" w:rsidRDefault="00D643F3" w:rsidP="00D643F3">
      <w:pPr>
        <w:spacing w:after="120" w:line="360" w:lineRule="auto"/>
        <w:ind w:right="4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 importante evidenciar que o melhor parâmetro para avaliar a deficiência dessa vitamina é a concentração sérica de 25(OH)D ARMAS et al. (2004)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sendo a suplementação feita por uso de medicamentos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base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ergocalciferol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(vitamina D2)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colecalciferol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(vitamina D3). As pesquisas indicam que a vitamina D3 é mais eficaz para aumentar os níveis séricos, possivelmente pela maior afinidade à proteína VDR e maior meia-vida comparada a vitamina D2 (TRANG et al., 1998; INSTITUTE OF MEDICINE, 2010). Complementarmente, destaca-se que o limite seguro de vitamina D estabelecido pelo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Institute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Medicine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de 4000UI (100mcg) (JACOBUS, 1992). Entretanto pacientes com distúrbios de absorção, problemas renais ou hepáticos, ou insensibilidade no órgão final podem requerer uma quantidade maior de suplementação, podendo chegar a 40.000 ou 50.000 UI em alguns casos. A suplementação com a vitamina D nesses casos, é feita através de doses de ataque por ciclo de tempo (período pré-determinado de tempo para reavaliação dos níveis de 25(OH)D), seguido por doses de manutenção que variam de acordo com os níveis séricos encontrados em cada indivíduo. Ademais, é importante observar os a quantidade de Vitamina D em cada alimento (Quadro 2) e incentivar a ingesta desses por populações deficientes, principalmente se não adesão ao uso de medicamentos inicialmente.</w:t>
      </w:r>
    </w:p>
    <w:p w14:paraId="548431DC" w14:textId="77777777" w:rsidR="00D643F3" w:rsidRDefault="00D643F3" w:rsidP="00D643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Intoxicação</w:t>
      </w:r>
    </w:p>
    <w:p w14:paraId="6E79B04B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intoxicação pela vitamina não é comumente relatada e, quando ocorre é geralmente por um preparo inadequado de vitamina D (leites excessivamente fortificados foram relatados em pesquisas)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VOGIATZI (2014); HOLICK (2003)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ou pelo uso excessivo de suplementos à base de vitamina D. Pacientes que estão fazendo terapia de reposição devido a uma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osteodistrofia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renal, osteoporose, psoríase ou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má absorção, podem requerer altas doses de vitamina D (10.000 a 50.000 UI por dia), e por isso precisam ser monitorados cuidadosamente para evitar uma possível toxicidade, havendo relatos na literatura de intoxicação em adultos que ingeriram mais de 60.000 unidades por dia (MORGAN, WEINSIER, 1998).</w:t>
      </w:r>
    </w:p>
    <w:p w14:paraId="4D6D1240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exposição prolongada à luz solar não produz quantidades tóxicas de vitamina D3, pois os níveis séricos de 25[OH]D não se elevam muito nessa condição. Como há regulação negativa pela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fotoconversão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-vitamina D3 e vitamina D3 em metabólitos inativos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estimulação da produção de melanina pela luz solar que também regula negativamente a vitamina, não há produção exagerada de vitamina D. (HOLICK,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1981 ;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ZIEROLD, 2003)</w:t>
      </w:r>
    </w:p>
    <w:p w14:paraId="6C61F564" w14:textId="77777777" w:rsid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Somado a isso, quando os níveis séricos da vitamina estão elevados, a 25(OH)D é convertida em metabólitos inativos através 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hidroxilação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 carbonos 23 ou 24 pela 24-hidroxilase (CYP24A1). A CYP24A1 é uma enzima mitocondrial pertencente ao complexo do citocromo P450 que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tem como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produto final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 principais metabólitos eliminados pela bile, o ácido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calcitroico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 1,25(OH)2D-lactona. Porém, sua ação não é suficiente quando a ingestão de vitamina D é muito elevada.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WORTSMAN et al., 2000)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Sendo assim, em casos de consumo excessivo de vitamina D, o armazenamento no fígado não ocorre e há acúmulo no tecido adiposo,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BOUILLON (2001)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posteriormente aumentando os níveis séricos de 25(OH)D,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HEWISON, (2011)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devido à eliminação da vitamina no sangue, o que caracteriza a intoxicação.</w:t>
      </w:r>
    </w:p>
    <w:p w14:paraId="1FC4CE00" w14:textId="5E41613D" w:rsidR="00481E55" w:rsidRPr="00D643F3" w:rsidRDefault="00D643F3" w:rsidP="00D643F3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intoxicação aguda de vitamina D reflete na hipercalcemia, e os sintomas mais comuns são poliúria, fraqueza muscular, polidipsia, anorexia e confusão mental. Quando a intoxicação persiste e se torna crônica, quadros de desmineralização óssea 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nefrocalcinose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podem ser iniciados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VIETH, 2004;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Holick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2007)</w:t>
      </w: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1EAFFAC9" w14:textId="77777777" w:rsidR="00D643F3" w:rsidRDefault="00D643F3" w:rsidP="00D643F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síntese dérmica e os alimentos fortalecidos com a vitamina D são as principais fontes dessa vitamina, pois os alimentos que a contém são naturalmente escassos. A dose diária recomendada é de 600 UI para a maioria da população e é suficiente para manutenção da saúde óssea. O valor ideal visando benefícios ósseos é de 30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[75nmol/L], com manutenção entre 1000 e 2000 UI, para evitar patologias como hiperparatireoidismo secundário, diminuir o risco de fraturas e melhorar a qualidade óssea. Relacionando os benefícios extra esqueléticos com os níveis adequados de vitamina D, as pesquisas existentes não demonstram comprovação para este fim, sendo necessários mais estudos para confirmar a eficácia dessa vitamina em outros sistemas.</w:t>
      </w:r>
    </w:p>
    <w:p w14:paraId="6034C1A4" w14:textId="77777777" w:rsidR="00D643F3" w:rsidRDefault="00D643F3" w:rsidP="00D643F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hipovitaminose D é causada por uma dieta com baixa ingestão de vitamina D, exposição baixa a luz solar, má absorção intestinal ou deficiência no processo do metabolismo que converte a vitamina D no metabólito fisiologicamente ativo e de possível absorção pelo corpo.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melhor forma de suplementação e tratamento para a hipovitaminose D é através da vitamina D3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Colecalciferol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sintetizada por meio do 7-desidrocolesterol durante exposição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solar, após esse processo ela é hidroxilada no fígado e no rim que a converte em sua forma ativa, 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1,25-di-hidroxicolecalciferol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calcitriol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 </w:t>
      </w:r>
    </w:p>
    <w:p w14:paraId="62F59B80" w14:textId="77777777" w:rsidR="00D643F3" w:rsidRDefault="00D643F3" w:rsidP="00D643F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casos de intoxicação por esta vitamina não são comumente reportados, e por isso precisam ser mais bem elucidados, mas o que se sabe é que pode ocorrer por uma suplementação inadequada ou por uma preparação incorreta de alimentos enriquecidos com 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colecalciferol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Em pacientes que fazem terapia de reposição com a vitamina D, os níveis séricos devem ser monitorados para evitar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hipervitaminose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sintomas agudos e crônicos como confusão mental, náuseas, hipercalcêmica, dor óssea e desmineralização.   </w:t>
      </w:r>
    </w:p>
    <w:p w14:paraId="035B5F10" w14:textId="09BACC6F" w:rsidR="00D643F3" w:rsidRDefault="00D643F3" w:rsidP="00D643F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Apesar de haver um consenso acerca das concentrações sanguíneas adequadas para o organismo, sua relação com a suplementação e os possíveis agravos à saúde, é necessário ainda uma análise ampla e segura para discutir melhor os efeitos patológicos desse hormônio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esteroide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revisar suas concentrações consideradas adequadas, os benefícios ósseos e os demais sistemas favorecidos por essa vitamina.</w:t>
      </w:r>
    </w:p>
    <w:p w14:paraId="1CCFF00E" w14:textId="77777777" w:rsidR="00481E55" w:rsidRPr="00101808" w:rsidRDefault="00481E55" w:rsidP="00D643F3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70390EFE" w14:textId="77777777" w:rsidR="00481E55" w:rsidRPr="00101808" w:rsidRDefault="00481E55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3B2A99CE" w14:textId="1C083575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ADAMS, J. S.; LEE, G.</w:t>
      </w:r>
      <w:r>
        <w:t xml:space="preserve"> </w:t>
      </w:r>
      <w:proofErr w:type="spellStart"/>
      <w:r>
        <w:t>Gains</w:t>
      </w:r>
      <w:proofErr w:type="spellEnd"/>
      <w:r>
        <w:t xml:space="preserve"> in </w:t>
      </w:r>
      <w:proofErr w:type="spellStart"/>
      <w:r>
        <w:t>bone</w:t>
      </w:r>
      <w:proofErr w:type="spellEnd"/>
      <w:r>
        <w:t xml:space="preserve"> mineral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intoxication</w:t>
      </w:r>
      <w:proofErr w:type="spellEnd"/>
      <w:r>
        <w:t xml:space="preserve">. </w:t>
      </w:r>
      <w:proofErr w:type="spellStart"/>
      <w:r>
        <w:rPr>
          <w:rStyle w:val="nfase"/>
        </w:rPr>
        <w:t>Annals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Internal</w:t>
      </w:r>
      <w:proofErr w:type="spellEnd"/>
      <w:r>
        <w:rPr>
          <w:rStyle w:val="nfase"/>
        </w:rPr>
        <w:t xml:space="preserve"> Medicine</w:t>
      </w:r>
      <w:r>
        <w:t>, v. 127, p. 203-206, 1997.</w:t>
      </w:r>
    </w:p>
    <w:p w14:paraId="6C5B4355" w14:textId="7D2A6D68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AMERICAN GERIATRICS SOCIETY WORKGROUP ON VITAMIN D SUPPLEMENTATION FOR OLDER ADULTS.</w:t>
      </w:r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abstracted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American </w:t>
      </w:r>
      <w:proofErr w:type="spellStart"/>
      <w:r>
        <w:t>Geriatrics</w:t>
      </w:r>
      <w:proofErr w:type="spellEnd"/>
      <w:r>
        <w:t xml:space="preserve"> Society Consensus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for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Falls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the</w:t>
      </w:r>
      <w:proofErr w:type="spellEnd"/>
      <w:r>
        <w:rPr>
          <w:rStyle w:val="nfase"/>
        </w:rPr>
        <w:t xml:space="preserve"> American </w:t>
      </w:r>
      <w:proofErr w:type="spellStart"/>
      <w:r>
        <w:rPr>
          <w:rStyle w:val="nfase"/>
        </w:rPr>
        <w:t>Geriatrics</w:t>
      </w:r>
      <w:proofErr w:type="spellEnd"/>
      <w:r>
        <w:rPr>
          <w:rStyle w:val="nfase"/>
        </w:rPr>
        <w:t xml:space="preserve"> Society</w:t>
      </w:r>
      <w:r>
        <w:t>, v. 62, p. 147, 2014.</w:t>
      </w:r>
    </w:p>
    <w:p w14:paraId="0433095F" w14:textId="5FB425B1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ANGELIN, B.; WAHREN, J.</w:t>
      </w:r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nicotinic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renal 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25-hydroxycholecalciferol in man. </w:t>
      </w:r>
      <w:proofErr w:type="spellStart"/>
      <w:r>
        <w:rPr>
          <w:rStyle w:val="nfase"/>
        </w:rPr>
        <w:t>Scandinavian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Laboratory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Investigation</w:t>
      </w:r>
      <w:proofErr w:type="spellEnd"/>
      <w:r>
        <w:t>, v. 39, p. 21, 1979.</w:t>
      </w:r>
    </w:p>
    <w:p w14:paraId="34FB2DCC" w14:textId="1D16DB55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ANGLIN, R. E.; SURI, S.; SCONAMIGLIO, J.; KATSIKI, K.; FURTADO, M.; RIETSEMA, M.; FEINER, M.; SHI, J.; GANESH, A.; RAVINDRAN, A.</w:t>
      </w:r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in </w:t>
      </w:r>
      <w:proofErr w:type="spellStart"/>
      <w:r>
        <w:t>Adults</w:t>
      </w:r>
      <w:proofErr w:type="spellEnd"/>
      <w:r>
        <w:t xml:space="preserve">: </w:t>
      </w:r>
      <w:proofErr w:type="spellStart"/>
      <w:r>
        <w:t>Systematic</w:t>
      </w:r>
      <w:proofErr w:type="spellEnd"/>
      <w:r>
        <w:t xml:space="preserve"> Review </w:t>
      </w:r>
      <w:proofErr w:type="spellStart"/>
      <w:r>
        <w:t>and</w:t>
      </w:r>
      <w:proofErr w:type="spellEnd"/>
      <w:r>
        <w:t xml:space="preserve"> Meta-</w:t>
      </w:r>
      <w:proofErr w:type="spellStart"/>
      <w:r>
        <w:t>Analysis</w:t>
      </w:r>
      <w:proofErr w:type="spellEnd"/>
      <w:r>
        <w:t xml:space="preserve">. </w:t>
      </w:r>
      <w:r>
        <w:rPr>
          <w:rStyle w:val="nfase"/>
        </w:rPr>
        <w:t xml:space="preserve">British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Psychiatry</w:t>
      </w:r>
      <w:proofErr w:type="spellEnd"/>
      <w:r>
        <w:t>, v. 202, n. 2, p. 100-107, 2013. doi:10.1192/bjp.bp.111.106666.</w:t>
      </w:r>
    </w:p>
    <w:p w14:paraId="2318AC00" w14:textId="10E9122A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ARMAS, L. A.; HOLLIS, B. W.; HEANEY, R. P.</w:t>
      </w:r>
      <w:r>
        <w:t xml:space="preserve"> </w:t>
      </w:r>
      <w:proofErr w:type="spellStart"/>
      <w:r>
        <w:t>Vitamin</w:t>
      </w:r>
      <w:proofErr w:type="spellEnd"/>
      <w:r>
        <w:t xml:space="preserve"> D2 </w:t>
      </w:r>
      <w:proofErr w:type="spellStart"/>
      <w:r>
        <w:t>Is</w:t>
      </w:r>
      <w:proofErr w:type="spellEnd"/>
      <w:r>
        <w:t xml:space="preserve"> Much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D3 in </w:t>
      </w:r>
      <w:proofErr w:type="spellStart"/>
      <w:r>
        <w:t>Humans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Endocrinology</w:t>
      </w:r>
      <w:proofErr w:type="spellEnd"/>
      <w:r>
        <w:rPr>
          <w:rStyle w:val="nfase"/>
        </w:rPr>
        <w:t xml:space="preserve"> &amp; </w:t>
      </w:r>
      <w:proofErr w:type="spellStart"/>
      <w:r>
        <w:rPr>
          <w:rStyle w:val="nfase"/>
        </w:rPr>
        <w:t>Metabolism</w:t>
      </w:r>
      <w:proofErr w:type="spellEnd"/>
      <w:r>
        <w:t>, v. 89, p. 5387, 2004.</w:t>
      </w:r>
    </w:p>
    <w:p w14:paraId="048B3B05" w14:textId="586A9745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BALION, C.; GRIFFITH, L. E.; STROHECKER, L.; FISCHER, A. L.; ROCKWOOD, K.; MELACINI, P.; CAMERON, E.; ROSS, S. A.</w:t>
      </w:r>
      <w:r>
        <w:t xml:space="preserve"> </w:t>
      </w:r>
      <w:proofErr w:type="spellStart"/>
      <w:r>
        <w:t>Vitamin</w:t>
      </w:r>
      <w:proofErr w:type="spellEnd"/>
      <w:r>
        <w:t xml:space="preserve"> D, </w:t>
      </w:r>
      <w:proofErr w:type="spellStart"/>
      <w:r>
        <w:t>Cognition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Dementia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Review </w:t>
      </w:r>
      <w:proofErr w:type="spellStart"/>
      <w:r>
        <w:t>and</w:t>
      </w:r>
      <w:proofErr w:type="spellEnd"/>
      <w:r>
        <w:t xml:space="preserve"> Meta-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rPr>
          <w:rStyle w:val="nfase"/>
        </w:rPr>
        <w:t>Neurology</w:t>
      </w:r>
      <w:proofErr w:type="spellEnd"/>
      <w:r>
        <w:t>, v. 79, p. 1397, 2012.</w:t>
      </w:r>
    </w:p>
    <w:p w14:paraId="6C63D913" w14:textId="0C3A0CE2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lastRenderedPageBreak/>
        <w:t>BASHA, B.; RAO, D. S.; HAN, Z. H.; PARFITT, A. M.</w:t>
      </w:r>
      <w:r>
        <w:t xml:space="preserve"> </w:t>
      </w:r>
      <w:proofErr w:type="spellStart"/>
      <w:r>
        <w:t>Osteomalacia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Depletion</w:t>
      </w:r>
      <w:proofErr w:type="spellEnd"/>
      <w:r>
        <w:t xml:space="preserve">: A </w:t>
      </w:r>
      <w:proofErr w:type="spellStart"/>
      <w:r>
        <w:t>Neglected</w:t>
      </w:r>
      <w:proofErr w:type="spellEnd"/>
      <w:r>
        <w:t xml:space="preserve">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Intestinal </w:t>
      </w:r>
      <w:proofErr w:type="spellStart"/>
      <w:r>
        <w:t>Malabsorption</w:t>
      </w:r>
      <w:proofErr w:type="spellEnd"/>
      <w:r>
        <w:t xml:space="preserve">. </w:t>
      </w:r>
      <w:r>
        <w:rPr>
          <w:rStyle w:val="nfase"/>
        </w:rPr>
        <w:t xml:space="preserve">American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proofErr w:type="gramStart"/>
      <w:r>
        <w:rPr>
          <w:rStyle w:val="nfase"/>
        </w:rPr>
        <w:t>of</w:t>
      </w:r>
      <w:proofErr w:type="spellEnd"/>
      <w:r>
        <w:rPr>
          <w:rStyle w:val="nfase"/>
        </w:rPr>
        <w:t xml:space="preserve"> Medicine</w:t>
      </w:r>
      <w:proofErr w:type="gramEnd"/>
      <w:r>
        <w:t>, v. 108, n. 5, p. 296-300, 2000. doi:10.1016/s0002-9343(99)00458-2. PMID: 10759086.</w:t>
      </w:r>
    </w:p>
    <w:p w14:paraId="4D8B98D3" w14:textId="2A0CF346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BHAMBRI, R.; NAIK, V.; MALHOTRA, N.; et al.</w:t>
      </w:r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Bone</w:t>
      </w:r>
      <w:proofErr w:type="spellEnd"/>
      <w:r>
        <w:t xml:space="preserve"> Mineral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Osteomalacia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Densitometry</w:t>
      </w:r>
      <w:proofErr w:type="spellEnd"/>
      <w:r>
        <w:t>, v. 9, p. 120, 2006.</w:t>
      </w:r>
    </w:p>
    <w:p w14:paraId="7F72B848" w14:textId="4DDD8E9C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BOUILLON, R.</w:t>
      </w:r>
      <w:r>
        <w:t xml:space="preserve"> </w:t>
      </w:r>
      <w:proofErr w:type="spellStart"/>
      <w:r>
        <w:t>Vitamin</w:t>
      </w:r>
      <w:proofErr w:type="spellEnd"/>
      <w:r>
        <w:t xml:space="preserve"> D: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photosynthesis</w:t>
      </w:r>
      <w:proofErr w:type="spellEnd"/>
      <w:r>
        <w:t xml:space="preserve">, </w:t>
      </w:r>
      <w:proofErr w:type="spellStart"/>
      <w:r>
        <w:t>metabolism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In: DEGROOT, L. J.; JAMESON, J. L. (Eds.). </w:t>
      </w:r>
      <w:proofErr w:type="spellStart"/>
      <w:r>
        <w:t>Endocrinology</w:t>
      </w:r>
      <w:proofErr w:type="spellEnd"/>
      <w:r>
        <w:t>. Philadelphia: W.B. Saunders, 2001. p. 1009-1028.</w:t>
      </w:r>
    </w:p>
    <w:p w14:paraId="6F1495FE" w14:textId="47B4C9C4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BROWN, A. J.</w:t>
      </w:r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action</w:t>
      </w:r>
      <w:proofErr w:type="spellEnd"/>
      <w:r>
        <w:t xml:space="preserve">. </w:t>
      </w:r>
      <w:proofErr w:type="spellStart"/>
      <w:r>
        <w:rPr>
          <w:rStyle w:val="nfase"/>
        </w:rPr>
        <w:t>Nephrology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Dialysis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Transplantation</w:t>
      </w:r>
      <w:proofErr w:type="spellEnd"/>
      <w:r>
        <w:t>, v. 14, p. 11, 1999.</w:t>
      </w:r>
    </w:p>
    <w:p w14:paraId="03CB2A96" w14:textId="7DAD4EE6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CHRISTAKOS, S.; AJIBADE, D. V.; DHAWAN, P.; PORTALE, A. A.; LIU, Y.; LUO, W.; XIE, Z.</w:t>
      </w:r>
      <w:r>
        <w:t xml:space="preserve"> </w:t>
      </w:r>
      <w:proofErr w:type="spellStart"/>
      <w:r>
        <w:t>Vitamin</w:t>
      </w:r>
      <w:proofErr w:type="spellEnd"/>
      <w:r>
        <w:t xml:space="preserve"> D: </w:t>
      </w:r>
      <w:proofErr w:type="spellStart"/>
      <w:r>
        <w:t>metabolism</w:t>
      </w:r>
      <w:proofErr w:type="spellEnd"/>
      <w:r>
        <w:t xml:space="preserve">. </w:t>
      </w:r>
      <w:proofErr w:type="spellStart"/>
      <w:r>
        <w:rPr>
          <w:rStyle w:val="nfase"/>
        </w:rPr>
        <w:t>Endocrinology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Metabolism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Clinics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North </w:t>
      </w:r>
      <w:proofErr w:type="spellStart"/>
      <w:r>
        <w:rPr>
          <w:rStyle w:val="nfase"/>
        </w:rPr>
        <w:t>America</w:t>
      </w:r>
      <w:proofErr w:type="spellEnd"/>
      <w:r>
        <w:t>, v. 39, p. 243, 2010.</w:t>
      </w:r>
    </w:p>
    <w:p w14:paraId="242D72F8" w14:textId="7CB8C091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COMPSTON, J. E.</w:t>
      </w:r>
      <w:r>
        <w:t xml:space="preserve"> </w:t>
      </w:r>
      <w:proofErr w:type="spellStart"/>
      <w:r>
        <w:t>Hepatic</w:t>
      </w:r>
      <w:proofErr w:type="spellEnd"/>
      <w:r>
        <w:t xml:space="preserve"> </w:t>
      </w:r>
      <w:proofErr w:type="spellStart"/>
      <w:r>
        <w:t>Osteodystrophy</w:t>
      </w:r>
      <w:proofErr w:type="spellEnd"/>
      <w:r>
        <w:t xml:space="preserve">: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Metabolism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rPr>
          <w:rStyle w:val="nfase"/>
        </w:rPr>
        <w:t>Gut</w:t>
      </w:r>
      <w:proofErr w:type="spellEnd"/>
      <w:r>
        <w:t>, v. 27, p. 1073, 1986.</w:t>
      </w:r>
    </w:p>
    <w:p w14:paraId="7EA04997" w14:textId="56C073FC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COSMAN, F.; de BEUR, S. J.; LEBOFF, M. S.; LEWIECKI, E. M.; TANNER, B.; RANDALL, S.; LINDEMEIER, L.; WILLIAMS, S. A.; SIRIS, E. S.; CLARKE, B. L.; CALDWELL, C.; KALEKAS, J.; THAKUR, R.; et al.</w:t>
      </w:r>
      <w:r>
        <w:t xml:space="preserve"> </w:t>
      </w:r>
      <w:proofErr w:type="spellStart"/>
      <w:r>
        <w:t>Clinician’s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Osteoporosis</w:t>
      </w:r>
      <w:proofErr w:type="spellEnd"/>
      <w:r>
        <w:t xml:space="preserve">. </w:t>
      </w:r>
      <w:proofErr w:type="spellStart"/>
      <w:r>
        <w:rPr>
          <w:rStyle w:val="nfase"/>
        </w:rPr>
        <w:t>Osteoporosis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International</w:t>
      </w:r>
      <w:proofErr w:type="spellEnd"/>
      <w:r>
        <w:t>, v. 25, p. 2359, 2014.</w:t>
      </w:r>
    </w:p>
    <w:p w14:paraId="66341A38" w14:textId="302E6762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DANESCU, L. G.; LEVY, S.; LEVY, J.</w:t>
      </w:r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and</w:t>
      </w:r>
      <w:proofErr w:type="spellEnd"/>
      <w:r>
        <w:t xml:space="preserve"> diabetes mellitus. </w:t>
      </w:r>
      <w:proofErr w:type="spellStart"/>
      <w:r>
        <w:rPr>
          <w:rStyle w:val="nfase"/>
        </w:rPr>
        <w:t>Endocrine</w:t>
      </w:r>
      <w:proofErr w:type="spellEnd"/>
      <w:r>
        <w:t>, v. 35, n. 1, p. 11-17, 2009.</w:t>
      </w:r>
    </w:p>
    <w:p w14:paraId="77DEB3A0" w14:textId="7F40F676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DAWSON-HUGHES, B.; MITHAL, A.; BONJOUR, J. P.; BOONEN, S.; BURCKHARDT, P.; EL-HIJJE, F.; JONES, G.; et al.</w:t>
      </w:r>
      <w:r>
        <w:t xml:space="preserve"> IOF position </w:t>
      </w:r>
      <w:proofErr w:type="spellStart"/>
      <w:r>
        <w:t>statement</w:t>
      </w:r>
      <w:proofErr w:type="spellEnd"/>
      <w:r>
        <w:t xml:space="preserve">: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recommendations</w:t>
      </w:r>
      <w:proofErr w:type="spellEnd"/>
      <w:r>
        <w:t xml:space="preserve"> for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. </w:t>
      </w:r>
      <w:proofErr w:type="spellStart"/>
      <w:r>
        <w:rPr>
          <w:rStyle w:val="nfase"/>
        </w:rPr>
        <w:t>Osteoporosis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International</w:t>
      </w:r>
      <w:proofErr w:type="spellEnd"/>
      <w:r>
        <w:t>, v. 21, p. 1151, 2010.</w:t>
      </w:r>
    </w:p>
    <w:p w14:paraId="359E06CC" w14:textId="7A3C013A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DIBBLE, J. B.; SHERIDAN, P.; LOSOWSKY, M. S.</w:t>
      </w:r>
      <w:r>
        <w:t xml:space="preserve"> A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Deficiency</w:t>
      </w:r>
      <w:proofErr w:type="spellEnd"/>
      <w:r>
        <w:t xml:space="preserve"> in Gastrointestinal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. </w:t>
      </w:r>
      <w:r>
        <w:rPr>
          <w:rStyle w:val="nfase"/>
        </w:rPr>
        <w:t xml:space="preserve">The </w:t>
      </w:r>
      <w:proofErr w:type="spellStart"/>
      <w:r>
        <w:rPr>
          <w:rStyle w:val="nfase"/>
        </w:rPr>
        <w:t>Quarterly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proofErr w:type="gramStart"/>
      <w:r>
        <w:rPr>
          <w:rStyle w:val="nfase"/>
        </w:rPr>
        <w:t>of</w:t>
      </w:r>
      <w:proofErr w:type="spellEnd"/>
      <w:r>
        <w:rPr>
          <w:rStyle w:val="nfase"/>
        </w:rPr>
        <w:t xml:space="preserve"> Medicine</w:t>
      </w:r>
      <w:proofErr w:type="gramEnd"/>
      <w:r>
        <w:t>, v. 53, p. 119, 1984.</w:t>
      </w:r>
    </w:p>
    <w:p w14:paraId="0A779BC0" w14:textId="6B0811B8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EDDY, R. L.</w:t>
      </w:r>
      <w:r>
        <w:t xml:space="preserve">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bone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gastrectomy</w:t>
      </w:r>
      <w:proofErr w:type="spellEnd"/>
      <w:r>
        <w:t xml:space="preserve">. </w:t>
      </w:r>
      <w:r>
        <w:rPr>
          <w:rStyle w:val="nfase"/>
        </w:rPr>
        <w:t xml:space="preserve">American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proofErr w:type="gramStart"/>
      <w:r>
        <w:rPr>
          <w:rStyle w:val="nfase"/>
        </w:rPr>
        <w:t>of</w:t>
      </w:r>
      <w:proofErr w:type="spellEnd"/>
      <w:r>
        <w:rPr>
          <w:rStyle w:val="nfase"/>
        </w:rPr>
        <w:t xml:space="preserve"> Medicine</w:t>
      </w:r>
      <w:proofErr w:type="gramEnd"/>
      <w:r>
        <w:t>, v. 50, p. 442, 1971.</w:t>
      </w:r>
    </w:p>
    <w:p w14:paraId="299ECDD9" w14:textId="2F9C9F3B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ELAMIN, M. B.; ABOUSETTA, A. M.; ELSHAHERI, M.; PHUNG, O. J.; VON MUHLEN, D.; OWEN, W.; et al.</w:t>
      </w:r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and</w:t>
      </w:r>
      <w:proofErr w:type="spellEnd"/>
      <w:r>
        <w:t xml:space="preserve"> cardiovascular </w:t>
      </w:r>
      <w:proofErr w:type="spellStart"/>
      <w:r>
        <w:t>outcomes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review </w:t>
      </w:r>
      <w:proofErr w:type="spellStart"/>
      <w:r>
        <w:t>and</w:t>
      </w:r>
      <w:proofErr w:type="spellEnd"/>
      <w:r>
        <w:t xml:space="preserve"> meta-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Endocrinology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Metabolism</w:t>
      </w:r>
      <w:proofErr w:type="spellEnd"/>
      <w:r>
        <w:t>, v. 96, n. 7, p. 1931-1942, 2011.</w:t>
      </w:r>
    </w:p>
    <w:p w14:paraId="4C4BC10B" w14:textId="269556C1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FISCELLA, K.; FRANKER, P.</w:t>
      </w:r>
      <w:r>
        <w:t xml:space="preserve"> </w:t>
      </w:r>
      <w:proofErr w:type="spellStart"/>
      <w:r>
        <w:t>Vitamin</w:t>
      </w:r>
      <w:proofErr w:type="spellEnd"/>
      <w:r>
        <w:t xml:space="preserve"> D, </w:t>
      </w:r>
      <w:proofErr w:type="spellStart"/>
      <w:r>
        <w:t>race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cardiovascular </w:t>
      </w:r>
      <w:proofErr w:type="spellStart"/>
      <w:r>
        <w:t>mortality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US sample. </w:t>
      </w:r>
      <w:proofErr w:type="spellStart"/>
      <w:r>
        <w:rPr>
          <w:rStyle w:val="nfase"/>
        </w:rPr>
        <w:t>Annals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Family Medicine</w:t>
      </w:r>
      <w:r>
        <w:t>, v. 8, n. 1, p. 11-18, 2010.</w:t>
      </w:r>
    </w:p>
    <w:p w14:paraId="11399A37" w14:textId="4A2DE60E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FORREST, K. Y.; STUHLDREHER, W. L.</w:t>
      </w:r>
      <w:r>
        <w:t xml:space="preserve">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Correlates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Deficiency</w:t>
      </w:r>
      <w:proofErr w:type="spellEnd"/>
      <w:r>
        <w:t xml:space="preserve"> in US </w:t>
      </w:r>
      <w:proofErr w:type="spellStart"/>
      <w:r>
        <w:t>Adults</w:t>
      </w:r>
      <w:proofErr w:type="spellEnd"/>
      <w:r>
        <w:t xml:space="preserve">. </w:t>
      </w:r>
      <w:proofErr w:type="spellStart"/>
      <w:r>
        <w:rPr>
          <w:rStyle w:val="nfase"/>
        </w:rPr>
        <w:t>Nutrition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Research</w:t>
      </w:r>
      <w:proofErr w:type="spellEnd"/>
      <w:r>
        <w:t>, v. 31, n. 1, p. 48-54, 2011. doi:10.1016/j.nutres.2010.12.001. PMID: 21310306.</w:t>
      </w:r>
    </w:p>
    <w:p w14:paraId="69DDF3F0" w14:textId="5DDF8CE9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GERTNER, J. M.; LILBURN, M.; DOMENECH, M.</w:t>
      </w:r>
      <w:r>
        <w:t xml:space="preserve"> 25-Hydroxycholecalciferol </w:t>
      </w:r>
      <w:proofErr w:type="spellStart"/>
      <w:r>
        <w:t>absorption</w:t>
      </w:r>
      <w:proofErr w:type="spellEnd"/>
      <w:r>
        <w:t xml:space="preserve"> in </w:t>
      </w:r>
      <w:proofErr w:type="spellStart"/>
      <w:r>
        <w:t>steatorrhea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osteomalacia</w:t>
      </w:r>
      <w:proofErr w:type="spellEnd"/>
      <w:r>
        <w:t xml:space="preserve"> </w:t>
      </w:r>
      <w:proofErr w:type="spellStart"/>
      <w:r>
        <w:t>postgastrectomy</w:t>
      </w:r>
      <w:proofErr w:type="spellEnd"/>
      <w:r>
        <w:t xml:space="preserve">. </w:t>
      </w:r>
      <w:r>
        <w:rPr>
          <w:rStyle w:val="nfase"/>
        </w:rPr>
        <w:t xml:space="preserve">British Medical </w:t>
      </w:r>
      <w:proofErr w:type="spellStart"/>
      <w:r>
        <w:rPr>
          <w:rStyle w:val="nfase"/>
        </w:rPr>
        <w:t>Journal</w:t>
      </w:r>
      <w:proofErr w:type="spellEnd"/>
      <w:r>
        <w:t>, v. 1, p. 1310, 1977.</w:t>
      </w:r>
    </w:p>
    <w:p w14:paraId="02E434BA" w14:textId="642DC113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HADDAD, J. G.</w:t>
      </w:r>
      <w:r>
        <w:t xml:space="preserve"> Vitamina D - </w:t>
      </w:r>
      <w:proofErr w:type="spellStart"/>
      <w:r>
        <w:t>Vitamin</w:t>
      </w:r>
      <w:proofErr w:type="spellEnd"/>
      <w:r>
        <w:t xml:space="preserve"> D - solar </w:t>
      </w:r>
      <w:proofErr w:type="spellStart"/>
      <w:r>
        <w:t>Rays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Milky</w:t>
      </w:r>
      <w:proofErr w:type="spellEnd"/>
      <w:r>
        <w:t xml:space="preserve"> Way, </w:t>
      </w:r>
      <w:proofErr w:type="spellStart"/>
      <w:r>
        <w:t>or</w:t>
      </w:r>
      <w:proofErr w:type="spellEnd"/>
      <w:r>
        <w:t xml:space="preserve"> Both? </w:t>
      </w:r>
      <w:r>
        <w:rPr>
          <w:rStyle w:val="nfase"/>
        </w:rPr>
        <w:t xml:space="preserve">New </w:t>
      </w:r>
      <w:proofErr w:type="spellStart"/>
      <w:r>
        <w:rPr>
          <w:rStyle w:val="nfase"/>
        </w:rPr>
        <w:t>England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proofErr w:type="gramStart"/>
      <w:r>
        <w:rPr>
          <w:rStyle w:val="nfase"/>
        </w:rPr>
        <w:t>of</w:t>
      </w:r>
      <w:proofErr w:type="spellEnd"/>
      <w:r>
        <w:rPr>
          <w:rStyle w:val="nfase"/>
        </w:rPr>
        <w:t xml:space="preserve"> Medicine</w:t>
      </w:r>
      <w:proofErr w:type="gramEnd"/>
      <w:r>
        <w:t>, v. 326, p. 1213, 1992.</w:t>
      </w:r>
    </w:p>
    <w:p w14:paraId="07C784B0" w14:textId="4A54EE76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lastRenderedPageBreak/>
        <w:t>HEWISON, M.; BURKE, F.; EVANS, K. N.; LARSEN, T.; ZDRON, L.; ADAMS, M.; et al.</w:t>
      </w:r>
      <w:r>
        <w:t xml:space="preserve"> Extra-renal 25-hydroxyvitamin D3-1α-</w:t>
      </w:r>
      <w:proofErr w:type="spellStart"/>
      <w:r>
        <w:t>hydroxylase</w:t>
      </w:r>
      <w:proofErr w:type="spellEnd"/>
      <w:r>
        <w:t xml:space="preserve"> in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r>
        <w:rPr>
          <w:rStyle w:val="nfase"/>
        </w:rPr>
        <w:t xml:space="preserve">The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Steroid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Biochemistry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and</w:t>
      </w:r>
      <w:proofErr w:type="spellEnd"/>
      <w:r>
        <w:rPr>
          <w:rStyle w:val="nfase"/>
        </w:rPr>
        <w:t xml:space="preserve"> Molecular </w:t>
      </w:r>
      <w:proofErr w:type="spellStart"/>
      <w:r>
        <w:rPr>
          <w:rStyle w:val="nfase"/>
        </w:rPr>
        <w:t>Biology</w:t>
      </w:r>
      <w:proofErr w:type="spellEnd"/>
      <w:r>
        <w:t>, v. 103, p. 316, 2007.</w:t>
      </w:r>
    </w:p>
    <w:p w14:paraId="0C3A0180" w14:textId="374D08AC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HEWISON, M.; ZEHLIN, H.; RICHARDS, J. S.; et al.</w:t>
      </w:r>
      <w:r>
        <w:t xml:space="preserve">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receptor </w:t>
      </w:r>
      <w:proofErr w:type="spellStart"/>
      <w:r>
        <w:t>and</w:t>
      </w:r>
      <w:proofErr w:type="spellEnd"/>
      <w:r>
        <w:t xml:space="preserve"> its </w:t>
      </w:r>
      <w:proofErr w:type="spellStart"/>
      <w:r>
        <w:t>ligand</w:t>
      </w:r>
      <w:proofErr w:type="spellEnd"/>
      <w:r>
        <w:t xml:space="preserve"> in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monocyte-derived</w:t>
      </w:r>
      <w:proofErr w:type="spellEnd"/>
      <w:r>
        <w:t xml:space="preserve"> </w:t>
      </w:r>
      <w:proofErr w:type="spellStart"/>
      <w:r>
        <w:t>dendritic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Immunology</w:t>
      </w:r>
      <w:proofErr w:type="spellEnd"/>
      <w:r>
        <w:t>, v. 170, n. 11, p. 5382-5390, 2003.</w:t>
      </w:r>
    </w:p>
    <w:p w14:paraId="28584064" w14:textId="2152863A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HEWISON, M.</w:t>
      </w:r>
      <w:r>
        <w:t xml:space="preserve"> </w:t>
      </w:r>
      <w:proofErr w:type="spellStart"/>
      <w:r>
        <w:t>Antibacterial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D. </w:t>
      </w:r>
      <w:proofErr w:type="spellStart"/>
      <w:r>
        <w:rPr>
          <w:rStyle w:val="nfase"/>
        </w:rPr>
        <w:t>Nature</w:t>
      </w:r>
      <w:proofErr w:type="spellEnd"/>
      <w:r>
        <w:rPr>
          <w:rStyle w:val="nfase"/>
        </w:rPr>
        <w:t xml:space="preserve"> Reviews </w:t>
      </w:r>
      <w:proofErr w:type="spellStart"/>
      <w:r>
        <w:rPr>
          <w:rStyle w:val="nfase"/>
        </w:rPr>
        <w:t>Endocrinology</w:t>
      </w:r>
      <w:proofErr w:type="spellEnd"/>
      <w:r>
        <w:t>, v. 7, n. 6, p. 337-345, 2011.</w:t>
      </w:r>
    </w:p>
    <w:p w14:paraId="5CAB100D" w14:textId="75F42D71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HOLICK, M. F.; BINKLEY, N. C.; BISCHOFF-FERRARI, H. A.; GORDON, C. M.; HANLEY, D. A.; HEANEY, R. P.; et al.</w:t>
      </w:r>
      <w:r>
        <w:t xml:space="preserve">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deficiency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Endocrine</w:t>
      </w:r>
      <w:proofErr w:type="spellEnd"/>
      <w:r>
        <w:t xml:space="preserve"> Society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guideline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Endocrinology</w:t>
      </w:r>
      <w:proofErr w:type="spellEnd"/>
      <w:r>
        <w:rPr>
          <w:rStyle w:val="nfase"/>
        </w:rPr>
        <w:t xml:space="preserve"> &amp; </w:t>
      </w:r>
      <w:proofErr w:type="spellStart"/>
      <w:r>
        <w:rPr>
          <w:rStyle w:val="nfase"/>
        </w:rPr>
        <w:t>Metabolism</w:t>
      </w:r>
      <w:proofErr w:type="spellEnd"/>
      <w:r>
        <w:t>, v. 96, p. 1911, 2011.</w:t>
      </w:r>
    </w:p>
    <w:p w14:paraId="29939FDC" w14:textId="3380481B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HOLICK, M. F.; MACLAUGHLIN, J. A.; DOPPELT, S. H.</w:t>
      </w:r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cutaneous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D3 </w:t>
      </w:r>
      <w:proofErr w:type="spellStart"/>
      <w:r>
        <w:t>photosynthesis</w:t>
      </w:r>
      <w:proofErr w:type="spellEnd"/>
      <w:r>
        <w:t xml:space="preserve"> in </w:t>
      </w:r>
      <w:proofErr w:type="spellStart"/>
      <w:r>
        <w:t>man</w:t>
      </w:r>
      <w:proofErr w:type="spellEnd"/>
      <w:r>
        <w:t xml:space="preserve">: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regulator</w:t>
      </w:r>
      <w:proofErr w:type="spellEnd"/>
      <w:r>
        <w:t xml:space="preserve">. </w:t>
      </w:r>
      <w:r>
        <w:rPr>
          <w:rStyle w:val="nfase"/>
        </w:rPr>
        <w:t>Science</w:t>
      </w:r>
      <w:r>
        <w:t>, v. 211, p. 590, 1981.</w:t>
      </w:r>
    </w:p>
    <w:p w14:paraId="1F688C4C" w14:textId="5B5AF79E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HOLICK, M. F.; SIRIS, E. S.; BINKLEY, N.; BEER, J. Z.; CHEN, T. C.; ROTHENBERG, A.; SAINI, S.; et al.</w:t>
      </w:r>
      <w:r>
        <w:t xml:space="preserve">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inadequacy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postmenopausal</w:t>
      </w:r>
      <w:proofErr w:type="spellEnd"/>
      <w:r>
        <w:t xml:space="preserve"> North American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osteoporosis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. </w:t>
      </w:r>
      <w:r>
        <w:rPr>
          <w:rStyle w:val="nfase"/>
        </w:rPr>
        <w:t xml:space="preserve">The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Endocrinology</w:t>
      </w:r>
      <w:proofErr w:type="spellEnd"/>
      <w:r>
        <w:rPr>
          <w:rStyle w:val="nfase"/>
        </w:rPr>
        <w:t xml:space="preserve"> &amp; </w:t>
      </w:r>
      <w:proofErr w:type="spellStart"/>
      <w:r>
        <w:rPr>
          <w:rStyle w:val="nfase"/>
        </w:rPr>
        <w:t>Metabolism</w:t>
      </w:r>
      <w:proofErr w:type="spellEnd"/>
      <w:r>
        <w:t>, v. 90, p. 3215, 2005.</w:t>
      </w:r>
    </w:p>
    <w:p w14:paraId="08DAFD21" w14:textId="4BDA50FF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HOLICK, M. F.</w:t>
      </w:r>
      <w:r>
        <w:t xml:space="preserve"> Deficiência de vitamina D. </w:t>
      </w:r>
      <w:r>
        <w:rPr>
          <w:rStyle w:val="nfase"/>
        </w:rPr>
        <w:t xml:space="preserve">New </w:t>
      </w:r>
      <w:proofErr w:type="spellStart"/>
      <w:r>
        <w:rPr>
          <w:rStyle w:val="nfase"/>
        </w:rPr>
        <w:t>England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Medicine</w:t>
      </w:r>
      <w:r>
        <w:t>, v. 357, n. 3, p. 266-281, 2007.</w:t>
      </w:r>
    </w:p>
    <w:p w14:paraId="542D9355" w14:textId="1162365C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HOLICK, M. F.</w:t>
      </w:r>
      <w:r>
        <w:t xml:space="preserve"> </w:t>
      </w:r>
      <w:proofErr w:type="spellStart"/>
      <w:r>
        <w:t>McCollum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, 1994: </w:t>
      </w:r>
      <w:proofErr w:type="spellStart"/>
      <w:r>
        <w:t>Vitamin</w:t>
      </w:r>
      <w:proofErr w:type="spellEnd"/>
      <w:r>
        <w:t xml:space="preserve"> D—new </w:t>
      </w:r>
      <w:proofErr w:type="spellStart"/>
      <w:r>
        <w:t>horizons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21st </w:t>
      </w:r>
      <w:proofErr w:type="spellStart"/>
      <w:r>
        <w:t>century</w:t>
      </w:r>
      <w:proofErr w:type="spellEnd"/>
      <w:r>
        <w:t xml:space="preserve">. </w:t>
      </w:r>
      <w:r>
        <w:rPr>
          <w:rStyle w:val="nfase"/>
        </w:rPr>
        <w:t xml:space="preserve">American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Nutrition</w:t>
      </w:r>
      <w:proofErr w:type="spellEnd"/>
      <w:r>
        <w:t>, v. 60, p. 619, 1994.</w:t>
      </w:r>
    </w:p>
    <w:p w14:paraId="737A147E" w14:textId="7FCC143A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HOLICK, M. F.</w:t>
      </w:r>
      <w:r>
        <w:t xml:space="preserve"> </w:t>
      </w:r>
      <w:proofErr w:type="spellStart"/>
      <w:r>
        <w:t>Sunlight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for </w:t>
      </w:r>
      <w:proofErr w:type="spellStart"/>
      <w:r>
        <w:t>bone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autoimmune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cancers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cardiovascular </w:t>
      </w:r>
      <w:proofErr w:type="spellStart"/>
      <w:r>
        <w:t>disease</w:t>
      </w:r>
      <w:proofErr w:type="spellEnd"/>
      <w:r>
        <w:t xml:space="preserve">. </w:t>
      </w:r>
      <w:r>
        <w:rPr>
          <w:rStyle w:val="nfase"/>
        </w:rPr>
        <w:t xml:space="preserve">American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Nutrition</w:t>
      </w:r>
      <w:proofErr w:type="spellEnd"/>
      <w:r>
        <w:t xml:space="preserve">, v. 80, n. 6 </w:t>
      </w:r>
      <w:proofErr w:type="spellStart"/>
      <w:r>
        <w:t>Suppl</w:t>
      </w:r>
      <w:proofErr w:type="spellEnd"/>
      <w:r>
        <w:t>, p. 1678S-88S, 2004.</w:t>
      </w:r>
    </w:p>
    <w:p w14:paraId="2D712634" w14:textId="5330E6BC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HOLICK, M. F.</w:t>
      </w:r>
      <w:r>
        <w:t xml:space="preserve"> </w:t>
      </w:r>
      <w:proofErr w:type="spellStart"/>
      <w:r>
        <w:t>Vitamin</w:t>
      </w:r>
      <w:proofErr w:type="spellEnd"/>
      <w:r>
        <w:t xml:space="preserve"> D: A </w:t>
      </w:r>
      <w:proofErr w:type="spellStart"/>
      <w:r>
        <w:t>millenium</w:t>
      </w:r>
      <w:proofErr w:type="spellEnd"/>
      <w:r>
        <w:t xml:space="preserve"> perspective.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Cellular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Biochemistry</w:t>
      </w:r>
      <w:proofErr w:type="spellEnd"/>
      <w:r>
        <w:t>, v. 88, p. 296, 2003.</w:t>
      </w:r>
    </w:p>
    <w:p w14:paraId="68D35940" w14:textId="1610A945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HOLICK, M. F.</w:t>
      </w:r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Deficiency</w:t>
      </w:r>
      <w:proofErr w:type="spellEnd"/>
      <w:r>
        <w:t xml:space="preserve">. </w:t>
      </w:r>
      <w:r>
        <w:rPr>
          <w:rStyle w:val="nfase"/>
        </w:rPr>
        <w:t xml:space="preserve">The New </w:t>
      </w:r>
      <w:proofErr w:type="spellStart"/>
      <w:r>
        <w:rPr>
          <w:rStyle w:val="nfase"/>
        </w:rPr>
        <w:t>England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proofErr w:type="gramStart"/>
      <w:r>
        <w:rPr>
          <w:rStyle w:val="nfase"/>
        </w:rPr>
        <w:t>of</w:t>
      </w:r>
      <w:proofErr w:type="spellEnd"/>
      <w:r>
        <w:rPr>
          <w:rStyle w:val="nfase"/>
        </w:rPr>
        <w:t xml:space="preserve"> Medicine</w:t>
      </w:r>
      <w:proofErr w:type="gramEnd"/>
      <w:r>
        <w:t>, v. 357, p. 266, 2007.</w:t>
      </w:r>
    </w:p>
    <w:p w14:paraId="0F13ED94" w14:textId="183A6FEB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HOLICK, M. F.; CHEN, T. C.; LU, Z.; SZCZUKA, I.</w:t>
      </w:r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physiology</w:t>
      </w:r>
      <w:proofErr w:type="spellEnd"/>
      <w:r>
        <w:t>: a D-</w:t>
      </w:r>
      <w:proofErr w:type="spellStart"/>
      <w:r>
        <w:t>lightful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Bone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and</w:t>
      </w:r>
      <w:proofErr w:type="spellEnd"/>
      <w:r>
        <w:rPr>
          <w:rStyle w:val="nfase"/>
        </w:rPr>
        <w:t xml:space="preserve"> Mineral </w:t>
      </w:r>
      <w:proofErr w:type="spellStart"/>
      <w:r>
        <w:rPr>
          <w:rStyle w:val="nfase"/>
        </w:rPr>
        <w:t>Research</w:t>
      </w:r>
      <w:proofErr w:type="spellEnd"/>
      <w:r>
        <w:t>, v. 23, n. 12, p. 1741, 2008.</w:t>
      </w:r>
    </w:p>
    <w:p w14:paraId="0A8E0DE0" w14:textId="14E45886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HOSSAIN, N.; KANANI, F. H.; CASTRO, A. V.; JUPARABOY, S.; MUJIB, S.; et al.</w:t>
      </w:r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deficiency</w:t>
      </w:r>
      <w:proofErr w:type="spellEnd"/>
      <w:r>
        <w:t xml:space="preserve">: A causal </w:t>
      </w:r>
      <w:proofErr w:type="spellStart"/>
      <w:r>
        <w:t>relationship</w:t>
      </w:r>
      <w:proofErr w:type="spellEnd"/>
      <w:r>
        <w:t xml:space="preserve">. </w:t>
      </w:r>
      <w:proofErr w:type="spellStart"/>
      <w:r>
        <w:rPr>
          <w:rStyle w:val="nfase"/>
        </w:rPr>
        <w:t>International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Endocrinology</w:t>
      </w:r>
      <w:proofErr w:type="spellEnd"/>
      <w:r>
        <w:t>, v. 2013, p. 1-6, 2013. doi:10.1155/2013/392421. PMID: 23864927.</w:t>
      </w:r>
    </w:p>
    <w:p w14:paraId="06B70C51" w14:textId="1724D177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INSTITUTE OF MEDICINE (US) STANDING COMMITTEE ON THE SCIENTIFIC EVALUATION OF DIETARY REFERENCE INTAKES.</w:t>
      </w:r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Intakes</w:t>
      </w:r>
      <w:proofErr w:type="spellEnd"/>
      <w:r>
        <w:t xml:space="preserve"> for </w:t>
      </w:r>
      <w:proofErr w:type="spellStart"/>
      <w:r>
        <w:t>Calcium</w:t>
      </w:r>
      <w:proofErr w:type="spellEnd"/>
      <w:r>
        <w:t xml:space="preserve">, </w:t>
      </w:r>
      <w:proofErr w:type="spellStart"/>
      <w:r>
        <w:t>Phosphorus</w:t>
      </w:r>
      <w:proofErr w:type="spellEnd"/>
      <w:r>
        <w:t xml:space="preserve">, </w:t>
      </w:r>
      <w:proofErr w:type="spellStart"/>
      <w:r>
        <w:t>Magnesium</w:t>
      </w:r>
      <w:proofErr w:type="spellEnd"/>
      <w:r>
        <w:t xml:space="preserve">, </w:t>
      </w:r>
      <w:proofErr w:type="spellStart"/>
      <w:r>
        <w:t>Vitamin</w:t>
      </w:r>
      <w:proofErr w:type="spellEnd"/>
      <w:r>
        <w:t xml:space="preserve"> D,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Fluoride</w:t>
      </w:r>
      <w:proofErr w:type="spellEnd"/>
      <w:r>
        <w:t xml:space="preserve">. Washington, DC: </w:t>
      </w:r>
      <w:proofErr w:type="spellStart"/>
      <w:r>
        <w:t>National</w:t>
      </w:r>
      <w:proofErr w:type="spellEnd"/>
      <w:r>
        <w:t xml:space="preserve"> Academies Press, 1997. p. 250.</w:t>
      </w:r>
    </w:p>
    <w:p w14:paraId="37602CE8" w14:textId="7A849253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INSTITUTE OF MEDICINE.</w:t>
      </w:r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Intakes</w:t>
      </w:r>
      <w:proofErr w:type="spellEnd"/>
      <w:r>
        <w:t xml:space="preserve"> for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D: Report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Glance</w:t>
      </w:r>
      <w:proofErr w:type="spellEnd"/>
      <w:r>
        <w:t xml:space="preserve">, Report </w:t>
      </w:r>
      <w:proofErr w:type="spellStart"/>
      <w:r>
        <w:t>Brief</w:t>
      </w:r>
      <w:proofErr w:type="spellEnd"/>
      <w:r>
        <w:t xml:space="preserve">.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30, 2010.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: </w:t>
      </w:r>
      <w:hyperlink r:id="rId8" w:tgtFrame="_new" w:history="1">
        <w:r>
          <w:rPr>
            <w:rStyle w:val="Hyperlink"/>
          </w:rPr>
          <w:t>http://www.iom.edu/Reports/2010/Dietary-Reference-Intakes-for-Calcium-and-Vitamin-D/Report-Brief.aspx</w:t>
        </w:r>
      </w:hyperlink>
      <w:r>
        <w:t xml:space="preserve">.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April 02, 2020.</w:t>
      </w:r>
    </w:p>
    <w:p w14:paraId="7FA7A3EF" w14:textId="4AEE8106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INSTITUTE OF MEDICINE.</w:t>
      </w:r>
      <w:r>
        <w:t xml:space="preserve"> Report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Glance</w:t>
      </w:r>
      <w:proofErr w:type="spellEnd"/>
      <w:r>
        <w:t xml:space="preserve">, Report </w:t>
      </w:r>
      <w:proofErr w:type="spellStart"/>
      <w:r>
        <w:t>Brief</w:t>
      </w:r>
      <w:proofErr w:type="spellEnd"/>
      <w:r>
        <w:t xml:space="preserve">: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intakes</w:t>
      </w:r>
      <w:proofErr w:type="spellEnd"/>
      <w:r>
        <w:t xml:space="preserve"> for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D, </w:t>
      </w:r>
      <w:proofErr w:type="spellStart"/>
      <w:r>
        <w:t>released</w:t>
      </w:r>
      <w:proofErr w:type="spellEnd"/>
      <w:r>
        <w:t xml:space="preserve"> 11/30/2010. Disponível em: </w:t>
      </w:r>
      <w:hyperlink r:id="rId9" w:tgtFrame="_new" w:history="1">
        <w:r>
          <w:rPr>
            <w:rStyle w:val="Hyperlink"/>
          </w:rPr>
          <w:t>http://www.iom.edu/Reports/2010/Dietary-Reference-Intakes-for-Calcium-and-Vitamin-D/Report-Brief.aspx</w:t>
        </w:r>
      </w:hyperlink>
      <w:r>
        <w:t>. Acesso em: 02 abr. 2020.</w:t>
      </w:r>
    </w:p>
    <w:p w14:paraId="5D48F7FE" w14:textId="3AD89B39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JACOBUS, C. H.; HOLICK, M. F.; SHAO, Q.; HUGHES, M. R.; CHAN, Y. L.; LIU, P.; KENNELLY, J. J.; COOPER, J. R.; et al.</w:t>
      </w:r>
      <w:r>
        <w:t xml:space="preserve"> </w:t>
      </w:r>
      <w:proofErr w:type="spellStart"/>
      <w:r>
        <w:t>Hypervitaminosis</w:t>
      </w:r>
      <w:proofErr w:type="spellEnd"/>
      <w:r>
        <w:t xml:space="preserve"> D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. </w:t>
      </w:r>
      <w:r>
        <w:rPr>
          <w:rStyle w:val="nfase"/>
        </w:rPr>
        <w:t xml:space="preserve">New </w:t>
      </w:r>
      <w:proofErr w:type="spellStart"/>
      <w:r>
        <w:rPr>
          <w:rStyle w:val="nfase"/>
        </w:rPr>
        <w:t>England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proofErr w:type="gramStart"/>
      <w:r>
        <w:rPr>
          <w:rStyle w:val="nfase"/>
        </w:rPr>
        <w:t>of</w:t>
      </w:r>
      <w:proofErr w:type="spellEnd"/>
      <w:r>
        <w:rPr>
          <w:rStyle w:val="nfase"/>
        </w:rPr>
        <w:t xml:space="preserve"> Medicine</w:t>
      </w:r>
      <w:proofErr w:type="gramEnd"/>
      <w:r>
        <w:t>, v. 326, p. 1173, 1992.</w:t>
      </w:r>
    </w:p>
    <w:p w14:paraId="535EA1F7" w14:textId="22C79D98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KOUTKIA, P.; CHEN, T. C.; HOLICK, M. F.</w:t>
      </w:r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intoxication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over-</w:t>
      </w:r>
      <w:proofErr w:type="spellStart"/>
      <w:r>
        <w:t>the</w:t>
      </w:r>
      <w:proofErr w:type="spellEnd"/>
      <w:r>
        <w:t>-</w:t>
      </w:r>
      <w:proofErr w:type="spellStart"/>
      <w:r>
        <w:t>counter</w:t>
      </w:r>
      <w:proofErr w:type="spellEnd"/>
      <w:r>
        <w:t xml:space="preserve"> </w:t>
      </w:r>
      <w:proofErr w:type="spellStart"/>
      <w:r>
        <w:t>supplement</w:t>
      </w:r>
      <w:proofErr w:type="spellEnd"/>
      <w:r>
        <w:t xml:space="preserve">. </w:t>
      </w:r>
      <w:r>
        <w:rPr>
          <w:rStyle w:val="nfase"/>
        </w:rPr>
        <w:t xml:space="preserve">New </w:t>
      </w:r>
      <w:proofErr w:type="spellStart"/>
      <w:r>
        <w:rPr>
          <w:rStyle w:val="nfase"/>
        </w:rPr>
        <w:t>England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proofErr w:type="gramStart"/>
      <w:r>
        <w:rPr>
          <w:rStyle w:val="nfase"/>
        </w:rPr>
        <w:t>of</w:t>
      </w:r>
      <w:proofErr w:type="spellEnd"/>
      <w:r>
        <w:rPr>
          <w:rStyle w:val="nfase"/>
        </w:rPr>
        <w:t xml:space="preserve"> Medicine</w:t>
      </w:r>
      <w:proofErr w:type="gramEnd"/>
      <w:r>
        <w:t>, v. 345, p. 66-67, 2001.</w:t>
      </w:r>
    </w:p>
    <w:p w14:paraId="707860A3" w14:textId="5EF5996C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LARSON-MEYER, D. E.; WILLIS, K. S.</w:t>
      </w:r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. </w:t>
      </w:r>
      <w:proofErr w:type="spellStart"/>
      <w:r>
        <w:rPr>
          <w:rStyle w:val="nfase"/>
        </w:rPr>
        <w:t>Current</w:t>
      </w:r>
      <w:proofErr w:type="spellEnd"/>
      <w:r>
        <w:rPr>
          <w:rStyle w:val="nfase"/>
        </w:rPr>
        <w:t xml:space="preserve"> Sports Medicine Reports</w:t>
      </w:r>
      <w:r>
        <w:t>, v. 9, p. 220, 2010.</w:t>
      </w:r>
    </w:p>
    <w:p w14:paraId="55203A3C" w14:textId="0F0BAFD6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LEE, D. M.; TANTON, C.; RAYWARD-SMITH, V.; et al.</w:t>
      </w:r>
      <w:r>
        <w:t xml:space="preserve"> Lower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Levels</w:t>
      </w:r>
      <w:proofErr w:type="spellEnd"/>
      <w:r>
        <w:t xml:space="preserve"> Are Associated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Community-</w:t>
      </w:r>
      <w:proofErr w:type="spellStart"/>
      <w:r>
        <w:t>Dwelling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Psychopharmacology</w:t>
      </w:r>
      <w:proofErr w:type="spellEnd"/>
      <w:r>
        <w:t>, v. 25, p. 1320, 2011.</w:t>
      </w:r>
    </w:p>
    <w:p w14:paraId="5066F4B9" w14:textId="4E6551EC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NEMARUGOMMA, G.; DIAMOND, T.</w:t>
      </w:r>
      <w:r>
        <w:t xml:space="preserve"> </w:t>
      </w:r>
      <w:proofErr w:type="spellStart"/>
      <w:r>
        <w:t>Biliary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metabolites</w:t>
      </w:r>
      <w:proofErr w:type="spellEnd"/>
      <w:r>
        <w:t xml:space="preserve"> in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: a review. </w:t>
      </w:r>
      <w:r>
        <w:rPr>
          <w:rStyle w:val="nfase"/>
        </w:rPr>
        <w:t xml:space="preserve">Clinical </w:t>
      </w:r>
      <w:proofErr w:type="spellStart"/>
      <w:r>
        <w:rPr>
          <w:rStyle w:val="nfase"/>
        </w:rPr>
        <w:t>Endocrinology</w:t>
      </w:r>
      <w:proofErr w:type="spellEnd"/>
      <w:r>
        <w:t>, v. 29, p. 43, 1988.</w:t>
      </w:r>
    </w:p>
    <w:p w14:paraId="18C750C0" w14:textId="2004B8E2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PIERRE-JEAN, A.; et al.</w:t>
      </w:r>
      <w:r>
        <w:t xml:space="preserve"> </w:t>
      </w:r>
      <w:proofErr w:type="spellStart"/>
      <w:r>
        <w:t>Vitamin</w:t>
      </w:r>
      <w:proofErr w:type="spellEnd"/>
      <w:r>
        <w:t xml:space="preserve"> D status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hypertension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Human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Hypertension</w:t>
      </w:r>
      <w:proofErr w:type="spellEnd"/>
      <w:r>
        <w:t>, v. 19, n. 9, p. 591, 2005.</w:t>
      </w:r>
    </w:p>
    <w:p w14:paraId="31718CAC" w14:textId="70356A06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PITTAS, A. G.; HARRIS, S. S.; STARK, P. C.; DAWSON-HUGHES, B.</w:t>
      </w:r>
      <w:r>
        <w:t xml:space="preserve"> The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supplementation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glucose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in non-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. </w:t>
      </w:r>
      <w:r>
        <w:rPr>
          <w:rStyle w:val="nfase"/>
        </w:rPr>
        <w:t xml:space="preserve">Diabetes </w:t>
      </w:r>
      <w:proofErr w:type="spellStart"/>
      <w:r>
        <w:rPr>
          <w:rStyle w:val="nfase"/>
        </w:rPr>
        <w:t>Care</w:t>
      </w:r>
      <w:proofErr w:type="spellEnd"/>
      <w:r>
        <w:t>, v. 30, n. 4, p. 980-986, 2007.</w:t>
      </w:r>
    </w:p>
    <w:p w14:paraId="6C2E81CA" w14:textId="4C3163A9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ROSS, A. C.; MANSON, J. E.; ABRAMS, S. A.; et al.</w:t>
      </w:r>
      <w:r>
        <w:t xml:space="preserve"> The 2011 Report </w:t>
      </w:r>
      <w:proofErr w:type="spellStart"/>
      <w:r>
        <w:t>on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Intakes</w:t>
      </w:r>
      <w:proofErr w:type="spellEnd"/>
      <w:r>
        <w:t xml:space="preserve"> for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Medicine: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Clinicians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Endocrinology</w:t>
      </w:r>
      <w:proofErr w:type="spellEnd"/>
      <w:r>
        <w:rPr>
          <w:rStyle w:val="nfase"/>
        </w:rPr>
        <w:t xml:space="preserve"> &amp; </w:t>
      </w:r>
      <w:proofErr w:type="spellStart"/>
      <w:r>
        <w:rPr>
          <w:rStyle w:val="nfase"/>
        </w:rPr>
        <w:t>Metabolism</w:t>
      </w:r>
      <w:proofErr w:type="spellEnd"/>
      <w:r>
        <w:t>, v. 96, p. 53, 2011.</w:t>
      </w:r>
    </w:p>
    <w:p w14:paraId="4F362462" w14:textId="1DC9316C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SONG, Q.; SERGEEV, I. N.</w:t>
      </w:r>
      <w:r>
        <w:t xml:space="preserve"> </w:t>
      </w:r>
      <w:proofErr w:type="spellStart"/>
      <w:r>
        <w:t>Calcium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in </w:t>
      </w:r>
      <w:proofErr w:type="spellStart"/>
      <w:r>
        <w:t>obesity</w:t>
      </w:r>
      <w:proofErr w:type="spellEnd"/>
      <w:r>
        <w:t xml:space="preserve">. </w:t>
      </w:r>
      <w:proofErr w:type="spellStart"/>
      <w:r>
        <w:rPr>
          <w:rStyle w:val="nfase"/>
        </w:rPr>
        <w:t>Nutrition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Research</w:t>
      </w:r>
      <w:proofErr w:type="spellEnd"/>
      <w:r>
        <w:rPr>
          <w:rStyle w:val="nfase"/>
        </w:rPr>
        <w:t xml:space="preserve"> Reviews</w:t>
      </w:r>
      <w:r>
        <w:t>, v. 25, n. 1, p. 130-141, 2012.</w:t>
      </w:r>
    </w:p>
    <w:p w14:paraId="6B1EA322" w14:textId="4A79CCB5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SUN, T.; LUMAYAG, S.; TULLY, D.; et al.</w:t>
      </w:r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deficiency</w:t>
      </w:r>
      <w:proofErr w:type="spellEnd"/>
      <w:r>
        <w:t xml:space="preserve">: a </w:t>
      </w:r>
      <w:proofErr w:type="spellStart"/>
      <w:r>
        <w:t>chicken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 </w:t>
      </w:r>
      <w:proofErr w:type="spellStart"/>
      <w:r>
        <w:t>conundrum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Inflammation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Research</w:t>
      </w:r>
      <w:proofErr w:type="spellEnd"/>
      <w:r>
        <w:t>, v. 6, p. 149, 2013.</w:t>
      </w:r>
    </w:p>
    <w:p w14:paraId="11653FE6" w14:textId="3DAF18BE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TRANG, H. M.; COLE, D. E.; RUBIN, L. A.; PIKE, J. W.; FELDMAN, D.; RAY, R.; PALMER, P.; STURUP, S.; et al.</w:t>
      </w:r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D3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Serum</w:t>
      </w:r>
      <w:proofErr w:type="spellEnd"/>
      <w:r>
        <w:t xml:space="preserve"> 25-hydroxyvitamin D More </w:t>
      </w:r>
      <w:proofErr w:type="spellStart"/>
      <w:r>
        <w:t>Efficiently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Does </w:t>
      </w:r>
      <w:proofErr w:type="spellStart"/>
      <w:r>
        <w:t>Vitamin</w:t>
      </w:r>
      <w:proofErr w:type="spellEnd"/>
      <w:r>
        <w:t xml:space="preserve"> D2. </w:t>
      </w:r>
      <w:r>
        <w:rPr>
          <w:rStyle w:val="nfase"/>
        </w:rPr>
        <w:t xml:space="preserve">American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Nutrition</w:t>
      </w:r>
      <w:proofErr w:type="spellEnd"/>
      <w:r>
        <w:t>, v. 68, p. 854, 1998.</w:t>
      </w:r>
    </w:p>
    <w:p w14:paraId="7451076F" w14:textId="0154F477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VIETH, R.</w:t>
      </w:r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 for </w:t>
      </w:r>
      <w:proofErr w:type="spellStart"/>
      <w:r>
        <w:t>vitamin</w:t>
      </w:r>
      <w:proofErr w:type="spellEnd"/>
      <w:r>
        <w:t xml:space="preserve"> D3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for </w:t>
      </w:r>
      <w:proofErr w:type="spellStart"/>
      <w:r>
        <w:t>adults</w:t>
      </w:r>
      <w:proofErr w:type="spellEnd"/>
      <w:r>
        <w:t xml:space="preserve">. </w:t>
      </w:r>
      <w:r>
        <w:rPr>
          <w:rStyle w:val="nfase"/>
        </w:rPr>
        <w:t xml:space="preserve">The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Steroid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Biochemistry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and</w:t>
      </w:r>
      <w:proofErr w:type="spellEnd"/>
      <w:r>
        <w:rPr>
          <w:rStyle w:val="nfase"/>
        </w:rPr>
        <w:t xml:space="preserve"> Molecular </w:t>
      </w:r>
      <w:proofErr w:type="spellStart"/>
      <w:r>
        <w:rPr>
          <w:rStyle w:val="nfase"/>
        </w:rPr>
        <w:t>Biology</w:t>
      </w:r>
      <w:proofErr w:type="spellEnd"/>
      <w:r>
        <w:t>, v. 89-90, p. 575-579, 2004.</w:t>
      </w:r>
    </w:p>
    <w:p w14:paraId="639725F5" w14:textId="333318A0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 xml:space="preserve">VOGIATZI, M. G.; JACOBSON-DICKMAN, E.; DEBOER, M. D.; </w:t>
      </w:r>
      <w:proofErr w:type="spellStart"/>
      <w:r>
        <w:rPr>
          <w:rStyle w:val="Forte"/>
        </w:rPr>
        <w:t>Drugs</w:t>
      </w:r>
      <w:proofErr w:type="spellEnd"/>
      <w:r>
        <w:rPr>
          <w:rStyle w:val="Forte"/>
        </w:rPr>
        <w:t xml:space="preserve">, </w:t>
      </w:r>
      <w:proofErr w:type="spellStart"/>
      <w:r>
        <w:rPr>
          <w:rStyle w:val="Forte"/>
        </w:rPr>
        <w:t>and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Therapeutics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Committee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of</w:t>
      </w:r>
      <w:proofErr w:type="spellEnd"/>
      <w:r>
        <w:rPr>
          <w:rStyle w:val="Forte"/>
        </w:rPr>
        <w:t xml:space="preserve"> The </w:t>
      </w:r>
      <w:proofErr w:type="spellStart"/>
      <w:r>
        <w:rPr>
          <w:rStyle w:val="Forte"/>
        </w:rPr>
        <w:t>Pediatric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Endocrine</w:t>
      </w:r>
      <w:proofErr w:type="spellEnd"/>
      <w:r>
        <w:rPr>
          <w:rStyle w:val="Forte"/>
        </w:rPr>
        <w:t xml:space="preserve"> Society.</w:t>
      </w:r>
      <w:r>
        <w:t xml:space="preserve"> </w:t>
      </w:r>
      <w:proofErr w:type="spellStart"/>
      <w:r>
        <w:t>Vitamin</w:t>
      </w:r>
      <w:proofErr w:type="spellEnd"/>
      <w:r>
        <w:t xml:space="preserve"> D </w:t>
      </w:r>
      <w:proofErr w:type="spellStart"/>
      <w:r>
        <w:t>supplementation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 in </w:t>
      </w:r>
      <w:proofErr w:type="spellStart"/>
      <w:r>
        <w:t>pediatrics</w:t>
      </w:r>
      <w:proofErr w:type="spellEnd"/>
      <w:r>
        <w:t xml:space="preserve">: a review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Endocrinology</w:t>
      </w:r>
      <w:proofErr w:type="spellEnd"/>
      <w:r>
        <w:rPr>
          <w:rStyle w:val="nfase"/>
        </w:rPr>
        <w:t xml:space="preserve"> &amp; </w:t>
      </w:r>
      <w:proofErr w:type="spellStart"/>
      <w:r>
        <w:rPr>
          <w:rStyle w:val="nfase"/>
        </w:rPr>
        <w:t>Metabolism</w:t>
      </w:r>
      <w:proofErr w:type="spellEnd"/>
      <w:r>
        <w:t>, v. 99, p. 1132, 2014.</w:t>
      </w:r>
    </w:p>
    <w:p w14:paraId="389812ED" w14:textId="4A449016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WARD, L. M.; GABOURY, I.; LAMANDE, S. R.; et al.</w:t>
      </w:r>
      <w:r>
        <w:t xml:space="preserve"> </w:t>
      </w:r>
      <w:proofErr w:type="spellStart"/>
      <w:r>
        <w:t>Vitamin</w:t>
      </w:r>
      <w:proofErr w:type="spellEnd"/>
      <w:r>
        <w:t xml:space="preserve"> D-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rickets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in Canada. </w:t>
      </w:r>
      <w:r>
        <w:rPr>
          <w:rStyle w:val="nfase"/>
        </w:rPr>
        <w:t xml:space="preserve">Canadian Medical </w:t>
      </w:r>
      <w:proofErr w:type="spellStart"/>
      <w:r>
        <w:rPr>
          <w:rStyle w:val="nfase"/>
        </w:rPr>
        <w:t>Association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Journal</w:t>
      </w:r>
      <w:proofErr w:type="spellEnd"/>
      <w:r>
        <w:t>, v. 177, p. 161, 2007.</w:t>
      </w:r>
    </w:p>
    <w:p w14:paraId="3D1AEFA8" w14:textId="435878CA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WORTSMAN, J.; MUMTAZ, A.; REDDIN, G. H.; DELUCA, H. F.; OHLIN, A.</w:t>
      </w:r>
      <w:r>
        <w:t xml:space="preserve"> </w:t>
      </w:r>
      <w:proofErr w:type="spellStart"/>
      <w:r>
        <w:t>Decreased</w:t>
      </w:r>
      <w:proofErr w:type="spellEnd"/>
      <w:r>
        <w:t xml:space="preserve"> </w:t>
      </w:r>
      <w:proofErr w:type="spellStart"/>
      <w:r>
        <w:t>bioavailability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in </w:t>
      </w:r>
      <w:proofErr w:type="spellStart"/>
      <w:r>
        <w:t>obesity</w:t>
      </w:r>
      <w:proofErr w:type="spellEnd"/>
      <w:r>
        <w:t xml:space="preserve">. </w:t>
      </w:r>
      <w:r>
        <w:rPr>
          <w:rStyle w:val="nfase"/>
        </w:rPr>
        <w:t xml:space="preserve">The American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Clinical </w:t>
      </w:r>
      <w:proofErr w:type="spellStart"/>
      <w:r>
        <w:rPr>
          <w:rStyle w:val="nfase"/>
        </w:rPr>
        <w:t>Nutrition</w:t>
      </w:r>
      <w:proofErr w:type="spellEnd"/>
      <w:r>
        <w:t>, v. 72, n. 3, p. 690-693, 2000.</w:t>
      </w:r>
    </w:p>
    <w:p w14:paraId="4D68C68A" w14:textId="341EC8FB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lastRenderedPageBreak/>
        <w:t>ZIEROLD, C.; MINGS, J. A.; DELUCA, H. F.</w:t>
      </w:r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25-hydroxyvitamin D3-24-hydroxylase mRNA </w:t>
      </w:r>
      <w:proofErr w:type="spellStart"/>
      <w:r>
        <w:t>by</w:t>
      </w:r>
      <w:proofErr w:type="spellEnd"/>
      <w:r>
        <w:t xml:space="preserve"> 1,25-dihydroxyvitamin D3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parathyroid</w:t>
      </w:r>
      <w:proofErr w:type="spellEnd"/>
      <w:r>
        <w:t xml:space="preserve"> </w:t>
      </w:r>
      <w:proofErr w:type="spellStart"/>
      <w:r>
        <w:t>hormone</w:t>
      </w:r>
      <w:proofErr w:type="spellEnd"/>
      <w:r>
        <w:t xml:space="preserve">. </w:t>
      </w:r>
      <w:proofErr w:type="spellStart"/>
      <w:r>
        <w:rPr>
          <w:rStyle w:val="nfase"/>
        </w:rPr>
        <w:t>Journal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of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Cellular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Biochemistry</w:t>
      </w:r>
      <w:proofErr w:type="spellEnd"/>
      <w:r>
        <w:t>, v. 88, n. 2, p. 234-237, 2003.</w:t>
      </w:r>
    </w:p>
    <w:p w14:paraId="4795730D" w14:textId="1C1118BB" w:rsidR="00983843" w:rsidRDefault="00983843" w:rsidP="00983843">
      <w:pPr>
        <w:pStyle w:val="NormalWeb"/>
        <w:numPr>
          <w:ilvl w:val="0"/>
          <w:numId w:val="5"/>
        </w:numPr>
      </w:pPr>
      <w:r>
        <w:rPr>
          <w:rStyle w:val="Forte"/>
        </w:rPr>
        <w:t>ZITTERMANN, A.</w:t>
      </w:r>
      <w:r>
        <w:t xml:space="preserve"> The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vitamin</w:t>
      </w:r>
      <w:proofErr w:type="spellEnd"/>
      <w:r>
        <w:t xml:space="preserve"> D for </w:t>
      </w:r>
      <w:proofErr w:type="spellStart"/>
      <w:r>
        <w:t>Germany</w:t>
      </w:r>
      <w:proofErr w:type="spellEnd"/>
      <w:r>
        <w:t xml:space="preserve">. </w:t>
      </w:r>
      <w:r>
        <w:rPr>
          <w:rStyle w:val="nfase"/>
        </w:rPr>
        <w:t xml:space="preserve">Molecular </w:t>
      </w:r>
      <w:proofErr w:type="spellStart"/>
      <w:r>
        <w:rPr>
          <w:rStyle w:val="nfase"/>
        </w:rPr>
        <w:t>Nutrition</w:t>
      </w:r>
      <w:proofErr w:type="spellEnd"/>
      <w:r>
        <w:rPr>
          <w:rStyle w:val="nfase"/>
        </w:rPr>
        <w:t xml:space="preserve"> &amp; Food </w:t>
      </w:r>
      <w:proofErr w:type="spellStart"/>
      <w:r>
        <w:rPr>
          <w:rStyle w:val="nfase"/>
        </w:rPr>
        <w:t>Research</w:t>
      </w:r>
      <w:proofErr w:type="spellEnd"/>
      <w:r>
        <w:t>, v. 54, p. 1164, 2010.</w:t>
      </w:r>
    </w:p>
    <w:p w14:paraId="229FBC4C" w14:textId="77777777" w:rsidR="00481E55" w:rsidRPr="00101808" w:rsidRDefault="00481E55" w:rsidP="0096465C">
      <w:pPr>
        <w:pStyle w:val="ABNT"/>
        <w:jc w:val="center"/>
        <w:rPr>
          <w:b/>
          <w:color w:val="000000" w:themeColor="text1"/>
        </w:rPr>
      </w:pP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C0AD" w14:textId="77777777" w:rsidR="00461261" w:rsidRDefault="00461261">
      <w:pPr>
        <w:spacing w:after="0" w:line="240" w:lineRule="auto"/>
      </w:pPr>
      <w:r>
        <w:separator/>
      </w:r>
    </w:p>
  </w:endnote>
  <w:endnote w:type="continuationSeparator" w:id="0">
    <w:p w14:paraId="1FBC168F" w14:textId="77777777" w:rsidR="00461261" w:rsidRDefault="0046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351D" w14:textId="77777777" w:rsidR="001B293F" w:rsidRDefault="001B2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DF96" w14:textId="77777777" w:rsidR="001B293F" w:rsidRDefault="001B29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3F38" w14:textId="77777777" w:rsidR="001B293F" w:rsidRDefault="001B29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11CA" w14:textId="77777777" w:rsidR="00461261" w:rsidRDefault="00461261">
      <w:pPr>
        <w:spacing w:after="0" w:line="240" w:lineRule="auto"/>
      </w:pPr>
      <w:r>
        <w:separator/>
      </w:r>
    </w:p>
  </w:footnote>
  <w:footnote w:type="continuationSeparator" w:id="0">
    <w:p w14:paraId="0D01CCD1" w14:textId="77777777" w:rsidR="00461261" w:rsidRDefault="0046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712CA6F9" w:rsidR="00FD5028" w:rsidRDefault="001F55BD">
    <w:pPr>
      <w:pStyle w:val="Cabealho"/>
    </w:pPr>
    <w:r w:rsidRPr="001C3777">
      <w:rPr>
        <w:noProof/>
      </w:rPr>
      <w:drawing>
        <wp:anchor distT="0" distB="0" distL="114300" distR="114300" simplePos="0" relativeHeight="251668480" behindDoc="0" locked="0" layoutInCell="1" allowOverlap="1" wp14:anchorId="1A1EAE6D" wp14:editId="0616D0E2">
          <wp:simplePos x="0" y="0"/>
          <wp:positionH relativeFrom="margin">
            <wp:posOffset>-7620</wp:posOffset>
          </wp:positionH>
          <wp:positionV relativeFrom="paragraph">
            <wp:posOffset>-394335</wp:posOffset>
          </wp:positionV>
          <wp:extent cx="2161540" cy="1211580"/>
          <wp:effectExtent l="0" t="0" r="0" b="762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216154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F">
      <w:rPr>
        <w:noProof/>
      </w:rPr>
      <w:drawing>
        <wp:anchor distT="0" distB="0" distL="114300" distR="114300" simplePos="0" relativeHeight="251669504" behindDoc="0" locked="0" layoutInCell="1" allowOverlap="1" wp14:anchorId="6118ABF5" wp14:editId="590E81A9">
          <wp:simplePos x="0" y="0"/>
          <wp:positionH relativeFrom="column">
            <wp:posOffset>4816475</wp:posOffset>
          </wp:positionH>
          <wp:positionV relativeFrom="paragraph">
            <wp:posOffset>-345440</wp:posOffset>
          </wp:positionV>
          <wp:extent cx="1156970" cy="1106170"/>
          <wp:effectExtent l="0" t="0" r="5080" b="0"/>
          <wp:wrapTopAndBottom/>
          <wp:docPr id="12486917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91711" name="Imagem 1248691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1106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000000">
    <w:pPr>
      <w:pStyle w:val="Cabealho"/>
    </w:pPr>
    <w:r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3A7966A8"/>
    <w:multiLevelType w:val="hybridMultilevel"/>
    <w:tmpl w:val="07D0FF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00C4"/>
    <w:multiLevelType w:val="hybridMultilevel"/>
    <w:tmpl w:val="071AD11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5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875532978">
    <w:abstractNumId w:val="0"/>
  </w:num>
  <w:num w:numId="2" w16cid:durableId="1406488319">
    <w:abstractNumId w:val="4"/>
  </w:num>
  <w:num w:numId="3" w16cid:durableId="224992052">
    <w:abstractNumId w:val="1"/>
  </w:num>
  <w:num w:numId="4" w16cid:durableId="893007455">
    <w:abstractNumId w:val="5"/>
  </w:num>
  <w:num w:numId="5" w16cid:durableId="1252006431">
    <w:abstractNumId w:val="2"/>
  </w:num>
  <w:num w:numId="6" w16cid:durableId="1494250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1003A"/>
    <w:rsid w:val="00021372"/>
    <w:rsid w:val="0002447D"/>
    <w:rsid w:val="000302EE"/>
    <w:rsid w:val="00055865"/>
    <w:rsid w:val="000C39CD"/>
    <w:rsid w:val="00101808"/>
    <w:rsid w:val="001475F1"/>
    <w:rsid w:val="00155048"/>
    <w:rsid w:val="001738A6"/>
    <w:rsid w:val="00193E75"/>
    <w:rsid w:val="001B293F"/>
    <w:rsid w:val="001B3DAE"/>
    <w:rsid w:val="001C3777"/>
    <w:rsid w:val="001D45E3"/>
    <w:rsid w:val="001F37DB"/>
    <w:rsid w:val="001F55BD"/>
    <w:rsid w:val="00236A6D"/>
    <w:rsid w:val="002E6040"/>
    <w:rsid w:val="003265EE"/>
    <w:rsid w:val="003370D4"/>
    <w:rsid w:val="003C78C0"/>
    <w:rsid w:val="003E5BE8"/>
    <w:rsid w:val="003E5E83"/>
    <w:rsid w:val="004533EB"/>
    <w:rsid w:val="00461261"/>
    <w:rsid w:val="00476492"/>
    <w:rsid w:val="00481E55"/>
    <w:rsid w:val="004E5A97"/>
    <w:rsid w:val="005143DE"/>
    <w:rsid w:val="00557F64"/>
    <w:rsid w:val="00595CF7"/>
    <w:rsid w:val="005A49DD"/>
    <w:rsid w:val="00633581"/>
    <w:rsid w:val="00642685"/>
    <w:rsid w:val="006530F1"/>
    <w:rsid w:val="00693732"/>
    <w:rsid w:val="006C3C9A"/>
    <w:rsid w:val="006E0EB3"/>
    <w:rsid w:val="006E59FA"/>
    <w:rsid w:val="007103DB"/>
    <w:rsid w:val="00721B3B"/>
    <w:rsid w:val="007A29BC"/>
    <w:rsid w:val="007D73BF"/>
    <w:rsid w:val="0080069A"/>
    <w:rsid w:val="00853C4B"/>
    <w:rsid w:val="00865A9D"/>
    <w:rsid w:val="008B4ABD"/>
    <w:rsid w:val="008E06A9"/>
    <w:rsid w:val="00963D77"/>
    <w:rsid w:val="0096465C"/>
    <w:rsid w:val="00983843"/>
    <w:rsid w:val="009F5182"/>
    <w:rsid w:val="00A05851"/>
    <w:rsid w:val="00A05E93"/>
    <w:rsid w:val="00A3254E"/>
    <w:rsid w:val="00AB5ABB"/>
    <w:rsid w:val="00AD778E"/>
    <w:rsid w:val="00B37A61"/>
    <w:rsid w:val="00B521EB"/>
    <w:rsid w:val="00B71EDD"/>
    <w:rsid w:val="00C237E3"/>
    <w:rsid w:val="00C54D28"/>
    <w:rsid w:val="00CC65FC"/>
    <w:rsid w:val="00D643F3"/>
    <w:rsid w:val="00E27A68"/>
    <w:rsid w:val="00E82399"/>
    <w:rsid w:val="00EA0A6E"/>
    <w:rsid w:val="00F138BC"/>
    <w:rsid w:val="00F14C8C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8384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83843"/>
    <w:rPr>
      <w:b/>
      <w:bCs/>
    </w:rPr>
  </w:style>
  <w:style w:type="character" w:styleId="nfase">
    <w:name w:val="Emphasis"/>
    <w:basedOn w:val="Fontepargpadro"/>
    <w:uiPriority w:val="20"/>
    <w:qFormat/>
    <w:rsid w:val="009838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m.edu/Reports/2010/Dietary-Reference-Intakes-for-Calcium-and-Vitamin-D/Report-Brief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om.edu/Reports/2010/Dietary-Reference-Intakes-for-Calcium-and-Vitamin-D/Report-Brief.aspx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6564</Words>
  <Characters>35446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Sarah Louredo</cp:lastModifiedBy>
  <cp:revision>4</cp:revision>
  <cp:lastPrinted>2022-08-12T03:23:00Z</cp:lastPrinted>
  <dcterms:created xsi:type="dcterms:W3CDTF">2024-07-31T02:13:00Z</dcterms:created>
  <dcterms:modified xsi:type="dcterms:W3CDTF">2024-07-31T02:19:00Z</dcterms:modified>
</cp:coreProperties>
</file>