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9EEC" w14:textId="77777777" w:rsidR="00AB22FC" w:rsidRDefault="00000000">
      <w:pPr>
        <w:keepNext/>
        <w:keepLines/>
        <w:widowControl w:val="0"/>
        <w:pBdr>
          <w:top w:val="nil"/>
          <w:left w:val="nil"/>
          <w:bottom w:val="nil"/>
          <w:right w:val="nil"/>
          <w:between w:val="nil"/>
        </w:pBdr>
        <w:spacing w:before="261" w:after="120" w:line="240" w:lineRule="auto"/>
        <w:ind w:left="129" w:right="141" w:firstLine="129"/>
        <w:jc w:val="center"/>
        <w:rPr>
          <w:rFonts w:ascii="Times New Roman" w:eastAsia="Times New Roman" w:hAnsi="Times New Roman" w:cs="Times New Roman"/>
          <w:b/>
          <w:strike/>
          <w:sz w:val="28"/>
          <w:szCs w:val="28"/>
        </w:rPr>
      </w:pPr>
      <w:r>
        <w:rPr>
          <w:rFonts w:ascii="Times New Roman" w:eastAsia="Times New Roman" w:hAnsi="Times New Roman" w:cs="Times New Roman"/>
          <w:b/>
          <w:color w:val="000000"/>
          <w:sz w:val="40"/>
          <w:szCs w:val="40"/>
        </w:rPr>
        <w:t xml:space="preserve"> </w:t>
      </w:r>
      <w:r>
        <w:rPr>
          <w:rFonts w:ascii="Times New Roman" w:eastAsia="Times New Roman" w:hAnsi="Times New Roman" w:cs="Times New Roman"/>
          <w:b/>
          <w:color w:val="000000"/>
          <w:sz w:val="28"/>
          <w:szCs w:val="28"/>
        </w:rPr>
        <w:t>AÇÃO ANTIMICROBIANA</w:t>
      </w:r>
      <w:r>
        <w:rPr>
          <w:rFonts w:ascii="Times New Roman" w:eastAsia="Times New Roman" w:hAnsi="Times New Roman" w:cs="Times New Roman"/>
          <w:b/>
          <w:sz w:val="28"/>
          <w:szCs w:val="28"/>
        </w:rPr>
        <w:t xml:space="preserve"> DO ALECRIM (</w:t>
      </w:r>
      <w:proofErr w:type="spellStart"/>
      <w:r>
        <w:rPr>
          <w:rFonts w:ascii="Times New Roman" w:eastAsia="Times New Roman" w:hAnsi="Times New Roman" w:cs="Times New Roman"/>
          <w:b/>
          <w:i/>
          <w:sz w:val="28"/>
          <w:szCs w:val="28"/>
        </w:rPr>
        <w:t>Rosmarinus</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Officinalis</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sz w:val="28"/>
          <w:szCs w:val="28"/>
        </w:rPr>
        <w:t>Linn</w:t>
      </w:r>
      <w:proofErr w:type="spellEnd"/>
      <w:r>
        <w:rPr>
          <w:rFonts w:ascii="Times New Roman" w:eastAsia="Times New Roman" w:hAnsi="Times New Roman" w:cs="Times New Roman"/>
          <w:b/>
          <w:sz w:val="28"/>
          <w:szCs w:val="28"/>
        </w:rPr>
        <w:t xml:space="preserve">.) E SUA APLICAÇÃO NA ENDODONTIA </w:t>
      </w:r>
    </w:p>
    <w:p w14:paraId="5FB5ACEF" w14:textId="77777777" w:rsidR="00AB22FC" w:rsidRDefault="00AB22FC">
      <w:pPr>
        <w:rPr>
          <w:rFonts w:ascii="Times New Roman" w:eastAsia="Times New Roman" w:hAnsi="Times New Roman" w:cs="Times New Roman"/>
        </w:rPr>
      </w:pPr>
    </w:p>
    <w:p w14:paraId="57B82790" w14:textId="77777777" w:rsidR="00AB22FC" w:rsidRDefault="00000000">
      <w:pPr>
        <w:keepNext/>
        <w:keepLines/>
        <w:widowControl w:val="0"/>
        <w:pBdr>
          <w:top w:val="nil"/>
          <w:left w:val="nil"/>
          <w:bottom w:val="nil"/>
          <w:right w:val="nil"/>
          <w:between w:val="nil"/>
        </w:pBdr>
        <w:spacing w:before="261" w:after="120" w:line="360" w:lineRule="auto"/>
        <w:ind w:left="129" w:right="141" w:firstLine="12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Matheus Souza da Silva¹; </w:t>
      </w:r>
      <w:r>
        <w:rPr>
          <w:rFonts w:ascii="Times New Roman" w:eastAsia="Times New Roman" w:hAnsi="Times New Roman" w:cs="Times New Roman"/>
          <w:sz w:val="24"/>
          <w:szCs w:val="24"/>
        </w:rPr>
        <w:t>Camilla Eduarda Morais Jardim de Lima</w:t>
      </w:r>
      <w:r>
        <w:rPr>
          <w:rFonts w:ascii="Times New Roman" w:eastAsia="Times New Roman" w:hAnsi="Times New Roman" w:cs="Times New Roman"/>
          <w:color w:val="000000"/>
          <w:sz w:val="24"/>
          <w:szCs w:val="24"/>
        </w:rPr>
        <w:t>²; Laura Gomes Guimarães²</w:t>
      </w:r>
      <w:r>
        <w:rPr>
          <w:rFonts w:ascii="Times New Roman" w:eastAsia="Times New Roman" w:hAnsi="Times New Roman" w:cs="Times New Roman"/>
          <w:sz w:val="24"/>
          <w:szCs w:val="24"/>
        </w:rPr>
        <w:t xml:space="preserve">; Maria Eduarda </w:t>
      </w:r>
      <w:proofErr w:type="spellStart"/>
      <w:r>
        <w:rPr>
          <w:rFonts w:ascii="Times New Roman" w:eastAsia="Times New Roman" w:hAnsi="Times New Roman" w:cs="Times New Roman"/>
          <w:sz w:val="24"/>
          <w:szCs w:val="24"/>
        </w:rPr>
        <w:t>Cantini</w:t>
      </w:r>
      <w:proofErr w:type="spellEnd"/>
      <w:r>
        <w:rPr>
          <w:rFonts w:ascii="Times New Roman" w:eastAsia="Times New Roman" w:hAnsi="Times New Roman" w:cs="Times New Roman"/>
          <w:sz w:val="24"/>
          <w:szCs w:val="24"/>
        </w:rPr>
        <w:t xml:space="preserve"> Ribeiro Chaves</w:t>
      </w:r>
      <w:r>
        <w:rPr>
          <w:rFonts w:ascii="Times New Roman" w:eastAsia="Times New Roman" w:hAnsi="Times New Roman" w:cs="Times New Roman"/>
          <w:sz w:val="24"/>
          <w:szCs w:val="24"/>
          <w:vertAlign w:val="superscript"/>
        </w:rPr>
        <w:t>²</w:t>
      </w:r>
      <w:r>
        <w:rPr>
          <w:rFonts w:ascii="Times New Roman" w:eastAsia="Times New Roman" w:hAnsi="Times New Roman" w:cs="Times New Roman"/>
          <w:color w:val="000000"/>
          <w:sz w:val="24"/>
          <w:szCs w:val="24"/>
        </w:rPr>
        <w:t>; Maria Heloisa Mendonça da Silva²;</w:t>
      </w:r>
      <w:r>
        <w:rPr>
          <w:rFonts w:ascii="Times New Roman" w:eastAsia="Times New Roman" w:hAnsi="Times New Roman" w:cs="Times New Roman"/>
          <w:sz w:val="24"/>
          <w:szCs w:val="24"/>
        </w:rPr>
        <w:t xml:space="preserve"> Thaís de Araújo Cassimiro Pereira²; Marcela Agne Alves Valones</w:t>
      </w:r>
      <w:r>
        <w:rPr>
          <w:rFonts w:ascii="Times New Roman" w:eastAsia="Times New Roman" w:hAnsi="Times New Roman" w:cs="Times New Roman"/>
          <w:color w:val="000000"/>
          <w:sz w:val="24"/>
          <w:szCs w:val="24"/>
        </w:rPr>
        <w:t xml:space="preserve">³. </w:t>
      </w:r>
    </w:p>
    <w:p w14:paraId="4ED297E1" w14:textId="77777777" w:rsidR="00AB22FC" w:rsidRDefault="00AB22FC">
      <w:pPr>
        <w:keepNext/>
        <w:keepLines/>
        <w:widowControl w:val="0"/>
        <w:pBdr>
          <w:top w:val="nil"/>
          <w:left w:val="nil"/>
          <w:bottom w:val="nil"/>
          <w:right w:val="nil"/>
          <w:between w:val="nil"/>
        </w:pBdr>
        <w:spacing w:before="261" w:after="120" w:line="360" w:lineRule="auto"/>
        <w:ind w:left="129" w:right="141" w:firstLine="129"/>
        <w:jc w:val="center"/>
        <w:rPr>
          <w:rFonts w:ascii="Times New Roman" w:eastAsia="Times New Roman" w:hAnsi="Times New Roman" w:cs="Times New Roman"/>
          <w:sz w:val="24"/>
          <w:szCs w:val="24"/>
        </w:rPr>
      </w:pPr>
    </w:p>
    <w:p w14:paraId="0019610B" w14:textId="77777777" w:rsidR="00AB22FC" w:rsidRDefault="00000000">
      <w:pPr>
        <w:widowControl w:val="0"/>
        <w:pBdr>
          <w:top w:val="nil"/>
          <w:left w:val="nil"/>
          <w:bottom w:val="nil"/>
          <w:right w:val="nil"/>
          <w:between w:val="nil"/>
        </w:pBdr>
        <w:spacing w:before="13" w:line="360" w:lineRule="auto"/>
        <w:ind w:left="737" w:right="6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Universidade de Pernambuco, Recife, Pernambuco</w:t>
      </w:r>
    </w:p>
    <w:p w14:paraId="68AC8F5A" w14:textId="77777777" w:rsidR="00AB22FC" w:rsidRDefault="00000000">
      <w:pPr>
        <w:widowControl w:val="0"/>
        <w:pBdr>
          <w:top w:val="nil"/>
          <w:left w:val="nil"/>
          <w:bottom w:val="nil"/>
          <w:right w:val="nil"/>
          <w:between w:val="nil"/>
        </w:pBdr>
        <w:spacing w:before="13" w:line="360" w:lineRule="auto"/>
        <w:ind w:left="737" w:right="6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Universidade de Pernambuco, Recife, Pernambuco</w:t>
      </w:r>
    </w:p>
    <w:p w14:paraId="7D304FD0" w14:textId="77777777" w:rsidR="00AB22FC" w:rsidRDefault="00000000">
      <w:pPr>
        <w:widowControl w:val="0"/>
        <w:pBdr>
          <w:top w:val="nil"/>
          <w:left w:val="nil"/>
          <w:bottom w:val="nil"/>
          <w:right w:val="nil"/>
          <w:between w:val="nil"/>
        </w:pBdr>
        <w:spacing w:before="13" w:line="360" w:lineRule="auto"/>
        <w:ind w:left="737" w:right="6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Universidade de Pernambuco, Recife, Pernambuco</w:t>
      </w:r>
    </w:p>
    <w:p w14:paraId="4172D88C" w14:textId="77777777" w:rsidR="00AB22FC" w:rsidRDefault="00AB22FC">
      <w:pPr>
        <w:widowControl w:val="0"/>
        <w:pBdr>
          <w:top w:val="nil"/>
          <w:left w:val="nil"/>
          <w:bottom w:val="nil"/>
          <w:right w:val="nil"/>
          <w:between w:val="nil"/>
        </w:pBdr>
        <w:spacing w:before="13" w:line="360" w:lineRule="auto"/>
        <w:ind w:right="646"/>
        <w:jc w:val="both"/>
        <w:rPr>
          <w:rFonts w:ascii="Times New Roman" w:eastAsia="Times New Roman" w:hAnsi="Times New Roman" w:cs="Times New Roman"/>
          <w:color w:val="FF0000"/>
          <w:sz w:val="24"/>
          <w:szCs w:val="24"/>
        </w:rPr>
      </w:pPr>
    </w:p>
    <w:p w14:paraId="6DEA419B" w14:textId="77777777" w:rsidR="00AB22FC" w:rsidRDefault="00000000">
      <w:pPr>
        <w:widowControl w:val="0"/>
        <w:pBdr>
          <w:top w:val="nil"/>
          <w:left w:val="nil"/>
          <w:bottom w:val="nil"/>
          <w:right w:val="nil"/>
          <w:between w:val="nil"/>
        </w:pBdr>
        <w:spacing w:before="13" w:line="360" w:lineRule="auto"/>
        <w:ind w:left="737" w:right="646"/>
        <w:jc w:val="both"/>
        <w:rPr>
          <w:rFonts w:ascii="Times New Roman" w:eastAsia="Times New Roman" w:hAnsi="Times New Roman" w:cs="Times New Roman"/>
          <w:sz w:val="24"/>
          <w:szCs w:val="24"/>
          <w:u w:val="single"/>
        </w:rPr>
      </w:pPr>
      <w:r>
        <w:rPr>
          <w:rFonts w:ascii="Times New Roman" w:eastAsia="Times New Roman" w:hAnsi="Times New Roman" w:cs="Times New Roman"/>
          <w:b/>
          <w:color w:val="000000"/>
          <w:sz w:val="24"/>
          <w:szCs w:val="24"/>
        </w:rPr>
        <w:t>Email:</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u w:val="single"/>
        </w:rPr>
        <w:t>Matheus.souzas@upe.br</w:t>
      </w:r>
    </w:p>
    <w:p w14:paraId="4EE3D3D7" w14:textId="77777777" w:rsidR="00AB22FC" w:rsidRDefault="00AB22FC">
      <w:pPr>
        <w:widowControl w:val="0"/>
        <w:pBdr>
          <w:top w:val="nil"/>
          <w:left w:val="nil"/>
          <w:bottom w:val="nil"/>
          <w:right w:val="nil"/>
          <w:between w:val="nil"/>
        </w:pBdr>
        <w:spacing w:before="13" w:line="360" w:lineRule="auto"/>
        <w:ind w:left="737" w:right="646"/>
        <w:jc w:val="both"/>
        <w:rPr>
          <w:rFonts w:ascii="Times New Roman" w:eastAsia="Times New Roman" w:hAnsi="Times New Roman" w:cs="Times New Roman"/>
          <w:sz w:val="24"/>
          <w:szCs w:val="24"/>
          <w:u w:val="single"/>
        </w:rPr>
      </w:pPr>
    </w:p>
    <w:p w14:paraId="1542B4C0" w14:textId="77777777" w:rsidR="00AB22FC" w:rsidRDefault="00000000">
      <w:pPr>
        <w:widowControl w:val="0"/>
        <w:pBdr>
          <w:top w:val="nil"/>
          <w:left w:val="nil"/>
          <w:bottom w:val="nil"/>
          <w:right w:val="nil"/>
          <w:between w:val="nil"/>
        </w:pBdr>
        <w:spacing w:before="13" w:line="360" w:lineRule="auto"/>
        <w:ind w:right="646"/>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RESUMO </w:t>
      </w:r>
    </w:p>
    <w:p w14:paraId="3B1CF4D4" w14:textId="77777777" w:rsidR="00AB22FC" w:rsidRDefault="00000000">
      <w:pPr>
        <w:spacing w:line="360" w:lineRule="auto"/>
        <w:jc w:val="both"/>
        <w:rPr>
          <w:rFonts w:ascii="Times New Roman" w:eastAsia="Times New Roman" w:hAnsi="Times New Roman" w:cs="Times New Roman"/>
          <w:b/>
          <w:strike/>
          <w:sz w:val="24"/>
          <w:szCs w:val="24"/>
        </w:rPr>
      </w:pPr>
      <w:r>
        <w:rPr>
          <w:rFonts w:ascii="Times New Roman" w:eastAsia="Times New Roman" w:hAnsi="Times New Roman" w:cs="Times New Roman"/>
          <w:b/>
          <w:sz w:val="24"/>
          <w:szCs w:val="24"/>
        </w:rPr>
        <w:t>Introdução:</w:t>
      </w:r>
      <w:r>
        <w:rPr>
          <w:rFonts w:ascii="Times New Roman" w:eastAsia="Times New Roman" w:hAnsi="Times New Roman" w:cs="Times New Roman"/>
          <w:sz w:val="24"/>
          <w:szCs w:val="24"/>
        </w:rPr>
        <w:t xml:space="preserve"> A odontologia baseada na fitoterapia vem ganhando destaque na Política Nacional de Saúde Brasileira. Diversas plantas possuem substâncias bioativas que podem ser utilizadas no tratamento de patologias, apresentando menos efeitos colaterais que os medicamentos convencionais. O alecrim (</w:t>
      </w:r>
      <w:proofErr w:type="spellStart"/>
      <w:r>
        <w:rPr>
          <w:rFonts w:ascii="Times New Roman" w:eastAsia="Times New Roman" w:hAnsi="Times New Roman" w:cs="Times New Roman"/>
          <w:i/>
          <w:sz w:val="24"/>
          <w:szCs w:val="24"/>
        </w:rPr>
        <w:t>Rosmarinus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officinalis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Linn</w:t>
      </w:r>
      <w:proofErr w:type="spellEnd"/>
      <w:r>
        <w:rPr>
          <w:rFonts w:ascii="Times New Roman" w:eastAsia="Times New Roman" w:hAnsi="Times New Roman" w:cs="Times New Roman"/>
          <w:sz w:val="24"/>
          <w:szCs w:val="24"/>
        </w:rPr>
        <w:t xml:space="preserve">.), por exemplo, possui ação antioxidante, analgésica e anti-inflamatória, além de propriedades antibacterianas e antifúngicas, combatendo microrganismos importantes para a saúde bucal. Dentre esses patógenos, pode-se destacar o </w:t>
      </w:r>
      <w:r>
        <w:rPr>
          <w:rFonts w:ascii="Times New Roman" w:eastAsia="Times New Roman" w:hAnsi="Times New Roman" w:cs="Times New Roman"/>
          <w:i/>
          <w:sz w:val="24"/>
          <w:szCs w:val="24"/>
        </w:rPr>
        <w:t xml:space="preserve">E. </w:t>
      </w:r>
      <w:proofErr w:type="spellStart"/>
      <w:r>
        <w:rPr>
          <w:rFonts w:ascii="Times New Roman" w:eastAsia="Times New Roman" w:hAnsi="Times New Roman" w:cs="Times New Roman"/>
          <w:i/>
          <w:sz w:val="24"/>
          <w:szCs w:val="24"/>
        </w:rPr>
        <w:t>faecalis</w:t>
      </w:r>
      <w:proofErr w:type="spellEnd"/>
      <w:r>
        <w:rPr>
          <w:rFonts w:ascii="Times New Roman" w:eastAsia="Times New Roman" w:hAnsi="Times New Roman" w:cs="Times New Roman"/>
          <w:sz w:val="24"/>
          <w:szCs w:val="24"/>
        </w:rPr>
        <w:t xml:space="preserve"> e a </w:t>
      </w:r>
      <w:r>
        <w:rPr>
          <w:rFonts w:ascii="Times New Roman" w:eastAsia="Times New Roman" w:hAnsi="Times New Roman" w:cs="Times New Roman"/>
          <w:i/>
          <w:sz w:val="24"/>
          <w:szCs w:val="24"/>
        </w:rPr>
        <w:t xml:space="preserve">C. </w:t>
      </w:r>
      <w:proofErr w:type="spellStart"/>
      <w:r>
        <w:rPr>
          <w:rFonts w:ascii="Times New Roman" w:eastAsia="Times New Roman" w:hAnsi="Times New Roman" w:cs="Times New Roman"/>
          <w:i/>
          <w:sz w:val="24"/>
          <w:szCs w:val="24"/>
        </w:rPr>
        <w:t>albicans</w:t>
      </w:r>
      <w:proofErr w:type="spellEnd"/>
      <w:r>
        <w:rPr>
          <w:rFonts w:ascii="Times New Roman" w:eastAsia="Times New Roman" w:hAnsi="Times New Roman" w:cs="Times New Roman"/>
          <w:sz w:val="24"/>
          <w:szCs w:val="24"/>
        </w:rPr>
        <w:t xml:space="preserve">, que apresentam resistência elevada aos agentes antimicrobianos e estão frequentemente associados ao fracasso do procedimento endodôntico e infecções recorrentes dos canais radiculares. </w:t>
      </w:r>
      <w:r>
        <w:rPr>
          <w:rFonts w:ascii="Times New Roman" w:eastAsia="Times New Roman" w:hAnsi="Times New Roman" w:cs="Times New Roman"/>
          <w:b/>
          <w:sz w:val="24"/>
          <w:szCs w:val="24"/>
        </w:rPr>
        <w:t>Objetivo:</w:t>
      </w:r>
      <w:r>
        <w:rPr>
          <w:rFonts w:ascii="Times New Roman" w:eastAsia="Times New Roman" w:hAnsi="Times New Roman" w:cs="Times New Roman"/>
          <w:sz w:val="24"/>
          <w:szCs w:val="24"/>
        </w:rPr>
        <w:t xml:space="preserve"> Expor, por meio de uma revisão de literatura, os diversos usos do extrato do alecrim (</w:t>
      </w:r>
      <w:proofErr w:type="spellStart"/>
      <w:r>
        <w:rPr>
          <w:rFonts w:ascii="Times New Roman" w:eastAsia="Times New Roman" w:hAnsi="Times New Roman" w:cs="Times New Roman"/>
          <w:i/>
          <w:sz w:val="24"/>
          <w:szCs w:val="24"/>
        </w:rPr>
        <w:t>Rosmarinus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officinalis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Linn</w:t>
      </w:r>
      <w:proofErr w:type="spellEnd"/>
      <w:r>
        <w:rPr>
          <w:rFonts w:ascii="Times New Roman" w:eastAsia="Times New Roman" w:hAnsi="Times New Roman" w:cs="Times New Roman"/>
          <w:sz w:val="24"/>
          <w:szCs w:val="24"/>
        </w:rPr>
        <w:t xml:space="preserve">.) na odontologia, relacionando-o ao processo de desinfecção radicular e analisando a ação antimicrobiana frente a infecções endodônticas persistentes. </w:t>
      </w:r>
      <w:r>
        <w:rPr>
          <w:rFonts w:ascii="Times New Roman" w:eastAsia="Times New Roman" w:hAnsi="Times New Roman" w:cs="Times New Roman"/>
          <w:b/>
          <w:sz w:val="24"/>
          <w:szCs w:val="24"/>
        </w:rPr>
        <w:t xml:space="preserve">Metodologia: </w:t>
      </w:r>
      <w:r>
        <w:rPr>
          <w:rFonts w:ascii="Times New Roman" w:eastAsia="Times New Roman" w:hAnsi="Times New Roman" w:cs="Times New Roman"/>
          <w:sz w:val="24"/>
          <w:szCs w:val="24"/>
        </w:rPr>
        <w:t xml:space="preserve">Realizou-se uma revisão da literatura com artigos publicados entre os anos de 2019 a 2024, utilizando os descritores: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Rosmarinus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officinalis</w:t>
      </w:r>
      <w:proofErr w:type="spellEnd"/>
      <w:r>
        <w:rPr>
          <w:rFonts w:ascii="Times New Roman" w:eastAsia="Times New Roman" w:hAnsi="Times New Roman" w:cs="Times New Roman"/>
          <w:i/>
          <w:sz w:val="24"/>
          <w:szCs w:val="24"/>
        </w:rPr>
        <w:t>'', ''</w:t>
      </w:r>
      <w:proofErr w:type="spellStart"/>
      <w:r>
        <w:rPr>
          <w:rFonts w:ascii="Times New Roman" w:eastAsia="Times New Roman" w:hAnsi="Times New Roman" w:cs="Times New Roman"/>
          <w:i/>
          <w:sz w:val="24"/>
          <w:szCs w:val="24"/>
        </w:rPr>
        <w:t>Candida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albicans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Enterococcus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faecalis</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 pesquisa foi realizada nas bases de dados </w:t>
      </w:r>
      <w:proofErr w:type="spellStart"/>
      <w:r>
        <w:rPr>
          <w:rFonts w:ascii="Times New Roman" w:eastAsia="Times New Roman" w:hAnsi="Times New Roman" w:cs="Times New Roman"/>
          <w:sz w:val="24"/>
          <w:szCs w:val="24"/>
        </w:rPr>
        <w:t>PubMED</w:t>
      </w:r>
      <w:proofErr w:type="spellEnd"/>
      <w:r>
        <w:rPr>
          <w:rFonts w:ascii="Times New Roman" w:eastAsia="Times New Roman" w:hAnsi="Times New Roman" w:cs="Times New Roman"/>
          <w:sz w:val="24"/>
          <w:szCs w:val="24"/>
        </w:rPr>
        <w:t xml:space="preserve"> e Cochrane. Foram selecionados 16 artigos relevantes à temática. </w:t>
      </w:r>
      <w:r>
        <w:rPr>
          <w:rFonts w:ascii="Times New Roman" w:eastAsia="Times New Roman" w:hAnsi="Times New Roman" w:cs="Times New Roman"/>
          <w:b/>
          <w:sz w:val="24"/>
          <w:szCs w:val="24"/>
        </w:rPr>
        <w:t>Resultados:</w:t>
      </w:r>
      <w:r>
        <w:rPr>
          <w:rFonts w:ascii="Times New Roman" w:eastAsia="Times New Roman" w:hAnsi="Times New Roman" w:cs="Times New Roman"/>
          <w:sz w:val="24"/>
          <w:szCs w:val="24"/>
        </w:rPr>
        <w:t xml:space="preserve"> Segundo os estudos analisados, o alecrim (</w:t>
      </w:r>
      <w:proofErr w:type="spellStart"/>
      <w:r>
        <w:rPr>
          <w:rFonts w:ascii="Times New Roman" w:eastAsia="Times New Roman" w:hAnsi="Times New Roman" w:cs="Times New Roman"/>
          <w:i/>
          <w:sz w:val="24"/>
          <w:szCs w:val="24"/>
        </w:rPr>
        <w:t>Rosmarinus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officinalis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Linn</w:t>
      </w:r>
      <w:proofErr w:type="spellEnd"/>
      <w:r>
        <w:rPr>
          <w:rFonts w:ascii="Times New Roman" w:eastAsia="Times New Roman" w:hAnsi="Times New Roman" w:cs="Times New Roman"/>
          <w:sz w:val="24"/>
          <w:szCs w:val="24"/>
        </w:rPr>
        <w:t xml:space="preserve">.) e seus </w:t>
      </w:r>
      <w:proofErr w:type="spellStart"/>
      <w:r>
        <w:rPr>
          <w:rFonts w:ascii="Times New Roman" w:eastAsia="Times New Roman" w:hAnsi="Times New Roman" w:cs="Times New Roman"/>
          <w:sz w:val="24"/>
          <w:szCs w:val="24"/>
        </w:rPr>
        <w:t>fitoconstituintes</w:t>
      </w:r>
      <w:proofErr w:type="spellEnd"/>
      <w:r>
        <w:rPr>
          <w:rFonts w:ascii="Times New Roman" w:eastAsia="Times New Roman" w:hAnsi="Times New Roman" w:cs="Times New Roman"/>
          <w:color w:val="212121"/>
          <w:sz w:val="24"/>
          <w:szCs w:val="24"/>
        </w:rPr>
        <w:t>,</w:t>
      </w:r>
      <w:r>
        <w:rPr>
          <w:rFonts w:ascii="Times New Roman" w:eastAsia="Times New Roman" w:hAnsi="Times New Roman" w:cs="Times New Roman"/>
          <w:b/>
          <w:color w:val="212121"/>
          <w:sz w:val="24"/>
          <w:szCs w:val="24"/>
        </w:rPr>
        <w:t xml:space="preserve"> </w:t>
      </w:r>
      <w:r>
        <w:rPr>
          <w:rFonts w:ascii="Times New Roman" w:eastAsia="Times New Roman" w:hAnsi="Times New Roman" w:cs="Times New Roman"/>
          <w:color w:val="212121"/>
          <w:sz w:val="24"/>
          <w:szCs w:val="24"/>
        </w:rPr>
        <w:t xml:space="preserve">apresentaram </w:t>
      </w:r>
      <w:r>
        <w:rPr>
          <w:rFonts w:ascii="Times New Roman" w:eastAsia="Times New Roman" w:hAnsi="Times New Roman" w:cs="Times New Roman"/>
          <w:sz w:val="24"/>
          <w:szCs w:val="24"/>
        </w:rPr>
        <w:t xml:space="preserve">uma alta atividade antimicrobiana. Sua ação </w:t>
      </w:r>
      <w:r>
        <w:rPr>
          <w:rFonts w:ascii="Times New Roman" w:eastAsia="Times New Roman" w:hAnsi="Times New Roman" w:cs="Times New Roman"/>
          <w:sz w:val="24"/>
          <w:szCs w:val="24"/>
        </w:rPr>
        <w:lastRenderedPageBreak/>
        <w:t xml:space="preserve">abrange de forma eficaz o </w:t>
      </w:r>
      <w:r>
        <w:rPr>
          <w:rFonts w:ascii="Times New Roman" w:eastAsia="Times New Roman" w:hAnsi="Times New Roman" w:cs="Times New Roman"/>
          <w:i/>
          <w:sz w:val="24"/>
          <w:szCs w:val="24"/>
        </w:rPr>
        <w:t xml:space="preserve">E. </w:t>
      </w:r>
      <w:proofErr w:type="spellStart"/>
      <w:r>
        <w:rPr>
          <w:rFonts w:ascii="Times New Roman" w:eastAsia="Times New Roman" w:hAnsi="Times New Roman" w:cs="Times New Roman"/>
          <w:i/>
          <w:sz w:val="24"/>
          <w:szCs w:val="24"/>
        </w:rPr>
        <w:t>faecalis</w:t>
      </w:r>
      <w:proofErr w:type="spellEnd"/>
      <w:r>
        <w:rPr>
          <w:rFonts w:ascii="Times New Roman" w:eastAsia="Times New Roman" w:hAnsi="Times New Roman" w:cs="Times New Roman"/>
          <w:i/>
          <w:sz w:val="24"/>
          <w:szCs w:val="24"/>
        </w:rPr>
        <w:t xml:space="preserve"> e C. </w:t>
      </w:r>
      <w:proofErr w:type="spellStart"/>
      <w:r>
        <w:rPr>
          <w:rFonts w:ascii="Times New Roman" w:eastAsia="Times New Roman" w:hAnsi="Times New Roman" w:cs="Times New Roman"/>
          <w:i/>
          <w:sz w:val="24"/>
          <w:szCs w:val="24"/>
        </w:rPr>
        <w:t>albicans</w:t>
      </w:r>
      <w:proofErr w:type="spellEnd"/>
      <w:r>
        <w:rPr>
          <w:rFonts w:ascii="Times New Roman" w:eastAsia="Times New Roman" w:hAnsi="Times New Roman" w:cs="Times New Roman"/>
          <w:sz w:val="24"/>
          <w:szCs w:val="24"/>
        </w:rPr>
        <w:t xml:space="preserve">, sendo utilizado como curativo de pulpotomia, medicamento intracanal e solução irrigadora durante o procedimento endodôntico. </w:t>
      </w:r>
      <w:r>
        <w:rPr>
          <w:rFonts w:ascii="Times New Roman" w:eastAsia="Times New Roman" w:hAnsi="Times New Roman" w:cs="Times New Roman"/>
          <w:b/>
          <w:sz w:val="24"/>
          <w:szCs w:val="24"/>
        </w:rPr>
        <w:t xml:space="preserve">Conclusão: </w:t>
      </w:r>
      <w:r>
        <w:rPr>
          <w:rFonts w:ascii="Times New Roman" w:eastAsia="Times New Roman" w:hAnsi="Times New Roman" w:cs="Times New Roman"/>
          <w:sz w:val="24"/>
          <w:szCs w:val="24"/>
        </w:rPr>
        <w:t>O alecrim (</w:t>
      </w:r>
      <w:proofErr w:type="spellStart"/>
      <w:r>
        <w:rPr>
          <w:rFonts w:ascii="Times New Roman" w:eastAsia="Times New Roman" w:hAnsi="Times New Roman" w:cs="Times New Roman"/>
          <w:i/>
          <w:sz w:val="24"/>
          <w:szCs w:val="24"/>
        </w:rPr>
        <w:t>Rosmarinus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officinalis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Linn</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possui alto poder antimicrobiano contra os principais microrganismos responsáveis por infecções endodônticas persistentes, favorecendo o uso do seu extrato como substância alternativa para soluções irrigadoras e medicação intracanal durante o tratamento endodôntico.</w:t>
      </w:r>
    </w:p>
    <w:p w14:paraId="60E94301" w14:textId="77777777" w:rsidR="00AB22FC" w:rsidRDefault="00AB22FC">
      <w:pPr>
        <w:spacing w:line="360" w:lineRule="auto"/>
        <w:jc w:val="both"/>
        <w:rPr>
          <w:rFonts w:ascii="Times New Roman" w:eastAsia="Times New Roman" w:hAnsi="Times New Roman" w:cs="Times New Roman"/>
          <w:b/>
          <w:sz w:val="24"/>
          <w:szCs w:val="24"/>
        </w:rPr>
      </w:pPr>
    </w:p>
    <w:p w14:paraId="6FBC5CF8" w14:textId="77777777" w:rsidR="00AB22FC" w:rsidRDefault="0000000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Palavras-Chave: </w:t>
      </w:r>
      <w:proofErr w:type="spellStart"/>
      <w:r>
        <w:rPr>
          <w:rFonts w:ascii="Times New Roman" w:eastAsia="Times New Roman" w:hAnsi="Times New Roman" w:cs="Times New Roman"/>
          <w:i/>
          <w:sz w:val="24"/>
          <w:szCs w:val="24"/>
        </w:rPr>
        <w:t>Rosmarinus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officinalis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Candida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albicans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Enterococcus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faecalis</w:t>
      </w:r>
      <w:proofErr w:type="spellEnd"/>
      <w:r>
        <w:rPr>
          <w:rFonts w:ascii="Times New Roman" w:eastAsia="Times New Roman" w:hAnsi="Times New Roman" w:cs="Times New Roman"/>
          <w:i/>
          <w:sz w:val="24"/>
          <w:szCs w:val="24"/>
        </w:rPr>
        <w:t>.</w:t>
      </w:r>
    </w:p>
    <w:p w14:paraId="28478D9B" w14:textId="77777777" w:rsidR="00AB22F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Área temática: </w:t>
      </w:r>
      <w:r>
        <w:rPr>
          <w:rFonts w:ascii="Times New Roman" w:eastAsia="Times New Roman" w:hAnsi="Times New Roman" w:cs="Times New Roman"/>
          <w:sz w:val="24"/>
          <w:szCs w:val="24"/>
        </w:rPr>
        <w:t>Endodontia</w:t>
      </w:r>
    </w:p>
    <w:sectPr w:rsidR="00AB22FC">
      <w:headerReference w:type="default" r:id="rId6"/>
      <w:footerReference w:type="default" r:id="rId7"/>
      <w:pgSz w:w="11920" w:h="16840"/>
      <w:pgMar w:top="1417" w:right="1700" w:bottom="1417" w:left="17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DE18" w14:textId="77777777" w:rsidR="00A56239" w:rsidRDefault="00A56239">
      <w:pPr>
        <w:spacing w:line="240" w:lineRule="auto"/>
      </w:pPr>
      <w:r>
        <w:separator/>
      </w:r>
    </w:p>
  </w:endnote>
  <w:endnote w:type="continuationSeparator" w:id="0">
    <w:p w14:paraId="4BF51CEC" w14:textId="77777777" w:rsidR="00A56239" w:rsidRDefault="00A56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E148" w14:textId="77777777" w:rsidR="00AB22FC" w:rsidRDefault="00000000">
    <w:r>
      <w:rPr>
        <w:noProof/>
      </w:rPr>
      <w:drawing>
        <wp:anchor distT="0" distB="0" distL="114300" distR="114300" simplePos="0" relativeHeight="251659264" behindDoc="0" locked="0" layoutInCell="1" hidden="0" allowOverlap="1" wp14:anchorId="540F9174" wp14:editId="744BFEDB">
          <wp:simplePos x="0" y="0"/>
          <wp:positionH relativeFrom="column">
            <wp:posOffset>-1079495</wp:posOffset>
          </wp:positionH>
          <wp:positionV relativeFrom="paragraph">
            <wp:posOffset>-135885</wp:posOffset>
          </wp:positionV>
          <wp:extent cx="7562850" cy="78610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2850" cy="78610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653B" w14:textId="77777777" w:rsidR="00A56239" w:rsidRDefault="00A56239">
      <w:pPr>
        <w:spacing w:line="240" w:lineRule="auto"/>
      </w:pPr>
      <w:r>
        <w:separator/>
      </w:r>
    </w:p>
  </w:footnote>
  <w:footnote w:type="continuationSeparator" w:id="0">
    <w:p w14:paraId="7876021E" w14:textId="77777777" w:rsidR="00A56239" w:rsidRDefault="00A562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4E94" w14:textId="77777777" w:rsidR="00AB22FC" w:rsidRDefault="00000000">
    <w:pPr>
      <w:pBdr>
        <w:top w:val="nil"/>
        <w:left w:val="nil"/>
        <w:bottom w:val="nil"/>
        <w:right w:val="nil"/>
        <w:between w:val="nil"/>
      </w:pBdr>
      <w:tabs>
        <w:tab w:val="center" w:pos="4680"/>
        <w:tab w:val="right" w:pos="9360"/>
      </w:tabs>
      <w:spacing w:line="240" w:lineRule="auto"/>
      <w:rPr>
        <w:color w:val="000000"/>
      </w:rPr>
    </w:pPr>
    <w:r>
      <w:rPr>
        <w:noProof/>
      </w:rPr>
      <w:drawing>
        <wp:anchor distT="0" distB="0" distL="114300" distR="114300" simplePos="0" relativeHeight="251658240" behindDoc="0" locked="0" layoutInCell="1" hidden="0" allowOverlap="1" wp14:anchorId="2AF99B68" wp14:editId="44CBA897">
          <wp:simplePos x="0" y="0"/>
          <wp:positionH relativeFrom="column">
            <wp:posOffset>-1079495</wp:posOffset>
          </wp:positionH>
          <wp:positionV relativeFrom="paragraph">
            <wp:posOffset>0</wp:posOffset>
          </wp:positionV>
          <wp:extent cx="7562850" cy="93218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2850" cy="9321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2FC"/>
    <w:rsid w:val="0005460B"/>
    <w:rsid w:val="00A56239"/>
    <w:rsid w:val="00AB22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912C"/>
  <w15:docId w15:val="{1A265503-3B06-45BE-A4C7-F0799FAE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480"/>
      <w:outlineLvl w:val="0"/>
    </w:pPr>
    <w:rPr>
      <w:b/>
      <w:color w:val="345A8A"/>
      <w:sz w:val="32"/>
      <w:szCs w:val="32"/>
    </w:rPr>
  </w:style>
  <w:style w:type="paragraph" w:styleId="Ttulo2">
    <w:name w:val="heading 2"/>
    <w:basedOn w:val="Normal"/>
    <w:next w:val="Normal"/>
    <w:uiPriority w:val="9"/>
    <w:semiHidden/>
    <w:unhideWhenUsed/>
    <w:qFormat/>
    <w:pPr>
      <w:spacing w:before="200"/>
      <w:outlineLvl w:val="1"/>
    </w:pPr>
    <w:rPr>
      <w:b/>
      <w:color w:val="4F81BD"/>
      <w:sz w:val="26"/>
      <w:szCs w:val="26"/>
    </w:rPr>
  </w:style>
  <w:style w:type="paragraph" w:styleId="Ttulo3">
    <w:name w:val="heading 3"/>
    <w:basedOn w:val="Normal"/>
    <w:next w:val="Normal"/>
    <w:uiPriority w:val="9"/>
    <w:semiHidden/>
    <w:unhideWhenUsed/>
    <w:qFormat/>
    <w:pPr>
      <w:spacing w:before="200"/>
      <w:outlineLvl w:val="2"/>
    </w:pPr>
    <w:rPr>
      <w:b/>
      <w:color w:val="4F81BD"/>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300"/>
    </w:pPr>
    <w:rPr>
      <w:color w:val="17365D"/>
      <w:sz w:val="52"/>
      <w:szCs w:val="52"/>
    </w:rPr>
  </w:style>
  <w:style w:type="paragraph" w:styleId="Subttulo">
    <w:name w:val="Subtitle"/>
    <w:basedOn w:val="Normal"/>
    <w:next w:val="Normal"/>
    <w:uiPriority w:val="11"/>
    <w:qFormat/>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2241</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Kauã</dc:creator>
  <cp:lastModifiedBy>kauavinicius956@gmail.com</cp:lastModifiedBy>
  <cp:revision>2</cp:revision>
  <dcterms:created xsi:type="dcterms:W3CDTF">2024-04-23T23:30:00Z</dcterms:created>
  <dcterms:modified xsi:type="dcterms:W3CDTF">2024-04-23T23:30:00Z</dcterms:modified>
</cp:coreProperties>
</file>