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4B83" w14:textId="6245B6B4" w:rsidR="00C637C2" w:rsidRPr="00822A98" w:rsidRDefault="00266476" w:rsidP="00A97164">
      <w:pPr>
        <w:ind w:left="1" w:hanging="3"/>
        <w:jc w:val="center"/>
        <w:rPr>
          <w:sz w:val="32"/>
          <w:szCs w:val="32"/>
        </w:rPr>
      </w:pPr>
      <w:r w:rsidRPr="00822A98">
        <w:rPr>
          <w:b/>
          <w:sz w:val="32"/>
          <w:szCs w:val="32"/>
        </w:rPr>
        <w:t>Producción investigativa sobre retención</w:t>
      </w:r>
      <w:r w:rsidR="001D015C" w:rsidRPr="00822A98">
        <w:rPr>
          <w:b/>
          <w:sz w:val="32"/>
          <w:szCs w:val="32"/>
        </w:rPr>
        <w:t xml:space="preserve"> </w:t>
      </w:r>
      <w:r w:rsidRPr="00822A98">
        <w:rPr>
          <w:b/>
          <w:sz w:val="32"/>
          <w:szCs w:val="32"/>
        </w:rPr>
        <w:t>- abandono universitario en el Perú y reflexiones para una política universitaria</w:t>
      </w:r>
    </w:p>
    <w:p w14:paraId="5908981C" w14:textId="77777777" w:rsidR="00C637C2" w:rsidRPr="00822A98" w:rsidRDefault="00C637C2">
      <w:pPr>
        <w:spacing w:after="0"/>
        <w:ind w:left="0" w:hanging="2"/>
        <w:rPr>
          <w:sz w:val="24"/>
          <w:szCs w:val="24"/>
        </w:rPr>
      </w:pPr>
    </w:p>
    <w:p w14:paraId="4F2152E2" w14:textId="00BBA30B" w:rsidR="00C637C2" w:rsidRPr="00822A98" w:rsidRDefault="006E311B" w:rsidP="00266476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  <w:r w:rsidRPr="00822A98">
        <w:rPr>
          <w:b/>
          <w:sz w:val="24"/>
          <w:szCs w:val="24"/>
        </w:rPr>
        <w:t xml:space="preserve">Línea </w:t>
      </w:r>
      <w:r w:rsidR="001D015C" w:rsidRPr="00822A98">
        <w:rPr>
          <w:b/>
          <w:sz w:val="24"/>
          <w:szCs w:val="24"/>
        </w:rPr>
        <w:t>t</w:t>
      </w:r>
      <w:r w:rsidRPr="00822A98">
        <w:rPr>
          <w:b/>
          <w:sz w:val="24"/>
          <w:szCs w:val="24"/>
        </w:rPr>
        <w:t>emática</w:t>
      </w:r>
      <w:r w:rsidRPr="00822A98">
        <w:rPr>
          <w:sz w:val="24"/>
          <w:szCs w:val="24"/>
        </w:rPr>
        <w:t xml:space="preserve">: </w:t>
      </w:r>
      <w:r w:rsidR="001D015C" w:rsidRPr="00822A98">
        <w:rPr>
          <w:sz w:val="24"/>
          <w:szCs w:val="24"/>
        </w:rPr>
        <w:t>p</w:t>
      </w:r>
      <w:r w:rsidR="00266476" w:rsidRPr="00822A98">
        <w:rPr>
          <w:sz w:val="24"/>
          <w:szCs w:val="24"/>
        </w:rPr>
        <w:t>olíticas institucionales y gestión institucional para la gestión de la permanencia y reducción del abandono</w:t>
      </w:r>
    </w:p>
    <w:p w14:paraId="62FBEFF2" w14:textId="0908B1A9" w:rsidR="001324D7" w:rsidRPr="001324D7" w:rsidRDefault="001324D7" w:rsidP="001324D7">
      <w:pPr>
        <w:ind w:leftChars="0" w:left="2" w:hanging="2"/>
        <w:jc w:val="right"/>
        <w:rPr>
          <w:i/>
          <w:iCs/>
          <w:sz w:val="24"/>
          <w:szCs w:val="24"/>
        </w:rPr>
      </w:pPr>
      <w:r w:rsidRPr="001324D7">
        <w:rPr>
          <w:i/>
          <w:iCs/>
          <w:sz w:val="24"/>
          <w:szCs w:val="24"/>
        </w:rPr>
        <w:t>Diego Masías Jara Sánchez</w:t>
      </w:r>
      <w:r w:rsidRPr="001324D7">
        <w:rPr>
          <w:i/>
          <w:iCs/>
          <w:sz w:val="24"/>
          <w:szCs w:val="24"/>
        </w:rPr>
        <w:t xml:space="preserve">, </w:t>
      </w:r>
      <w:r w:rsidRPr="001324D7">
        <w:rPr>
          <w:i/>
          <w:iCs/>
          <w:sz w:val="24"/>
          <w:szCs w:val="24"/>
        </w:rPr>
        <w:t>Pontificia Universidad Católica del Perú</w:t>
      </w:r>
      <w:r w:rsidRPr="001324D7">
        <w:rPr>
          <w:i/>
          <w:iCs/>
          <w:sz w:val="24"/>
          <w:szCs w:val="24"/>
        </w:rPr>
        <w:t xml:space="preserve">, </w:t>
      </w:r>
      <w:r w:rsidRPr="001324D7">
        <w:rPr>
          <w:i/>
          <w:iCs/>
          <w:sz w:val="24"/>
          <w:szCs w:val="24"/>
        </w:rPr>
        <w:t>diego.jara@pucp.edu.pe</w:t>
      </w:r>
    </w:p>
    <w:p w14:paraId="6FC64CD0" w14:textId="6CBDA62E" w:rsidR="001324D7" w:rsidRPr="001324D7" w:rsidRDefault="001324D7" w:rsidP="001324D7">
      <w:pPr>
        <w:suppressAutoHyphens w:val="0"/>
        <w:spacing w:after="0" w:line="240" w:lineRule="auto"/>
        <w:ind w:leftChars="0" w:left="0" w:firstLineChars="0" w:firstLine="0"/>
        <w:jc w:val="right"/>
        <w:outlineLvl w:val="9"/>
        <w:rPr>
          <w:rStyle w:val="Hyperlink"/>
          <w:i/>
          <w:i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324D7">
        <w:rPr>
          <w:i/>
          <w:iCs/>
          <w:color w:val="000000" w:themeColor="text1"/>
          <w:sz w:val="24"/>
          <w:szCs w:val="24"/>
        </w:rPr>
        <w:t>James Ferreira Moura Junior</w:t>
      </w:r>
      <w:r w:rsidRPr="001324D7">
        <w:rPr>
          <w:i/>
          <w:iCs/>
          <w:color w:val="000000" w:themeColor="text1"/>
          <w:sz w:val="24"/>
          <w:szCs w:val="24"/>
        </w:rPr>
        <w:t xml:space="preserve">, </w:t>
      </w:r>
      <w:hyperlink r:id="rId9" w:history="1">
        <w:r w:rsidRPr="001324D7">
          <w:rPr>
            <w:rStyle w:val="Hyperlink"/>
            <w:i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Universidade da Integração Internacional da Lusofonia Afro-Brasileira</w:t>
        </w:r>
      </w:hyperlink>
      <w:r w:rsidRPr="001324D7">
        <w:rPr>
          <w:rStyle w:val="org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324D7">
        <w:rPr>
          <w:rStyle w:val="org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james.mourajr@unilab.edu.br</w:t>
      </w:r>
    </w:p>
    <w:p w14:paraId="6CFA1F9D" w14:textId="77777777" w:rsidR="008C2FAA" w:rsidRPr="00822A98" w:rsidRDefault="008C2FAA" w:rsidP="00266476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</w:p>
    <w:p w14:paraId="7207E83F" w14:textId="51805540" w:rsidR="008C2FAA" w:rsidRPr="00822A98" w:rsidRDefault="008C2FAA" w:rsidP="00266476">
      <w:pPr>
        <w:tabs>
          <w:tab w:val="left" w:pos="7078"/>
          <w:tab w:val="left" w:pos="9638"/>
        </w:tabs>
        <w:ind w:left="0" w:hanging="2"/>
        <w:rPr>
          <w:b/>
          <w:sz w:val="24"/>
          <w:szCs w:val="24"/>
        </w:rPr>
      </w:pPr>
      <w:r w:rsidRPr="00822A98">
        <w:rPr>
          <w:b/>
          <w:sz w:val="24"/>
          <w:szCs w:val="24"/>
        </w:rPr>
        <w:t>Resumen</w:t>
      </w:r>
    </w:p>
    <w:p w14:paraId="4A8C1A2D" w14:textId="4824902B" w:rsidR="008C2FAA" w:rsidRPr="00822A98" w:rsidRDefault="00A07A0F" w:rsidP="00410C64">
      <w:pPr>
        <w:spacing w:line="276" w:lineRule="auto"/>
        <w:ind w:left="0" w:hanging="2"/>
        <w:rPr>
          <w:bCs/>
          <w:sz w:val="24"/>
          <w:szCs w:val="24"/>
        </w:rPr>
      </w:pPr>
      <w:r w:rsidRPr="00822A98">
        <w:rPr>
          <w:bCs/>
          <w:sz w:val="24"/>
          <w:szCs w:val="24"/>
        </w:rPr>
        <w:t>Es necesario p</w:t>
      </w:r>
      <w:r w:rsidR="008C2FAA" w:rsidRPr="00822A98">
        <w:rPr>
          <w:bCs/>
          <w:sz w:val="24"/>
          <w:szCs w:val="24"/>
        </w:rPr>
        <w:t xml:space="preserve">romover la retención universitaria, </w:t>
      </w:r>
      <w:r w:rsidR="001D015C" w:rsidRPr="00822A98">
        <w:rPr>
          <w:bCs/>
          <w:sz w:val="24"/>
          <w:szCs w:val="24"/>
        </w:rPr>
        <w:t xml:space="preserve">a fin de </w:t>
      </w:r>
      <w:r w:rsidR="008C2FAA" w:rsidRPr="00822A98">
        <w:rPr>
          <w:bCs/>
          <w:sz w:val="24"/>
          <w:szCs w:val="24"/>
        </w:rPr>
        <w:t>garantizar la sostenibilidad social</w:t>
      </w:r>
      <w:r w:rsidR="00410C64" w:rsidRPr="00822A98">
        <w:rPr>
          <w:bCs/>
          <w:sz w:val="24"/>
          <w:szCs w:val="24"/>
        </w:rPr>
        <w:t xml:space="preserve"> y</w:t>
      </w:r>
      <w:r w:rsidR="008C2FAA" w:rsidRPr="00822A98">
        <w:rPr>
          <w:bCs/>
          <w:sz w:val="24"/>
          <w:szCs w:val="24"/>
        </w:rPr>
        <w:t xml:space="preserve"> económica. </w:t>
      </w:r>
      <w:r w:rsidRPr="00822A98">
        <w:rPr>
          <w:bCs/>
          <w:sz w:val="24"/>
          <w:szCs w:val="24"/>
        </w:rPr>
        <w:t>E</w:t>
      </w:r>
      <w:r w:rsidR="008C2FAA" w:rsidRPr="00822A98">
        <w:rPr>
          <w:bCs/>
          <w:sz w:val="24"/>
          <w:szCs w:val="24"/>
        </w:rPr>
        <w:t>n América Latina</w:t>
      </w:r>
      <w:r w:rsidR="00E31842" w:rsidRPr="00822A98">
        <w:rPr>
          <w:bCs/>
          <w:sz w:val="24"/>
          <w:szCs w:val="24"/>
        </w:rPr>
        <w:t>,</w:t>
      </w:r>
      <w:r w:rsidR="008C2FAA" w:rsidRPr="00822A98">
        <w:rPr>
          <w:bCs/>
          <w:sz w:val="24"/>
          <w:szCs w:val="24"/>
        </w:rPr>
        <w:t xml:space="preserve"> las tasas de retención </w:t>
      </w:r>
      <w:r w:rsidR="00E31842" w:rsidRPr="00822A98">
        <w:rPr>
          <w:bCs/>
          <w:sz w:val="24"/>
          <w:szCs w:val="24"/>
        </w:rPr>
        <w:t xml:space="preserve">universitaria </w:t>
      </w:r>
      <w:r w:rsidR="008C2FAA" w:rsidRPr="00822A98">
        <w:rPr>
          <w:bCs/>
          <w:sz w:val="24"/>
          <w:szCs w:val="24"/>
        </w:rPr>
        <w:t>son bajas</w:t>
      </w:r>
      <w:r w:rsidR="00E31842" w:rsidRPr="00822A98">
        <w:rPr>
          <w:bCs/>
          <w:sz w:val="24"/>
          <w:szCs w:val="24"/>
        </w:rPr>
        <w:t xml:space="preserve">. </w:t>
      </w:r>
      <w:r w:rsidR="00410C64" w:rsidRPr="00822A98">
        <w:rPr>
          <w:bCs/>
          <w:sz w:val="24"/>
          <w:szCs w:val="24"/>
        </w:rPr>
        <w:t xml:space="preserve">En Perú, </w:t>
      </w:r>
      <w:r w:rsidR="008C2FAA" w:rsidRPr="00822A98">
        <w:rPr>
          <w:bCs/>
          <w:sz w:val="24"/>
          <w:szCs w:val="24"/>
        </w:rPr>
        <w:t xml:space="preserve">la tasa de retención </w:t>
      </w:r>
      <w:r w:rsidR="008D2B1A" w:rsidRPr="00822A98">
        <w:rPr>
          <w:bCs/>
          <w:sz w:val="24"/>
          <w:szCs w:val="24"/>
        </w:rPr>
        <w:t xml:space="preserve">en el </w:t>
      </w:r>
      <w:r w:rsidR="00E31842" w:rsidRPr="00822A98">
        <w:rPr>
          <w:bCs/>
          <w:sz w:val="24"/>
          <w:szCs w:val="24"/>
        </w:rPr>
        <w:t xml:space="preserve">semestre académico </w:t>
      </w:r>
      <w:r w:rsidR="008D2B1A" w:rsidRPr="00822A98">
        <w:rPr>
          <w:bCs/>
          <w:sz w:val="24"/>
          <w:szCs w:val="24"/>
        </w:rPr>
        <w:t>2019-2 fue de 87,4%</w:t>
      </w:r>
      <w:r w:rsidRPr="00822A98">
        <w:rPr>
          <w:bCs/>
          <w:sz w:val="24"/>
          <w:szCs w:val="24"/>
        </w:rPr>
        <w:t xml:space="preserve">; en </w:t>
      </w:r>
      <w:r w:rsidR="008D2B1A" w:rsidRPr="00822A98">
        <w:rPr>
          <w:bCs/>
          <w:sz w:val="24"/>
          <w:szCs w:val="24"/>
        </w:rPr>
        <w:t>2020-1</w:t>
      </w:r>
      <w:r w:rsidRPr="00822A98">
        <w:rPr>
          <w:bCs/>
          <w:sz w:val="24"/>
          <w:szCs w:val="24"/>
        </w:rPr>
        <w:t xml:space="preserve">, </w:t>
      </w:r>
      <w:r w:rsidR="008D2B1A" w:rsidRPr="00822A98">
        <w:rPr>
          <w:bCs/>
          <w:sz w:val="24"/>
          <w:szCs w:val="24"/>
        </w:rPr>
        <w:t>81,7%</w:t>
      </w:r>
      <w:r w:rsidR="00E31842" w:rsidRPr="00822A98">
        <w:rPr>
          <w:bCs/>
          <w:sz w:val="24"/>
          <w:szCs w:val="24"/>
        </w:rPr>
        <w:t>,</w:t>
      </w:r>
      <w:r w:rsidR="008D2B1A" w:rsidRPr="00822A98">
        <w:rPr>
          <w:bCs/>
          <w:sz w:val="24"/>
          <w:szCs w:val="24"/>
        </w:rPr>
        <w:t xml:space="preserve"> y en 2020-2</w:t>
      </w:r>
      <w:r w:rsidRPr="00822A98">
        <w:rPr>
          <w:bCs/>
          <w:sz w:val="24"/>
          <w:szCs w:val="24"/>
        </w:rPr>
        <w:t>,</w:t>
      </w:r>
      <w:r w:rsidR="008D2B1A" w:rsidRPr="00822A98">
        <w:rPr>
          <w:bCs/>
          <w:sz w:val="24"/>
          <w:szCs w:val="24"/>
        </w:rPr>
        <w:t xml:space="preserve"> 83,</w:t>
      </w:r>
      <w:r w:rsidR="008C2FAA" w:rsidRPr="00822A98">
        <w:rPr>
          <w:bCs/>
          <w:sz w:val="24"/>
          <w:szCs w:val="24"/>
        </w:rPr>
        <w:t>8%</w:t>
      </w:r>
      <w:r w:rsidR="00410C64" w:rsidRPr="00822A98">
        <w:rPr>
          <w:bCs/>
          <w:sz w:val="24"/>
          <w:szCs w:val="24"/>
        </w:rPr>
        <w:t xml:space="preserve"> </w:t>
      </w:r>
      <w:r w:rsidR="008C2FAA" w:rsidRPr="00822A98">
        <w:rPr>
          <w:bCs/>
          <w:sz w:val="24"/>
          <w:szCs w:val="24"/>
        </w:rPr>
        <w:t>(Ministerio de Educación del Perú,</w:t>
      </w:r>
      <w:r w:rsidR="00410C64" w:rsidRPr="00822A98">
        <w:rPr>
          <w:bCs/>
          <w:sz w:val="24"/>
          <w:szCs w:val="24"/>
        </w:rPr>
        <w:t xml:space="preserve"> </w:t>
      </w:r>
      <w:r w:rsidR="008C2FAA" w:rsidRPr="00822A98">
        <w:rPr>
          <w:bCs/>
          <w:sz w:val="24"/>
          <w:szCs w:val="24"/>
        </w:rPr>
        <w:t xml:space="preserve">2021). </w:t>
      </w:r>
      <w:r w:rsidR="00410C64" w:rsidRPr="00822A98">
        <w:rPr>
          <w:bCs/>
          <w:sz w:val="24"/>
          <w:szCs w:val="24"/>
        </w:rPr>
        <w:t>Este estudio tiene como</w:t>
      </w:r>
      <w:r w:rsidR="008D2B1A" w:rsidRPr="00822A98">
        <w:rPr>
          <w:bCs/>
          <w:sz w:val="24"/>
          <w:szCs w:val="24"/>
        </w:rPr>
        <w:t xml:space="preserve"> objetivo</w:t>
      </w:r>
      <w:r w:rsidR="008C2FAA" w:rsidRPr="00822A98">
        <w:rPr>
          <w:bCs/>
          <w:sz w:val="24"/>
          <w:szCs w:val="24"/>
        </w:rPr>
        <w:t xml:space="preserve"> conocer cómo se desarrolla la producción investigativa sobre retención-abandono universitario en </w:t>
      </w:r>
      <w:r w:rsidR="008D2B1A" w:rsidRPr="00822A98">
        <w:rPr>
          <w:bCs/>
          <w:sz w:val="24"/>
          <w:szCs w:val="24"/>
        </w:rPr>
        <w:t xml:space="preserve">Perú entre </w:t>
      </w:r>
      <w:r w:rsidR="00E31842" w:rsidRPr="00822A98">
        <w:rPr>
          <w:bCs/>
          <w:sz w:val="24"/>
          <w:szCs w:val="24"/>
        </w:rPr>
        <w:t>los años</w:t>
      </w:r>
      <w:r w:rsidR="008D2B1A" w:rsidRPr="00822A98">
        <w:rPr>
          <w:bCs/>
          <w:sz w:val="24"/>
          <w:szCs w:val="24"/>
        </w:rPr>
        <w:t xml:space="preserve"> 2012 y 2021</w:t>
      </w:r>
      <w:r w:rsidR="00E31842" w:rsidRPr="00822A98">
        <w:rPr>
          <w:bCs/>
          <w:sz w:val="24"/>
          <w:szCs w:val="24"/>
        </w:rPr>
        <w:t>,</w:t>
      </w:r>
      <w:r w:rsidR="008D2B1A" w:rsidRPr="00822A98">
        <w:rPr>
          <w:bCs/>
          <w:sz w:val="24"/>
          <w:szCs w:val="24"/>
        </w:rPr>
        <w:t xml:space="preserve"> </w:t>
      </w:r>
      <w:r w:rsidR="00E31842" w:rsidRPr="00822A98">
        <w:rPr>
          <w:bCs/>
          <w:sz w:val="24"/>
          <w:szCs w:val="24"/>
        </w:rPr>
        <w:t>a fin de</w:t>
      </w:r>
      <w:r w:rsidR="008D2B1A" w:rsidRPr="00822A98">
        <w:rPr>
          <w:bCs/>
          <w:sz w:val="24"/>
          <w:szCs w:val="24"/>
        </w:rPr>
        <w:t xml:space="preserve"> reflexionar sobre</w:t>
      </w:r>
      <w:r w:rsidR="008C2FAA" w:rsidRPr="00822A98">
        <w:rPr>
          <w:bCs/>
          <w:sz w:val="24"/>
          <w:szCs w:val="24"/>
        </w:rPr>
        <w:t xml:space="preserve"> una política universitaria que favorezca la retención y evite el abandono universitario.</w:t>
      </w:r>
      <w:r w:rsidR="008D2B1A" w:rsidRPr="00822A98">
        <w:rPr>
          <w:bCs/>
          <w:sz w:val="24"/>
          <w:szCs w:val="24"/>
        </w:rPr>
        <w:t xml:space="preserve"> </w:t>
      </w:r>
      <w:r w:rsidR="008C2FAA" w:rsidRPr="00822A98">
        <w:rPr>
          <w:bCs/>
          <w:sz w:val="24"/>
          <w:szCs w:val="24"/>
        </w:rPr>
        <w:t>El tipo de estudio es bibliométrico y de revisión sistemática</w:t>
      </w:r>
      <w:r w:rsidR="009C2AED" w:rsidRPr="00822A98">
        <w:rPr>
          <w:bCs/>
          <w:sz w:val="24"/>
          <w:szCs w:val="24"/>
        </w:rPr>
        <w:t>. E</w:t>
      </w:r>
      <w:r w:rsidR="008C2FAA" w:rsidRPr="00822A98">
        <w:rPr>
          <w:bCs/>
          <w:sz w:val="24"/>
          <w:szCs w:val="24"/>
        </w:rPr>
        <w:t>l diseño es descriptivo transversal. Para ello, se hizo una búsqueda de todos los artículos de investigación</w:t>
      </w:r>
      <w:r w:rsidR="00532528" w:rsidRPr="00822A98">
        <w:rPr>
          <w:bCs/>
          <w:sz w:val="24"/>
          <w:szCs w:val="24"/>
        </w:rPr>
        <w:t xml:space="preserve"> </w:t>
      </w:r>
      <w:r w:rsidR="008C2FAA" w:rsidRPr="00822A98">
        <w:rPr>
          <w:bCs/>
          <w:sz w:val="24"/>
          <w:szCs w:val="24"/>
        </w:rPr>
        <w:t>sobre retención</w:t>
      </w:r>
      <w:r w:rsidR="004C109A" w:rsidRPr="00822A98">
        <w:rPr>
          <w:bCs/>
          <w:sz w:val="24"/>
          <w:szCs w:val="24"/>
        </w:rPr>
        <w:t xml:space="preserve"> - </w:t>
      </w:r>
      <w:r w:rsidR="008C2FAA" w:rsidRPr="00822A98">
        <w:rPr>
          <w:bCs/>
          <w:sz w:val="24"/>
          <w:szCs w:val="24"/>
        </w:rPr>
        <w:t xml:space="preserve">abandono universitario en el Perú, </w:t>
      </w:r>
      <w:r w:rsidR="00532528" w:rsidRPr="00822A98">
        <w:rPr>
          <w:bCs/>
          <w:sz w:val="24"/>
          <w:szCs w:val="24"/>
        </w:rPr>
        <w:t xml:space="preserve">del 2012 al 2021, </w:t>
      </w:r>
      <w:r w:rsidR="008C2FAA" w:rsidRPr="00822A98">
        <w:rPr>
          <w:bCs/>
          <w:sz w:val="24"/>
          <w:szCs w:val="24"/>
        </w:rPr>
        <w:t xml:space="preserve">en las bases de datos </w:t>
      </w:r>
      <w:r w:rsidR="008C2FAA" w:rsidRPr="00822A98">
        <w:rPr>
          <w:bCs/>
          <w:i/>
          <w:sz w:val="24"/>
          <w:szCs w:val="24"/>
        </w:rPr>
        <w:t>Scopus</w:t>
      </w:r>
      <w:r w:rsidR="008C2FAA" w:rsidRPr="00822A98">
        <w:rPr>
          <w:bCs/>
          <w:sz w:val="24"/>
          <w:szCs w:val="24"/>
        </w:rPr>
        <w:t xml:space="preserve"> y </w:t>
      </w:r>
      <w:r w:rsidR="008C2FAA" w:rsidRPr="00822A98">
        <w:rPr>
          <w:bCs/>
          <w:i/>
          <w:sz w:val="24"/>
          <w:szCs w:val="24"/>
        </w:rPr>
        <w:t>Web of Science</w:t>
      </w:r>
      <w:r w:rsidR="009C2AED" w:rsidRPr="00822A98">
        <w:rPr>
          <w:bCs/>
          <w:sz w:val="24"/>
          <w:szCs w:val="24"/>
        </w:rPr>
        <w:t xml:space="preserve">. </w:t>
      </w:r>
      <w:r w:rsidR="00F738B5" w:rsidRPr="00822A98">
        <w:rPr>
          <w:bCs/>
          <w:sz w:val="24"/>
          <w:szCs w:val="24"/>
        </w:rPr>
        <w:t>P</w:t>
      </w:r>
      <w:r w:rsidR="008C2FAA" w:rsidRPr="00822A98">
        <w:rPr>
          <w:bCs/>
          <w:sz w:val="24"/>
          <w:szCs w:val="24"/>
        </w:rPr>
        <w:t>ara el análisis</w:t>
      </w:r>
      <w:r w:rsidR="009C2AED" w:rsidRPr="00822A98">
        <w:rPr>
          <w:bCs/>
          <w:sz w:val="24"/>
          <w:szCs w:val="24"/>
        </w:rPr>
        <w:t>,</w:t>
      </w:r>
      <w:r w:rsidR="008C2FAA" w:rsidRPr="00822A98">
        <w:rPr>
          <w:bCs/>
          <w:sz w:val="24"/>
          <w:szCs w:val="24"/>
        </w:rPr>
        <w:t xml:space="preserve"> se trabajó con 17 artículos.</w:t>
      </w:r>
      <w:r w:rsidR="008D2B1A" w:rsidRPr="00822A98">
        <w:rPr>
          <w:bCs/>
          <w:sz w:val="24"/>
          <w:szCs w:val="24"/>
        </w:rPr>
        <w:t xml:space="preserve"> </w:t>
      </w:r>
      <w:r w:rsidR="00F738B5" w:rsidRPr="00822A98">
        <w:rPr>
          <w:sz w:val="24"/>
          <w:szCs w:val="24"/>
        </w:rPr>
        <w:t xml:space="preserve">Las conclusiones </w:t>
      </w:r>
      <w:r w:rsidRPr="00822A98">
        <w:rPr>
          <w:sz w:val="24"/>
          <w:szCs w:val="24"/>
        </w:rPr>
        <w:t>del presente estudio son</w:t>
      </w:r>
      <w:r w:rsidR="00F738B5" w:rsidRPr="00822A98">
        <w:rPr>
          <w:sz w:val="24"/>
          <w:szCs w:val="24"/>
        </w:rPr>
        <w:t xml:space="preserve"> las siguientes:</w:t>
      </w:r>
      <w:r w:rsidR="008C2FAA" w:rsidRPr="00822A98">
        <w:rPr>
          <w:sz w:val="24"/>
          <w:szCs w:val="24"/>
        </w:rPr>
        <w:t xml:space="preserve"> </w:t>
      </w:r>
      <w:r w:rsidR="00F738B5" w:rsidRPr="00822A98">
        <w:rPr>
          <w:sz w:val="24"/>
          <w:szCs w:val="24"/>
        </w:rPr>
        <w:t>en primer lugar</w:t>
      </w:r>
      <w:r w:rsidR="008C2FAA" w:rsidRPr="00822A98">
        <w:rPr>
          <w:sz w:val="24"/>
          <w:szCs w:val="24"/>
        </w:rPr>
        <w:t xml:space="preserve">, </w:t>
      </w:r>
      <w:r w:rsidR="00F738B5" w:rsidRPr="00822A98">
        <w:rPr>
          <w:sz w:val="24"/>
          <w:szCs w:val="24"/>
        </w:rPr>
        <w:t>existen pocas publicaciones sobre la retención universitaria en Perú. P</w:t>
      </w:r>
      <w:r w:rsidR="008C2FAA" w:rsidRPr="00822A98">
        <w:rPr>
          <w:sz w:val="24"/>
          <w:szCs w:val="24"/>
        </w:rPr>
        <w:t xml:space="preserve">or tanto, es necesario promover </w:t>
      </w:r>
      <w:r w:rsidR="00F738B5" w:rsidRPr="00822A98">
        <w:rPr>
          <w:sz w:val="24"/>
          <w:szCs w:val="24"/>
        </w:rPr>
        <w:t xml:space="preserve">su estudio </w:t>
      </w:r>
      <w:r w:rsidR="008C2FAA" w:rsidRPr="00822A98">
        <w:rPr>
          <w:sz w:val="24"/>
          <w:szCs w:val="24"/>
        </w:rPr>
        <w:t xml:space="preserve">para conocer a profundidad este fenómeno e inmediatamente proponer estrategias de solución. </w:t>
      </w:r>
      <w:r w:rsidR="00F738B5" w:rsidRPr="00822A98">
        <w:rPr>
          <w:sz w:val="24"/>
          <w:szCs w:val="24"/>
        </w:rPr>
        <w:t>En s</w:t>
      </w:r>
      <w:r w:rsidR="008C2FAA" w:rsidRPr="00822A98">
        <w:rPr>
          <w:sz w:val="24"/>
          <w:szCs w:val="24"/>
        </w:rPr>
        <w:t>egundo</w:t>
      </w:r>
      <w:r w:rsidR="00F738B5" w:rsidRPr="00822A98">
        <w:rPr>
          <w:sz w:val="24"/>
          <w:szCs w:val="24"/>
        </w:rPr>
        <w:t xml:space="preserve"> lugar</w:t>
      </w:r>
      <w:r w:rsidR="008C2FAA" w:rsidRPr="00822A98">
        <w:rPr>
          <w:sz w:val="24"/>
          <w:szCs w:val="24"/>
        </w:rPr>
        <w:t>, las pocas investigaciones son</w:t>
      </w:r>
      <w:r w:rsidR="00F738B5" w:rsidRPr="00822A98">
        <w:rPr>
          <w:sz w:val="24"/>
          <w:szCs w:val="24"/>
        </w:rPr>
        <w:t>,</w:t>
      </w:r>
      <w:r w:rsidR="008C2FAA" w:rsidRPr="00822A98">
        <w:rPr>
          <w:sz w:val="24"/>
          <w:szCs w:val="24"/>
        </w:rPr>
        <w:t xml:space="preserve"> en su mayoría</w:t>
      </w:r>
      <w:r w:rsidR="00F738B5" w:rsidRPr="00822A98">
        <w:rPr>
          <w:sz w:val="24"/>
          <w:szCs w:val="24"/>
        </w:rPr>
        <w:t>,</w:t>
      </w:r>
      <w:r w:rsidR="008C2FAA" w:rsidRPr="00822A98">
        <w:rPr>
          <w:sz w:val="24"/>
          <w:szCs w:val="24"/>
        </w:rPr>
        <w:t xml:space="preserve"> cuantitativas, </w:t>
      </w:r>
      <w:r w:rsidR="00F738B5" w:rsidRPr="00822A98">
        <w:rPr>
          <w:sz w:val="24"/>
          <w:szCs w:val="24"/>
        </w:rPr>
        <w:t>que abarcan</w:t>
      </w:r>
      <w:r w:rsidR="008C2FAA" w:rsidRPr="00822A98">
        <w:rPr>
          <w:sz w:val="24"/>
          <w:szCs w:val="24"/>
        </w:rPr>
        <w:t xml:space="preserve"> facultades</w:t>
      </w:r>
      <w:r w:rsidRPr="00822A98">
        <w:rPr>
          <w:sz w:val="24"/>
          <w:szCs w:val="24"/>
        </w:rPr>
        <w:t>, pero no incluye a</w:t>
      </w:r>
      <w:r w:rsidR="00F738B5" w:rsidRPr="00822A98">
        <w:rPr>
          <w:sz w:val="24"/>
          <w:szCs w:val="24"/>
        </w:rPr>
        <w:t xml:space="preserve"> </w:t>
      </w:r>
      <w:r w:rsidR="008C2FAA" w:rsidRPr="00822A98">
        <w:rPr>
          <w:sz w:val="24"/>
          <w:szCs w:val="24"/>
        </w:rPr>
        <w:t xml:space="preserve">todos los estudiantes de una universidad. Es necesario contar con información nacional e indicadores en tiempo real para tomar decisiones </w:t>
      </w:r>
      <w:r w:rsidR="00F738B5" w:rsidRPr="00822A98">
        <w:rPr>
          <w:sz w:val="24"/>
          <w:szCs w:val="24"/>
        </w:rPr>
        <w:t xml:space="preserve">desde </w:t>
      </w:r>
      <w:r w:rsidR="008C2FAA" w:rsidRPr="00822A98">
        <w:rPr>
          <w:sz w:val="24"/>
          <w:szCs w:val="24"/>
        </w:rPr>
        <w:t>la</w:t>
      </w:r>
      <w:r w:rsidR="00F738B5" w:rsidRPr="00822A98">
        <w:rPr>
          <w:sz w:val="24"/>
          <w:szCs w:val="24"/>
        </w:rPr>
        <w:t>s</w:t>
      </w:r>
      <w:r w:rsidR="008C2FAA" w:rsidRPr="00822A98">
        <w:rPr>
          <w:sz w:val="24"/>
          <w:szCs w:val="24"/>
        </w:rPr>
        <w:t xml:space="preserve"> universidad</w:t>
      </w:r>
      <w:r w:rsidR="00F738B5" w:rsidRPr="00822A98">
        <w:rPr>
          <w:sz w:val="24"/>
          <w:szCs w:val="24"/>
        </w:rPr>
        <w:t>es</w:t>
      </w:r>
      <w:r w:rsidR="008C2FAA" w:rsidRPr="00822A98">
        <w:rPr>
          <w:sz w:val="24"/>
          <w:szCs w:val="24"/>
        </w:rPr>
        <w:t xml:space="preserve"> y desde el Ministerio de Educación. </w:t>
      </w:r>
      <w:r w:rsidR="00F738B5" w:rsidRPr="00822A98">
        <w:rPr>
          <w:sz w:val="24"/>
          <w:szCs w:val="24"/>
        </w:rPr>
        <w:t>En t</w:t>
      </w:r>
      <w:r w:rsidR="008C2FAA" w:rsidRPr="00822A98">
        <w:rPr>
          <w:sz w:val="24"/>
          <w:szCs w:val="24"/>
        </w:rPr>
        <w:t>ercer</w:t>
      </w:r>
      <w:r w:rsidR="00F738B5" w:rsidRPr="00822A98">
        <w:rPr>
          <w:sz w:val="24"/>
          <w:szCs w:val="24"/>
        </w:rPr>
        <w:t xml:space="preserve"> lugar</w:t>
      </w:r>
      <w:r w:rsidR="008C2FAA" w:rsidRPr="00822A98">
        <w:rPr>
          <w:sz w:val="24"/>
          <w:szCs w:val="24"/>
        </w:rPr>
        <w:t xml:space="preserve">, no existe una política </w:t>
      </w:r>
      <w:r w:rsidR="005019EC" w:rsidRPr="00822A98">
        <w:rPr>
          <w:sz w:val="24"/>
          <w:szCs w:val="24"/>
        </w:rPr>
        <w:t>universitaria</w:t>
      </w:r>
      <w:r w:rsidR="008C2FAA" w:rsidRPr="00822A98">
        <w:rPr>
          <w:sz w:val="24"/>
          <w:szCs w:val="24"/>
        </w:rPr>
        <w:t xml:space="preserve"> que apunte a la retenció</w:t>
      </w:r>
      <w:r w:rsidR="005019EC" w:rsidRPr="00822A98">
        <w:rPr>
          <w:sz w:val="24"/>
          <w:szCs w:val="24"/>
        </w:rPr>
        <w:t>n</w:t>
      </w:r>
      <w:r w:rsidR="008C2FAA" w:rsidRPr="00822A98">
        <w:rPr>
          <w:sz w:val="24"/>
          <w:szCs w:val="24"/>
        </w:rPr>
        <w:t xml:space="preserve">. </w:t>
      </w:r>
      <w:r w:rsidR="00093731" w:rsidRPr="00822A98">
        <w:rPr>
          <w:sz w:val="24"/>
          <w:szCs w:val="24"/>
        </w:rPr>
        <w:t>U</w:t>
      </w:r>
      <w:r w:rsidR="008C2FAA" w:rsidRPr="00822A98">
        <w:rPr>
          <w:sz w:val="24"/>
          <w:szCs w:val="24"/>
        </w:rPr>
        <w:t xml:space="preserve">na política </w:t>
      </w:r>
      <w:r w:rsidR="005019EC" w:rsidRPr="00822A98">
        <w:rPr>
          <w:sz w:val="24"/>
          <w:szCs w:val="24"/>
        </w:rPr>
        <w:t xml:space="preserve">universitaria </w:t>
      </w:r>
      <w:r w:rsidR="008C2FAA" w:rsidRPr="00822A98">
        <w:rPr>
          <w:sz w:val="24"/>
          <w:szCs w:val="24"/>
        </w:rPr>
        <w:t>debe contener objetivos nacionales</w:t>
      </w:r>
      <w:r w:rsidR="002E3C54" w:rsidRPr="00822A98">
        <w:rPr>
          <w:sz w:val="24"/>
          <w:szCs w:val="24"/>
        </w:rPr>
        <w:t>, que prioricen l</w:t>
      </w:r>
      <w:r w:rsidR="008C2FAA" w:rsidRPr="00822A98">
        <w:rPr>
          <w:sz w:val="24"/>
          <w:szCs w:val="24"/>
        </w:rPr>
        <w:t>a adaptación universitaria</w:t>
      </w:r>
      <w:r w:rsidR="002E3C54" w:rsidRPr="00822A98">
        <w:rPr>
          <w:sz w:val="24"/>
          <w:szCs w:val="24"/>
        </w:rPr>
        <w:t xml:space="preserve"> y</w:t>
      </w:r>
      <w:r w:rsidR="008C2FAA" w:rsidRPr="00822A98">
        <w:rPr>
          <w:sz w:val="24"/>
          <w:szCs w:val="24"/>
        </w:rPr>
        <w:t xml:space="preserve"> prom</w:t>
      </w:r>
      <w:r w:rsidR="002E3C54" w:rsidRPr="00822A98">
        <w:rPr>
          <w:sz w:val="24"/>
          <w:szCs w:val="24"/>
        </w:rPr>
        <w:t>uevan</w:t>
      </w:r>
      <w:r w:rsidR="008C2FAA" w:rsidRPr="00822A98">
        <w:rPr>
          <w:sz w:val="24"/>
          <w:szCs w:val="24"/>
        </w:rPr>
        <w:t xml:space="preserve"> investigaciones teóricas y aplicativas</w:t>
      </w:r>
      <w:r w:rsidR="002E3C54" w:rsidRPr="00822A98">
        <w:rPr>
          <w:sz w:val="24"/>
          <w:szCs w:val="24"/>
        </w:rPr>
        <w:t>. Además, se debe instituir</w:t>
      </w:r>
      <w:r w:rsidR="008C2FAA" w:rsidRPr="00822A98">
        <w:rPr>
          <w:sz w:val="24"/>
          <w:szCs w:val="24"/>
        </w:rPr>
        <w:t xml:space="preserve"> un observatorio nacional de la retención</w:t>
      </w:r>
      <w:r w:rsidR="002E3C54" w:rsidRPr="00822A98">
        <w:rPr>
          <w:sz w:val="24"/>
          <w:szCs w:val="24"/>
        </w:rPr>
        <w:t xml:space="preserve"> y</w:t>
      </w:r>
      <w:r w:rsidR="008C2FAA" w:rsidRPr="00822A98">
        <w:rPr>
          <w:sz w:val="24"/>
          <w:szCs w:val="24"/>
        </w:rPr>
        <w:t xml:space="preserve"> promover incentivos y programas en las universidades para velar por la continuidad de los estudiantes.</w:t>
      </w:r>
    </w:p>
    <w:p w14:paraId="7BD50490" w14:textId="4659D68C" w:rsidR="008C2FAA" w:rsidRPr="00822A98" w:rsidRDefault="008C2FAA" w:rsidP="00FC14C1">
      <w:pPr>
        <w:spacing w:after="0" w:line="240" w:lineRule="auto"/>
        <w:ind w:left="0" w:hanging="2"/>
        <w:rPr>
          <w:b/>
          <w:sz w:val="24"/>
          <w:szCs w:val="24"/>
        </w:rPr>
      </w:pPr>
      <w:r w:rsidRPr="00822A98">
        <w:rPr>
          <w:b/>
          <w:sz w:val="24"/>
          <w:szCs w:val="24"/>
        </w:rPr>
        <w:t xml:space="preserve">Palabras </w:t>
      </w:r>
      <w:r w:rsidR="001D015C" w:rsidRPr="00822A98">
        <w:rPr>
          <w:b/>
          <w:sz w:val="24"/>
          <w:szCs w:val="24"/>
        </w:rPr>
        <w:t>c</w:t>
      </w:r>
      <w:r w:rsidRPr="00822A98">
        <w:rPr>
          <w:b/>
          <w:sz w:val="24"/>
          <w:szCs w:val="24"/>
        </w:rPr>
        <w:t xml:space="preserve">laves: </w:t>
      </w:r>
      <w:r w:rsidR="00714A52" w:rsidRPr="00822A98">
        <w:rPr>
          <w:sz w:val="24"/>
          <w:szCs w:val="24"/>
        </w:rPr>
        <w:t>Retención</w:t>
      </w:r>
      <w:r w:rsidR="00A07A0F" w:rsidRPr="00822A98">
        <w:rPr>
          <w:sz w:val="24"/>
          <w:szCs w:val="24"/>
        </w:rPr>
        <w:t xml:space="preserve">, </w:t>
      </w:r>
      <w:r w:rsidR="00714A52" w:rsidRPr="00822A98">
        <w:rPr>
          <w:sz w:val="24"/>
          <w:szCs w:val="24"/>
        </w:rPr>
        <w:t>Abandono</w:t>
      </w:r>
      <w:r w:rsidR="00A07A0F" w:rsidRPr="00822A98">
        <w:rPr>
          <w:sz w:val="24"/>
          <w:szCs w:val="24"/>
        </w:rPr>
        <w:t xml:space="preserve">, </w:t>
      </w:r>
      <w:r w:rsidR="00714A52" w:rsidRPr="00822A98">
        <w:rPr>
          <w:sz w:val="24"/>
          <w:szCs w:val="24"/>
        </w:rPr>
        <w:t>Investigación</w:t>
      </w:r>
      <w:r w:rsidR="00A07A0F" w:rsidRPr="00822A98">
        <w:rPr>
          <w:sz w:val="24"/>
          <w:szCs w:val="24"/>
        </w:rPr>
        <w:t xml:space="preserve">, </w:t>
      </w:r>
      <w:r w:rsidR="00714A52" w:rsidRPr="00822A98">
        <w:rPr>
          <w:sz w:val="24"/>
          <w:szCs w:val="24"/>
        </w:rPr>
        <w:t xml:space="preserve">Política </w:t>
      </w:r>
      <w:r w:rsidR="00A07A0F" w:rsidRPr="00822A98">
        <w:rPr>
          <w:sz w:val="24"/>
          <w:szCs w:val="24"/>
        </w:rPr>
        <w:t>universitaria, Perú</w:t>
      </w:r>
      <w:r w:rsidR="00714A52">
        <w:rPr>
          <w:sz w:val="24"/>
          <w:szCs w:val="24"/>
        </w:rPr>
        <w:t>.</w:t>
      </w:r>
      <w:r w:rsidR="00A07A0F" w:rsidRPr="00822A98" w:rsidDel="00A07A0F">
        <w:rPr>
          <w:sz w:val="24"/>
          <w:szCs w:val="24"/>
        </w:rPr>
        <w:t xml:space="preserve"> </w:t>
      </w:r>
    </w:p>
    <w:p w14:paraId="361D0ECF" w14:textId="77777777" w:rsidR="008C2FAA" w:rsidRPr="00822A98" w:rsidRDefault="008C2FAA" w:rsidP="00FC14C1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</w:p>
    <w:p w14:paraId="13CDF6D7" w14:textId="59C654E4" w:rsidR="008C2FAA" w:rsidRPr="00714A52" w:rsidRDefault="008C2FAA" w:rsidP="00714A52">
      <w:pPr>
        <w:spacing w:line="240" w:lineRule="auto"/>
        <w:ind w:left="0" w:hanging="2"/>
        <w:rPr>
          <w:b/>
          <w:sz w:val="24"/>
          <w:szCs w:val="24"/>
        </w:rPr>
      </w:pPr>
      <w:r w:rsidRPr="00714A52">
        <w:rPr>
          <w:b/>
          <w:sz w:val="24"/>
          <w:szCs w:val="24"/>
        </w:rPr>
        <w:t xml:space="preserve">Introducción </w:t>
      </w:r>
    </w:p>
    <w:p w14:paraId="7778839A" w14:textId="020F1069" w:rsidR="00676901" w:rsidRPr="00822A98" w:rsidRDefault="00676901" w:rsidP="00714A52">
      <w:pPr>
        <w:spacing w:line="240" w:lineRule="auto"/>
        <w:ind w:left="-2" w:firstLineChars="0" w:firstLine="0"/>
        <w:rPr>
          <w:bCs/>
          <w:sz w:val="24"/>
          <w:szCs w:val="24"/>
        </w:rPr>
      </w:pPr>
      <w:r w:rsidRPr="00822A98">
        <w:rPr>
          <w:bCs/>
          <w:sz w:val="24"/>
          <w:szCs w:val="24"/>
        </w:rPr>
        <w:t xml:space="preserve">Promover la retención universitaria es una </w:t>
      </w:r>
      <w:r w:rsidR="00E26FCF" w:rsidRPr="00822A98">
        <w:rPr>
          <w:bCs/>
          <w:sz w:val="24"/>
          <w:szCs w:val="24"/>
        </w:rPr>
        <w:t xml:space="preserve">necesidad urgente en </w:t>
      </w:r>
      <w:r w:rsidRPr="00822A98">
        <w:rPr>
          <w:bCs/>
          <w:sz w:val="24"/>
          <w:szCs w:val="24"/>
        </w:rPr>
        <w:t xml:space="preserve">las universidades, a fin de garantizar la sostenibilidad social, pues se forman nuevas generaciones de profesionales. Además, se busca la sostenibilidad económica, de modo que la inversión monetaria se pueda aprovechar y se logre un retorno de la inversión. Sin embargo, en América Latina, las tasas de retención universitaria son bajas. Por ejemplo, en Colombia, la retención era de 55,1% y, en México, de 58% (Ministerio de Educación </w:t>
      </w:r>
      <w:r w:rsidRPr="00822A98">
        <w:rPr>
          <w:bCs/>
          <w:sz w:val="24"/>
          <w:szCs w:val="24"/>
        </w:rPr>
        <w:lastRenderedPageBreak/>
        <w:t xml:space="preserve">Nacional de Colombia, 2015). La tasa de retención en el Perú en el </w:t>
      </w:r>
      <w:r w:rsidR="00410C64" w:rsidRPr="00822A98">
        <w:rPr>
          <w:bCs/>
          <w:sz w:val="24"/>
          <w:szCs w:val="24"/>
        </w:rPr>
        <w:t xml:space="preserve">semestre académico </w:t>
      </w:r>
      <w:r w:rsidRPr="00822A98">
        <w:rPr>
          <w:bCs/>
          <w:sz w:val="24"/>
          <w:szCs w:val="24"/>
        </w:rPr>
        <w:t>2019-2 fue de 87,4%</w:t>
      </w:r>
      <w:r w:rsidR="00410C64" w:rsidRPr="00822A98">
        <w:rPr>
          <w:bCs/>
          <w:sz w:val="24"/>
          <w:szCs w:val="24"/>
        </w:rPr>
        <w:t xml:space="preserve">. En el semestre 2020-1 la tasa fue de 81,7%, y en el 2020-2 fue de 83,8% </w:t>
      </w:r>
      <w:r w:rsidRPr="00822A98">
        <w:rPr>
          <w:bCs/>
          <w:sz w:val="24"/>
          <w:szCs w:val="24"/>
        </w:rPr>
        <w:t xml:space="preserve">(Ministerio de Educación del Perú, 2021). </w:t>
      </w:r>
    </w:p>
    <w:p w14:paraId="5E6492B7" w14:textId="5A13B929" w:rsidR="008C2FAA" w:rsidRPr="00822A98" w:rsidRDefault="00E26FCF" w:rsidP="00714A52">
      <w:pPr>
        <w:spacing w:line="240" w:lineRule="auto"/>
        <w:ind w:left="0" w:hanging="2"/>
        <w:rPr>
          <w:bCs/>
          <w:sz w:val="24"/>
          <w:szCs w:val="24"/>
        </w:rPr>
      </w:pPr>
      <w:r w:rsidRPr="00822A98">
        <w:rPr>
          <w:bCs/>
          <w:sz w:val="24"/>
          <w:szCs w:val="24"/>
        </w:rPr>
        <w:t>S</w:t>
      </w:r>
      <w:r w:rsidR="008C2FAA" w:rsidRPr="00822A98">
        <w:rPr>
          <w:bCs/>
          <w:sz w:val="24"/>
          <w:szCs w:val="24"/>
        </w:rPr>
        <w:t xml:space="preserve">i los estudiantes no continúan estudiando hasta la profesionalización, entonces no se genera capital humano necesario para el desarrollo de un país. </w:t>
      </w:r>
      <w:r w:rsidRPr="00822A98">
        <w:rPr>
          <w:bCs/>
          <w:sz w:val="24"/>
          <w:szCs w:val="24"/>
        </w:rPr>
        <w:t>P</w:t>
      </w:r>
      <w:r w:rsidR="008C2FAA" w:rsidRPr="00822A98">
        <w:rPr>
          <w:bCs/>
          <w:sz w:val="24"/>
          <w:szCs w:val="24"/>
        </w:rPr>
        <w:t>or ello, es necesario entender con profundidad el fenómeno de la retención y deserción</w:t>
      </w:r>
      <w:r w:rsidRPr="00822A98">
        <w:rPr>
          <w:sz w:val="24"/>
          <w:szCs w:val="24"/>
        </w:rPr>
        <w:t xml:space="preserve"> y, luego,</w:t>
      </w:r>
      <w:r w:rsidR="008C2FAA" w:rsidRPr="00822A98">
        <w:rPr>
          <w:sz w:val="24"/>
          <w:szCs w:val="24"/>
        </w:rPr>
        <w:t xml:space="preserve"> analizar los factores asociados a est</w:t>
      </w:r>
      <w:r w:rsidRPr="00822A98">
        <w:rPr>
          <w:sz w:val="24"/>
          <w:szCs w:val="24"/>
        </w:rPr>
        <w:t>a</w:t>
      </w:r>
      <w:r w:rsidR="008C2FAA" w:rsidRPr="00822A98">
        <w:rPr>
          <w:sz w:val="24"/>
          <w:szCs w:val="24"/>
        </w:rPr>
        <w:t xml:space="preserve"> problem</w:t>
      </w:r>
      <w:r w:rsidRPr="00822A98">
        <w:rPr>
          <w:sz w:val="24"/>
          <w:szCs w:val="24"/>
        </w:rPr>
        <w:t>ática</w:t>
      </w:r>
      <w:r w:rsidR="008C2FAA" w:rsidRPr="00822A98">
        <w:rPr>
          <w:sz w:val="24"/>
          <w:szCs w:val="24"/>
        </w:rPr>
        <w:t xml:space="preserve">. </w:t>
      </w:r>
      <w:r w:rsidRPr="00822A98">
        <w:rPr>
          <w:sz w:val="24"/>
          <w:szCs w:val="24"/>
        </w:rPr>
        <w:t>En principio, e</w:t>
      </w:r>
      <w:r w:rsidR="008C2FAA" w:rsidRPr="00822A98">
        <w:rPr>
          <w:sz w:val="24"/>
          <w:szCs w:val="24"/>
        </w:rPr>
        <w:t>s importante afinar algunos conceptos básicos</w:t>
      </w:r>
      <w:r w:rsidR="008C2FAA" w:rsidRPr="00822A98">
        <w:rPr>
          <w:bCs/>
          <w:sz w:val="24"/>
          <w:szCs w:val="24"/>
        </w:rPr>
        <w:t>, como la retención y el abandono universitario</w:t>
      </w:r>
      <w:r w:rsidRPr="00822A98">
        <w:rPr>
          <w:bCs/>
          <w:sz w:val="24"/>
          <w:szCs w:val="24"/>
        </w:rPr>
        <w:t>. S</w:t>
      </w:r>
      <w:r w:rsidR="008C2FAA" w:rsidRPr="00822A98">
        <w:rPr>
          <w:bCs/>
          <w:sz w:val="24"/>
          <w:szCs w:val="24"/>
        </w:rPr>
        <w:t>i bien son conceptos diferentes, reflejan una unidad dicotómica. La retención se refiere a la continuidad en los estudios universitarios hasta la finalización de la profesionalización</w:t>
      </w:r>
      <w:r w:rsidRPr="00822A98">
        <w:rPr>
          <w:bCs/>
          <w:sz w:val="24"/>
          <w:szCs w:val="24"/>
        </w:rPr>
        <w:t>. Mientras, e</w:t>
      </w:r>
      <w:r w:rsidR="008C2FAA" w:rsidRPr="00822A98">
        <w:rPr>
          <w:bCs/>
          <w:sz w:val="24"/>
          <w:szCs w:val="24"/>
        </w:rPr>
        <w:t>l abandono implica la interrupción temprana de su vida formativa profesional</w:t>
      </w:r>
      <w:r w:rsidRPr="00822A98">
        <w:rPr>
          <w:bCs/>
          <w:sz w:val="24"/>
          <w:szCs w:val="24"/>
        </w:rPr>
        <w:t xml:space="preserve"> y, p</w:t>
      </w:r>
      <w:r w:rsidR="008C2FAA" w:rsidRPr="00822A98">
        <w:rPr>
          <w:bCs/>
          <w:sz w:val="24"/>
          <w:szCs w:val="24"/>
        </w:rPr>
        <w:t xml:space="preserve">or tanto, no </w:t>
      </w:r>
      <w:r w:rsidRPr="00822A98">
        <w:rPr>
          <w:bCs/>
          <w:sz w:val="24"/>
          <w:szCs w:val="24"/>
        </w:rPr>
        <w:t xml:space="preserve">se </w:t>
      </w:r>
      <w:r w:rsidR="008C2FAA" w:rsidRPr="00822A98">
        <w:rPr>
          <w:bCs/>
          <w:sz w:val="24"/>
          <w:szCs w:val="24"/>
        </w:rPr>
        <w:t xml:space="preserve">consigue el título o grado (Himmel, 2002). </w:t>
      </w:r>
    </w:p>
    <w:p w14:paraId="6C062728" w14:textId="7592A0EB" w:rsidR="00FC14C1" w:rsidRPr="00822A98" w:rsidRDefault="00FC14C1" w:rsidP="00714A52">
      <w:pPr>
        <w:spacing w:line="240" w:lineRule="auto"/>
        <w:ind w:left="0" w:hanging="2"/>
        <w:rPr>
          <w:bCs/>
          <w:sz w:val="24"/>
          <w:szCs w:val="24"/>
        </w:rPr>
      </w:pPr>
      <w:r w:rsidRPr="00822A98">
        <w:rPr>
          <w:bCs/>
          <w:sz w:val="24"/>
          <w:szCs w:val="24"/>
        </w:rPr>
        <w:t xml:space="preserve">La investigación científica es un proceso de búsqueda de conocimiento de forma sistemática que se desarrolla en empresas, laboratorios, universidades, en otros; estos permiten la publicación de resultados (Carvajal-Tapia y Carvajal-Rodriguez, 2019). </w:t>
      </w:r>
      <w:r w:rsidR="00B02D19" w:rsidRPr="00822A98">
        <w:rPr>
          <w:bCs/>
          <w:sz w:val="24"/>
          <w:szCs w:val="24"/>
        </w:rPr>
        <w:t>E</w:t>
      </w:r>
      <w:r w:rsidRPr="00822A98">
        <w:rPr>
          <w:bCs/>
          <w:sz w:val="24"/>
          <w:szCs w:val="24"/>
        </w:rPr>
        <w:t>n el Perú entre el 2009 y 2018, la producción investigativa aumentó, además las universidades son las instituciones que investigan más y los temas más productivos son ambiente y salud ocupacional (Limaymanta et al, 2020).</w:t>
      </w:r>
    </w:p>
    <w:p w14:paraId="054EF7FC" w14:textId="15B2E13B" w:rsidR="00410C64" w:rsidRPr="00822A98" w:rsidRDefault="00410C64" w:rsidP="00714A52">
      <w:pPr>
        <w:spacing w:line="240" w:lineRule="auto"/>
        <w:ind w:leftChars="0" w:left="2" w:hanging="2"/>
        <w:rPr>
          <w:bCs/>
          <w:sz w:val="24"/>
          <w:szCs w:val="24"/>
        </w:rPr>
      </w:pPr>
      <w:r w:rsidRPr="00822A98">
        <w:rPr>
          <w:bCs/>
          <w:sz w:val="24"/>
          <w:szCs w:val="24"/>
        </w:rPr>
        <w:t xml:space="preserve">La política universitaria </w:t>
      </w:r>
      <w:r w:rsidR="00B02D19" w:rsidRPr="00822A98">
        <w:rPr>
          <w:bCs/>
          <w:sz w:val="24"/>
          <w:szCs w:val="24"/>
        </w:rPr>
        <w:t xml:space="preserve">(PU) </w:t>
      </w:r>
      <w:r w:rsidRPr="00822A98">
        <w:rPr>
          <w:bCs/>
          <w:sz w:val="24"/>
          <w:szCs w:val="24"/>
        </w:rPr>
        <w:t>es una p</w:t>
      </w:r>
      <w:r w:rsidR="00E26FCF" w:rsidRPr="00822A98">
        <w:rPr>
          <w:bCs/>
          <w:sz w:val="24"/>
          <w:szCs w:val="24"/>
        </w:rPr>
        <w:t>olítica pública con la cual el G</w:t>
      </w:r>
      <w:r w:rsidRPr="00822A98">
        <w:rPr>
          <w:bCs/>
          <w:sz w:val="24"/>
          <w:szCs w:val="24"/>
        </w:rPr>
        <w:t xml:space="preserve">obierno organiza la estructura universitaria </w:t>
      </w:r>
      <w:r w:rsidR="00E26FCF" w:rsidRPr="00822A98">
        <w:rPr>
          <w:bCs/>
          <w:sz w:val="24"/>
          <w:szCs w:val="24"/>
        </w:rPr>
        <w:t>sobre la base de</w:t>
      </w:r>
      <w:r w:rsidRPr="00822A98">
        <w:rPr>
          <w:bCs/>
          <w:sz w:val="24"/>
          <w:szCs w:val="24"/>
        </w:rPr>
        <w:t xml:space="preserve"> un sistema de valores, una forma de práctica profesion</w:t>
      </w:r>
      <w:r w:rsidR="00B02D19" w:rsidRPr="00822A98">
        <w:rPr>
          <w:bCs/>
          <w:sz w:val="24"/>
          <w:szCs w:val="24"/>
        </w:rPr>
        <w:t xml:space="preserve">al y lineamientos que deben seguir </w:t>
      </w:r>
      <w:r w:rsidRPr="00822A98">
        <w:rPr>
          <w:bCs/>
          <w:sz w:val="24"/>
          <w:szCs w:val="24"/>
        </w:rPr>
        <w:t>la</w:t>
      </w:r>
      <w:r w:rsidR="00E26FCF" w:rsidRPr="00822A98">
        <w:rPr>
          <w:bCs/>
          <w:sz w:val="24"/>
          <w:szCs w:val="24"/>
        </w:rPr>
        <w:t>s</w:t>
      </w:r>
      <w:r w:rsidRPr="00822A98">
        <w:rPr>
          <w:bCs/>
          <w:sz w:val="24"/>
          <w:szCs w:val="24"/>
        </w:rPr>
        <w:t xml:space="preserve"> universidades (Rodriguez, 2007).</w:t>
      </w:r>
      <w:r w:rsidR="00E26FCF" w:rsidRPr="00822A98">
        <w:rPr>
          <w:bCs/>
          <w:sz w:val="24"/>
          <w:szCs w:val="24"/>
        </w:rPr>
        <w:t xml:space="preserve"> En </w:t>
      </w:r>
      <w:r w:rsidRPr="00822A98">
        <w:rPr>
          <w:bCs/>
          <w:sz w:val="24"/>
          <w:szCs w:val="24"/>
        </w:rPr>
        <w:t xml:space="preserve">Perú, no se ha dado prioridad política </w:t>
      </w:r>
      <w:r w:rsidR="00E26FCF" w:rsidRPr="00822A98">
        <w:rPr>
          <w:bCs/>
          <w:sz w:val="24"/>
          <w:szCs w:val="24"/>
        </w:rPr>
        <w:t xml:space="preserve">al fenómeno de la retención - </w:t>
      </w:r>
      <w:r w:rsidRPr="00822A98">
        <w:rPr>
          <w:bCs/>
          <w:sz w:val="24"/>
          <w:szCs w:val="24"/>
        </w:rPr>
        <w:t xml:space="preserve">abandono universitario, puesto que la </w:t>
      </w:r>
      <w:r w:rsidR="00B02D19" w:rsidRPr="00822A98">
        <w:rPr>
          <w:bCs/>
          <w:sz w:val="24"/>
          <w:szCs w:val="24"/>
        </w:rPr>
        <w:t>PU</w:t>
      </w:r>
      <w:r w:rsidRPr="00822A98">
        <w:rPr>
          <w:bCs/>
          <w:sz w:val="24"/>
          <w:szCs w:val="24"/>
        </w:rPr>
        <w:t xml:space="preserve"> está centrada en garantizar las condiciones básicas de calidad </w:t>
      </w:r>
      <w:r w:rsidR="001A732F" w:rsidRPr="00822A98">
        <w:rPr>
          <w:bCs/>
          <w:sz w:val="24"/>
          <w:szCs w:val="24"/>
        </w:rPr>
        <w:t xml:space="preserve">para que las universidades puedan operar brindando un servicio óptimo, que luego les permita acreditarse </w:t>
      </w:r>
      <w:r w:rsidRPr="00822A98">
        <w:rPr>
          <w:bCs/>
          <w:sz w:val="24"/>
          <w:szCs w:val="24"/>
        </w:rPr>
        <w:t>(S</w:t>
      </w:r>
      <w:r w:rsidR="00E26FCF" w:rsidRPr="00822A98">
        <w:rPr>
          <w:bCs/>
          <w:sz w:val="24"/>
          <w:szCs w:val="24"/>
        </w:rPr>
        <w:t xml:space="preserve">unedu, 2022). </w:t>
      </w:r>
      <w:r w:rsidR="001A732F" w:rsidRPr="00822A98">
        <w:rPr>
          <w:bCs/>
          <w:sz w:val="24"/>
          <w:szCs w:val="24"/>
        </w:rPr>
        <w:t>L</w:t>
      </w:r>
      <w:r w:rsidRPr="00822A98">
        <w:rPr>
          <w:bCs/>
          <w:sz w:val="24"/>
          <w:szCs w:val="24"/>
        </w:rPr>
        <w:t xml:space="preserve">a </w:t>
      </w:r>
      <w:r w:rsidR="00B02D19" w:rsidRPr="00822A98">
        <w:rPr>
          <w:bCs/>
          <w:sz w:val="24"/>
          <w:szCs w:val="24"/>
        </w:rPr>
        <w:t>PU</w:t>
      </w:r>
      <w:r w:rsidRPr="00822A98">
        <w:rPr>
          <w:bCs/>
          <w:sz w:val="24"/>
          <w:szCs w:val="24"/>
        </w:rPr>
        <w:t xml:space="preserve"> en el Perú</w:t>
      </w:r>
      <w:r w:rsidR="001A732F" w:rsidRPr="00822A98">
        <w:rPr>
          <w:bCs/>
          <w:sz w:val="24"/>
          <w:szCs w:val="24"/>
        </w:rPr>
        <w:t xml:space="preserve"> garantiza</w:t>
      </w:r>
      <w:r w:rsidRPr="00822A98">
        <w:rPr>
          <w:bCs/>
          <w:sz w:val="24"/>
          <w:szCs w:val="24"/>
        </w:rPr>
        <w:t xml:space="preserve"> cond</w:t>
      </w:r>
      <w:r w:rsidR="001A732F" w:rsidRPr="00822A98">
        <w:rPr>
          <w:bCs/>
          <w:sz w:val="24"/>
          <w:szCs w:val="24"/>
        </w:rPr>
        <w:t>iciones elementales de calidad, pero no se</w:t>
      </w:r>
      <w:r w:rsidRPr="00822A98">
        <w:rPr>
          <w:bCs/>
          <w:sz w:val="24"/>
          <w:szCs w:val="24"/>
        </w:rPr>
        <w:t xml:space="preserve"> da prioridad a otros aspectos como la retención</w:t>
      </w:r>
      <w:r w:rsidR="001A732F" w:rsidRPr="00822A98">
        <w:rPr>
          <w:bCs/>
          <w:sz w:val="24"/>
          <w:szCs w:val="24"/>
        </w:rPr>
        <w:t xml:space="preserve"> </w:t>
      </w:r>
      <w:r w:rsidRPr="00822A98">
        <w:rPr>
          <w:bCs/>
          <w:sz w:val="24"/>
          <w:szCs w:val="24"/>
        </w:rPr>
        <w:t>-</w:t>
      </w:r>
      <w:r w:rsidR="001A732F" w:rsidRPr="00822A98">
        <w:rPr>
          <w:bCs/>
          <w:sz w:val="24"/>
          <w:szCs w:val="24"/>
        </w:rPr>
        <w:t xml:space="preserve"> </w:t>
      </w:r>
      <w:r w:rsidRPr="00822A98">
        <w:rPr>
          <w:bCs/>
          <w:sz w:val="24"/>
          <w:szCs w:val="24"/>
        </w:rPr>
        <w:t xml:space="preserve">abandono, la internacionalización, entre otros aspectos. </w:t>
      </w:r>
      <w:r w:rsidR="001A732F" w:rsidRPr="00822A98">
        <w:rPr>
          <w:bCs/>
          <w:sz w:val="24"/>
          <w:szCs w:val="24"/>
        </w:rPr>
        <w:t>El motivo principal por el que se</w:t>
      </w:r>
      <w:r w:rsidRPr="00822A98">
        <w:rPr>
          <w:bCs/>
          <w:sz w:val="24"/>
          <w:szCs w:val="24"/>
        </w:rPr>
        <w:t xml:space="preserve"> </w:t>
      </w:r>
      <w:r w:rsidR="001A732F" w:rsidRPr="00822A98">
        <w:rPr>
          <w:bCs/>
          <w:sz w:val="24"/>
          <w:szCs w:val="24"/>
        </w:rPr>
        <w:t>priorizan</w:t>
      </w:r>
      <w:r w:rsidRPr="00822A98">
        <w:rPr>
          <w:bCs/>
          <w:sz w:val="24"/>
          <w:szCs w:val="24"/>
        </w:rPr>
        <w:t xml:space="preserve"> las condicio</w:t>
      </w:r>
      <w:r w:rsidR="001A732F" w:rsidRPr="00822A98">
        <w:rPr>
          <w:bCs/>
          <w:sz w:val="24"/>
          <w:szCs w:val="24"/>
        </w:rPr>
        <w:t>nes elementales de calidad es</w:t>
      </w:r>
      <w:r w:rsidRPr="00822A98">
        <w:rPr>
          <w:bCs/>
          <w:sz w:val="24"/>
          <w:szCs w:val="24"/>
        </w:rPr>
        <w:t xml:space="preserve"> </w:t>
      </w:r>
      <w:r w:rsidR="001A732F" w:rsidRPr="00822A98">
        <w:rPr>
          <w:bCs/>
          <w:sz w:val="24"/>
          <w:szCs w:val="24"/>
        </w:rPr>
        <w:t xml:space="preserve">que sigue una </w:t>
      </w:r>
      <w:r w:rsidRPr="00822A98">
        <w:rPr>
          <w:bCs/>
          <w:sz w:val="24"/>
          <w:szCs w:val="24"/>
        </w:rPr>
        <w:t>etapa inicial en la consolidación de lo básico</w:t>
      </w:r>
      <w:r w:rsidR="001A732F" w:rsidRPr="00822A98">
        <w:rPr>
          <w:bCs/>
          <w:sz w:val="24"/>
          <w:szCs w:val="24"/>
        </w:rPr>
        <w:t>. Al pasar</w:t>
      </w:r>
      <w:r w:rsidRPr="00822A98">
        <w:rPr>
          <w:bCs/>
          <w:sz w:val="24"/>
          <w:szCs w:val="24"/>
        </w:rPr>
        <w:t xml:space="preserve"> esta fase, </w:t>
      </w:r>
      <w:r w:rsidR="001A732F" w:rsidRPr="00822A98">
        <w:rPr>
          <w:bCs/>
          <w:sz w:val="24"/>
          <w:szCs w:val="24"/>
        </w:rPr>
        <w:t>se podrán ver</w:t>
      </w:r>
      <w:r w:rsidRPr="00822A98">
        <w:rPr>
          <w:bCs/>
          <w:sz w:val="24"/>
          <w:szCs w:val="24"/>
        </w:rPr>
        <w:t xml:space="preserve"> otras </w:t>
      </w:r>
      <w:r w:rsidR="001A732F" w:rsidRPr="00822A98">
        <w:rPr>
          <w:bCs/>
          <w:sz w:val="24"/>
          <w:szCs w:val="24"/>
        </w:rPr>
        <w:t xml:space="preserve">necesidades, </w:t>
      </w:r>
      <w:r w:rsidRPr="00822A98">
        <w:rPr>
          <w:bCs/>
          <w:sz w:val="24"/>
          <w:szCs w:val="24"/>
        </w:rPr>
        <w:t>com</w:t>
      </w:r>
      <w:r w:rsidR="001A732F" w:rsidRPr="00822A98">
        <w:rPr>
          <w:bCs/>
          <w:sz w:val="24"/>
          <w:szCs w:val="24"/>
        </w:rPr>
        <w:t xml:space="preserve">o la permanencia, deserción, </w:t>
      </w:r>
      <w:r w:rsidRPr="00822A98">
        <w:rPr>
          <w:bCs/>
          <w:sz w:val="24"/>
          <w:szCs w:val="24"/>
        </w:rPr>
        <w:t>internacionalización universitaria</w:t>
      </w:r>
      <w:r w:rsidR="001A732F" w:rsidRPr="00822A98">
        <w:rPr>
          <w:bCs/>
          <w:sz w:val="24"/>
          <w:szCs w:val="24"/>
        </w:rPr>
        <w:t>, entre otros</w:t>
      </w:r>
      <w:r w:rsidRPr="00822A98">
        <w:rPr>
          <w:bCs/>
          <w:sz w:val="24"/>
          <w:szCs w:val="24"/>
        </w:rPr>
        <w:t>.</w:t>
      </w:r>
      <w:r w:rsidR="001A732F" w:rsidRPr="00822A98">
        <w:rPr>
          <w:bCs/>
          <w:sz w:val="24"/>
          <w:szCs w:val="24"/>
        </w:rPr>
        <w:t xml:space="preserve"> El</w:t>
      </w:r>
      <w:r w:rsidRPr="00822A98">
        <w:rPr>
          <w:bCs/>
          <w:sz w:val="24"/>
          <w:szCs w:val="24"/>
        </w:rPr>
        <w:t xml:space="preserve"> objetivo </w:t>
      </w:r>
      <w:r w:rsidR="001A732F" w:rsidRPr="00822A98">
        <w:rPr>
          <w:bCs/>
          <w:sz w:val="24"/>
          <w:szCs w:val="24"/>
        </w:rPr>
        <w:t xml:space="preserve">de este estudio es </w:t>
      </w:r>
      <w:r w:rsidRPr="00822A98">
        <w:rPr>
          <w:bCs/>
          <w:sz w:val="24"/>
          <w:szCs w:val="24"/>
        </w:rPr>
        <w:t>conocer cómo se desarrolla la producción investigativa sobre retención-abandono universitario en el</w:t>
      </w:r>
      <w:r w:rsidR="001A732F" w:rsidRPr="00822A98">
        <w:rPr>
          <w:bCs/>
          <w:sz w:val="24"/>
          <w:szCs w:val="24"/>
        </w:rPr>
        <w:t xml:space="preserve"> Perú entre el 2012 y el 2021, a fin de </w:t>
      </w:r>
      <w:r w:rsidRPr="00822A98">
        <w:rPr>
          <w:bCs/>
          <w:sz w:val="24"/>
          <w:szCs w:val="24"/>
        </w:rPr>
        <w:t xml:space="preserve">reflexionar sobre una </w:t>
      </w:r>
      <w:r w:rsidR="00B02D19" w:rsidRPr="00822A98">
        <w:rPr>
          <w:bCs/>
          <w:sz w:val="24"/>
          <w:szCs w:val="24"/>
        </w:rPr>
        <w:t>PU</w:t>
      </w:r>
      <w:r w:rsidRPr="00822A98">
        <w:rPr>
          <w:bCs/>
          <w:sz w:val="24"/>
          <w:szCs w:val="24"/>
        </w:rPr>
        <w:t xml:space="preserve"> que favorezca la retención y evite el abandono universitario.</w:t>
      </w:r>
    </w:p>
    <w:p w14:paraId="4C75A216" w14:textId="77777777" w:rsidR="008C2FAA" w:rsidRPr="00822A98" w:rsidRDefault="008C2FAA" w:rsidP="00714A52">
      <w:pPr>
        <w:spacing w:line="240" w:lineRule="auto"/>
        <w:ind w:left="0" w:hanging="2"/>
        <w:rPr>
          <w:b/>
          <w:bCs/>
          <w:sz w:val="24"/>
          <w:szCs w:val="24"/>
        </w:rPr>
      </w:pPr>
      <w:r w:rsidRPr="00822A98">
        <w:rPr>
          <w:b/>
          <w:bCs/>
          <w:sz w:val="24"/>
          <w:szCs w:val="24"/>
        </w:rPr>
        <w:t>Metodología</w:t>
      </w:r>
    </w:p>
    <w:p w14:paraId="13D4C7AF" w14:textId="77777777" w:rsidR="008C2FAA" w:rsidRPr="00822A98" w:rsidRDefault="008C2FAA" w:rsidP="00714A52">
      <w:pPr>
        <w:shd w:val="clear" w:color="auto" w:fill="FFFFFF"/>
        <w:spacing w:line="240" w:lineRule="auto"/>
        <w:ind w:left="0" w:hanging="2"/>
        <w:rPr>
          <w:b/>
          <w:bCs/>
          <w:sz w:val="24"/>
          <w:szCs w:val="24"/>
          <w:lang w:eastAsia="en-GB"/>
        </w:rPr>
      </w:pPr>
      <w:r w:rsidRPr="00822A98">
        <w:rPr>
          <w:b/>
          <w:bCs/>
          <w:sz w:val="24"/>
          <w:szCs w:val="24"/>
          <w:lang w:eastAsia="en-GB"/>
        </w:rPr>
        <w:t>Tipo de estudio</w:t>
      </w:r>
    </w:p>
    <w:p w14:paraId="05376C4C" w14:textId="51ED8B1D" w:rsidR="00FC37C1" w:rsidRPr="00822A98" w:rsidRDefault="00FC37C1" w:rsidP="00714A52">
      <w:pPr>
        <w:shd w:val="clear" w:color="auto" w:fill="FFFFFF"/>
        <w:spacing w:line="240" w:lineRule="auto"/>
        <w:ind w:left="0" w:hanging="2"/>
        <w:rPr>
          <w:sz w:val="24"/>
          <w:szCs w:val="24"/>
          <w:lang w:eastAsia="en-GB"/>
        </w:rPr>
      </w:pPr>
      <w:r w:rsidRPr="00822A98">
        <w:rPr>
          <w:bCs/>
          <w:sz w:val="24"/>
          <w:szCs w:val="24"/>
        </w:rPr>
        <w:t xml:space="preserve">El tipo de estudio es bibliométrico y de revisión sistemática. </w:t>
      </w:r>
      <w:r w:rsidR="001A732F" w:rsidRPr="00822A98">
        <w:rPr>
          <w:sz w:val="24"/>
          <w:szCs w:val="24"/>
          <w:lang w:eastAsia="en-GB"/>
        </w:rPr>
        <w:t>E</w:t>
      </w:r>
      <w:r w:rsidR="008C2FAA" w:rsidRPr="00822A98">
        <w:rPr>
          <w:sz w:val="24"/>
          <w:szCs w:val="24"/>
          <w:lang w:eastAsia="en-GB"/>
        </w:rPr>
        <w:t xml:space="preserve">l diseño es descriptivo transversal. Se </w:t>
      </w:r>
      <w:r w:rsidRPr="00822A98">
        <w:rPr>
          <w:sz w:val="24"/>
          <w:szCs w:val="24"/>
          <w:lang w:eastAsia="en-GB"/>
        </w:rPr>
        <w:t>tomaron en cuenta</w:t>
      </w:r>
      <w:r w:rsidR="008C2FAA" w:rsidRPr="00822A98">
        <w:rPr>
          <w:sz w:val="24"/>
          <w:szCs w:val="24"/>
          <w:lang w:eastAsia="en-GB"/>
        </w:rPr>
        <w:t xml:space="preserve"> diversas referencias de Latinoamérica relacionadas con el tema (Herbas Torrico et al, 2021; Reyes y Meneses, 2020).</w:t>
      </w:r>
    </w:p>
    <w:p w14:paraId="15A93BD3" w14:textId="77777777" w:rsidR="008C2FAA" w:rsidRPr="00822A98" w:rsidRDefault="008C2FAA" w:rsidP="00714A52">
      <w:pPr>
        <w:shd w:val="clear" w:color="auto" w:fill="FFFFFF"/>
        <w:spacing w:line="240" w:lineRule="auto"/>
        <w:ind w:left="0" w:hanging="2"/>
        <w:rPr>
          <w:b/>
          <w:bCs/>
          <w:sz w:val="24"/>
          <w:szCs w:val="24"/>
          <w:lang w:eastAsia="en-GB"/>
        </w:rPr>
      </w:pPr>
      <w:r w:rsidRPr="00822A98">
        <w:rPr>
          <w:b/>
          <w:bCs/>
          <w:sz w:val="24"/>
          <w:szCs w:val="24"/>
          <w:lang w:eastAsia="en-GB"/>
        </w:rPr>
        <w:t>Muestra y delimitación de la búsqueda</w:t>
      </w:r>
    </w:p>
    <w:p w14:paraId="1868CDB8" w14:textId="3C248B1B" w:rsidR="008C2FAA" w:rsidRPr="00822A98" w:rsidRDefault="008C2FAA" w:rsidP="00714A52">
      <w:pPr>
        <w:shd w:val="clear" w:color="auto" w:fill="FFFFFF"/>
        <w:spacing w:line="240" w:lineRule="auto"/>
        <w:ind w:left="0" w:hanging="2"/>
        <w:rPr>
          <w:sz w:val="24"/>
          <w:szCs w:val="24"/>
          <w:lang w:eastAsia="en-GB"/>
        </w:rPr>
      </w:pPr>
      <w:r w:rsidRPr="00822A98">
        <w:rPr>
          <w:sz w:val="24"/>
          <w:szCs w:val="24"/>
          <w:lang w:eastAsia="en-GB"/>
        </w:rPr>
        <w:t xml:space="preserve">Se consideraron los siguientes parámetros de búsqueda de información en </w:t>
      </w:r>
      <w:r w:rsidRPr="00822A98">
        <w:rPr>
          <w:i/>
          <w:sz w:val="24"/>
          <w:szCs w:val="24"/>
          <w:lang w:eastAsia="en-GB"/>
        </w:rPr>
        <w:t>Scopus</w:t>
      </w:r>
      <w:r w:rsidRPr="00822A98">
        <w:rPr>
          <w:sz w:val="24"/>
          <w:szCs w:val="24"/>
          <w:lang w:eastAsia="en-GB"/>
        </w:rPr>
        <w:t xml:space="preserve"> y </w:t>
      </w:r>
      <w:r w:rsidRPr="00822A98">
        <w:rPr>
          <w:i/>
          <w:sz w:val="24"/>
          <w:szCs w:val="24"/>
          <w:lang w:eastAsia="en-GB"/>
        </w:rPr>
        <w:t>Web of Science</w:t>
      </w:r>
      <w:r w:rsidRPr="00822A98">
        <w:rPr>
          <w:sz w:val="24"/>
          <w:szCs w:val="24"/>
          <w:lang w:eastAsia="en-GB"/>
        </w:rPr>
        <w:t xml:space="preserve"> (ver </w:t>
      </w:r>
      <w:r w:rsidR="001A732F" w:rsidRPr="00822A98">
        <w:rPr>
          <w:sz w:val="24"/>
          <w:szCs w:val="24"/>
          <w:lang w:eastAsia="en-GB"/>
        </w:rPr>
        <w:t>t</w:t>
      </w:r>
      <w:r w:rsidRPr="00822A98">
        <w:rPr>
          <w:sz w:val="24"/>
          <w:szCs w:val="24"/>
          <w:lang w:eastAsia="en-GB"/>
        </w:rPr>
        <w:t>abla 1).</w:t>
      </w:r>
    </w:p>
    <w:p w14:paraId="0B626B50" w14:textId="5F56F0BA" w:rsidR="008C2FAA" w:rsidRPr="00822A98" w:rsidRDefault="008C2FAA" w:rsidP="00714A52">
      <w:pPr>
        <w:shd w:val="clear" w:color="auto" w:fill="FFFFFF"/>
        <w:spacing w:line="240" w:lineRule="auto"/>
        <w:ind w:left="0" w:hanging="2"/>
        <w:jc w:val="center"/>
        <w:rPr>
          <w:iCs/>
          <w:sz w:val="24"/>
          <w:szCs w:val="24"/>
          <w:lang w:eastAsia="en-GB"/>
        </w:rPr>
      </w:pPr>
      <w:r w:rsidRPr="00822A98">
        <w:rPr>
          <w:b/>
          <w:bCs/>
          <w:sz w:val="24"/>
          <w:szCs w:val="24"/>
          <w:lang w:eastAsia="en-GB"/>
        </w:rPr>
        <w:t>Tabla 1</w:t>
      </w:r>
      <w:r w:rsidR="00877D9B">
        <w:rPr>
          <w:b/>
          <w:bCs/>
          <w:sz w:val="24"/>
          <w:szCs w:val="24"/>
          <w:lang w:eastAsia="en-GB"/>
        </w:rPr>
        <w:t xml:space="preserve">. </w:t>
      </w:r>
      <w:r w:rsidRPr="00822A98">
        <w:rPr>
          <w:iCs/>
          <w:sz w:val="24"/>
          <w:szCs w:val="24"/>
          <w:lang w:eastAsia="en-GB"/>
        </w:rPr>
        <w:t>Datos para la delimitación de búsqueda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67"/>
        <w:gridCol w:w="2127"/>
        <w:gridCol w:w="6804"/>
      </w:tblGrid>
      <w:tr w:rsidR="00822A98" w:rsidRPr="00822A98" w14:paraId="4B4FE037" w14:textId="77777777" w:rsidTr="00B02D19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B97A1" w14:textId="1725CF4E" w:rsidR="008C2FAA" w:rsidRPr="00822A98" w:rsidRDefault="008C2FAA" w:rsidP="00714A52">
            <w:pPr>
              <w:spacing w:line="240" w:lineRule="auto"/>
              <w:ind w:left="-2" w:firstLineChars="0" w:firstLine="0"/>
              <w:rPr>
                <w:b/>
                <w:bCs/>
              </w:rPr>
            </w:pPr>
            <w:r w:rsidRPr="00822A98">
              <w:rPr>
                <w:b/>
                <w:bCs/>
              </w:rPr>
              <w:t>N</w:t>
            </w:r>
            <w:r w:rsidR="001A732F" w:rsidRPr="00822A98">
              <w:rPr>
                <w:b/>
                <w:bCs/>
              </w:rPr>
              <w:t>.</w:t>
            </w:r>
            <w:r w:rsidRPr="00822A98">
              <w:rPr>
                <w:b/>
                <w:bCs/>
              </w:rPr>
              <w:t>°</w:t>
            </w:r>
          </w:p>
          <w:p w14:paraId="0CB4E4D7" w14:textId="77777777" w:rsidR="008C2FAA" w:rsidRPr="00822A98" w:rsidRDefault="008C2FAA" w:rsidP="00714A52">
            <w:pPr>
              <w:spacing w:line="240" w:lineRule="auto"/>
              <w:ind w:left="-2" w:firstLineChars="0" w:firstLine="0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BCE6C" w14:textId="77777777" w:rsidR="008C2FAA" w:rsidRPr="00822A98" w:rsidRDefault="008C2FAA" w:rsidP="00714A52">
            <w:pPr>
              <w:spacing w:line="240" w:lineRule="auto"/>
              <w:ind w:left="-2" w:firstLineChars="0" w:firstLine="0"/>
              <w:rPr>
                <w:b/>
                <w:bCs/>
              </w:rPr>
            </w:pPr>
            <w:r w:rsidRPr="00822A98">
              <w:rPr>
                <w:b/>
                <w:bCs/>
              </w:rPr>
              <w:t>Aspectos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AAF32" w14:textId="77777777" w:rsidR="008C2FAA" w:rsidRPr="00822A98" w:rsidRDefault="008C2FAA" w:rsidP="00714A52">
            <w:pPr>
              <w:spacing w:line="240" w:lineRule="auto"/>
              <w:ind w:left="-2" w:firstLineChars="0" w:firstLine="0"/>
              <w:rPr>
                <w:b/>
                <w:bCs/>
              </w:rPr>
            </w:pPr>
            <w:r w:rsidRPr="00822A98">
              <w:rPr>
                <w:b/>
                <w:bCs/>
              </w:rPr>
              <w:t xml:space="preserve">Delimitación </w:t>
            </w:r>
          </w:p>
        </w:tc>
      </w:tr>
      <w:tr w:rsidR="00822A98" w:rsidRPr="00822A98" w14:paraId="02476C62" w14:textId="77777777" w:rsidTr="00B02D19">
        <w:trPr>
          <w:trHeight w:val="2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969A8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3D67" w14:textId="7728B9F5" w:rsidR="001A732F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Año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B7D6C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2012 – 2021</w:t>
            </w:r>
          </w:p>
        </w:tc>
      </w:tr>
      <w:tr w:rsidR="00822A98" w:rsidRPr="00822A98" w14:paraId="5B20417D" w14:textId="77777777" w:rsidTr="00B02D1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59E68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AB51B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Tópico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2958F" w14:textId="1DBC9750" w:rsidR="008C2FAA" w:rsidRPr="00822A98" w:rsidRDefault="008C2FAA" w:rsidP="00714A52">
            <w:pP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822A98">
              <w:rPr>
                <w:lang w:val="en-US"/>
              </w:rPr>
              <w:t>Retention dropout university</w:t>
            </w:r>
          </w:p>
        </w:tc>
      </w:tr>
      <w:tr w:rsidR="00822A98" w:rsidRPr="00822A98" w14:paraId="3286ABA1" w14:textId="77777777" w:rsidTr="00B02D19">
        <w:trPr>
          <w:trHeight w:val="2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D32E2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601CA" w14:textId="0F7B7669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Tipo de</w:t>
            </w:r>
            <w:r w:rsidR="00253F21" w:rsidRPr="00822A98">
              <w:t xml:space="preserve"> </w:t>
            </w:r>
            <w:r w:rsidR="001A732F" w:rsidRPr="00822A98">
              <w:t>p</w:t>
            </w:r>
            <w:r w:rsidRPr="00822A98">
              <w:t>ublicación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F5542" w14:textId="2D4B356E" w:rsidR="001A732F" w:rsidRPr="00822A98" w:rsidRDefault="008C2FAA" w:rsidP="00714A52">
            <w:pPr>
              <w:spacing w:line="240" w:lineRule="auto"/>
              <w:ind w:leftChars="0" w:left="0" w:firstLineChars="0" w:firstLine="0"/>
            </w:pPr>
            <w:r w:rsidRPr="00822A98">
              <w:t xml:space="preserve">Artículos </w:t>
            </w:r>
            <w:r w:rsidR="001A732F" w:rsidRPr="00822A98">
              <w:t>c</w:t>
            </w:r>
            <w:r w:rsidRPr="00822A98">
              <w:t>ientíficos</w:t>
            </w:r>
          </w:p>
        </w:tc>
      </w:tr>
      <w:tr w:rsidR="00822A98" w:rsidRPr="00822A98" w14:paraId="4AD0B952" w14:textId="77777777" w:rsidTr="00B02D19">
        <w:trPr>
          <w:trHeight w:val="2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31EF2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BC4C0" w14:textId="7E7E6D8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 xml:space="preserve">Palabras </w:t>
            </w:r>
            <w:r w:rsidR="001A732F" w:rsidRPr="00822A98">
              <w:t>c</w:t>
            </w:r>
            <w:r w:rsidRPr="00822A98">
              <w:t>laves</w:t>
            </w:r>
          </w:p>
          <w:p w14:paraId="2277137D" w14:textId="08F4F386" w:rsidR="001A732F" w:rsidRPr="00822A98" w:rsidRDefault="001A732F" w:rsidP="00714A5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379B3" w14:textId="77777777" w:rsidR="008C2FAA" w:rsidRPr="00822A98" w:rsidRDefault="008C2FAA" w:rsidP="00714A52">
            <w:pP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822A98">
              <w:rPr>
                <w:lang w:val="en-US"/>
              </w:rPr>
              <w:t>Retention, Dropout, Desertion, Academic persistence, Higher Education, University, Higher Education Institutions, College, Professional School</w:t>
            </w:r>
          </w:p>
        </w:tc>
      </w:tr>
      <w:tr w:rsidR="00822A98" w:rsidRPr="00822A98" w14:paraId="3B301970" w14:textId="77777777" w:rsidTr="00B02D19">
        <w:trPr>
          <w:trHeight w:val="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24AD7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8A77B" w14:textId="77777777" w:rsidR="008C2FAA" w:rsidRPr="00822A98" w:rsidRDefault="008C2FAA" w:rsidP="00714A52">
            <w:pPr>
              <w:spacing w:line="240" w:lineRule="auto"/>
              <w:ind w:leftChars="0" w:left="0" w:firstLineChars="0" w:firstLine="0"/>
            </w:pPr>
            <w:r w:rsidRPr="00822A98">
              <w:t>Idioma</w:t>
            </w:r>
          </w:p>
          <w:p w14:paraId="09DE01F6" w14:textId="1B94AF60" w:rsidR="001A732F" w:rsidRPr="00822A98" w:rsidRDefault="001A732F" w:rsidP="00714A52">
            <w:pPr>
              <w:spacing w:line="240" w:lineRule="auto"/>
              <w:ind w:left="-2" w:firstLineChars="0" w:firstLine="0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DE467" w14:textId="77777777" w:rsidR="008C2FAA" w:rsidRPr="00822A98" w:rsidRDefault="008C2FAA" w:rsidP="00714A52">
            <w:pPr>
              <w:spacing w:line="240" w:lineRule="auto"/>
              <w:ind w:leftChars="0" w:left="0" w:firstLineChars="0" w:firstLine="0"/>
            </w:pPr>
            <w:r w:rsidRPr="00822A98">
              <w:t xml:space="preserve">Todos </w:t>
            </w:r>
          </w:p>
        </w:tc>
      </w:tr>
      <w:tr w:rsidR="00822A98" w:rsidRPr="00822A98" w14:paraId="7596D7D5" w14:textId="77777777" w:rsidTr="00B02D19">
        <w:trPr>
          <w:trHeight w:val="1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CA53F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C2744" w14:textId="4C4337AB" w:rsidR="008C2FAA" w:rsidRPr="00822A98" w:rsidRDefault="008C2FAA" w:rsidP="00714A52">
            <w:pPr>
              <w:spacing w:line="240" w:lineRule="auto"/>
              <w:ind w:leftChars="0" w:left="0" w:firstLineChars="0" w:firstLine="0"/>
            </w:pPr>
            <w:r w:rsidRPr="00822A98">
              <w:t xml:space="preserve">Operadores </w:t>
            </w:r>
            <w:r w:rsidR="001A732F" w:rsidRPr="00822A98">
              <w:t>b</w:t>
            </w:r>
            <w:r w:rsidRPr="00822A98">
              <w:t>ooleanos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B638D" w14:textId="77777777" w:rsidR="008C2FAA" w:rsidRPr="00822A98" w:rsidRDefault="008C2FAA" w:rsidP="00714A52">
            <w:pPr>
              <w:spacing w:line="240" w:lineRule="auto"/>
              <w:ind w:leftChars="0" w:left="0" w:firstLineChars="0" w:firstLine="0"/>
            </w:pPr>
            <w:r w:rsidRPr="00822A98">
              <w:t>And &amp; Or</w:t>
            </w:r>
          </w:p>
        </w:tc>
      </w:tr>
      <w:tr w:rsidR="00822A98" w:rsidRPr="00822A98" w14:paraId="2EEE5490" w14:textId="77777777" w:rsidTr="00B02D19">
        <w:trPr>
          <w:trHeight w:val="60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36E30EC0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3FB9A5B4" w14:textId="77777777" w:rsidR="008C2FAA" w:rsidRPr="00822A98" w:rsidRDefault="008C2FAA" w:rsidP="00714A52">
            <w:pPr>
              <w:spacing w:line="240" w:lineRule="auto"/>
              <w:ind w:left="-2" w:firstLineChars="0" w:firstLine="0"/>
            </w:pPr>
            <w:r w:rsidRPr="00822A98">
              <w:t>Afiliación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60DEA9D" w14:textId="37244CD8" w:rsidR="008C2FAA" w:rsidRPr="00822A98" w:rsidRDefault="008C2FAA" w:rsidP="00714A52">
            <w:pPr>
              <w:spacing w:line="240" w:lineRule="auto"/>
              <w:ind w:left="-2" w:firstLineChars="0" w:firstLine="0"/>
              <w:outlineLvl w:val="1"/>
              <w:rPr>
                <w:rFonts w:eastAsia="Arial"/>
                <w:lang w:val="en-US"/>
              </w:rPr>
            </w:pPr>
            <w:r w:rsidRPr="00822A98">
              <w:rPr>
                <w:rFonts w:eastAsia="Arial"/>
                <w:lang w:val="en-US"/>
              </w:rPr>
              <w:t xml:space="preserve">Peruana </w:t>
            </w:r>
          </w:p>
        </w:tc>
      </w:tr>
    </w:tbl>
    <w:p w14:paraId="64557DEE" w14:textId="77777777" w:rsidR="00877D9B" w:rsidRDefault="00877D9B" w:rsidP="00714A52">
      <w:pPr>
        <w:spacing w:line="24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0C968DA3" w14:textId="637D98A3" w:rsidR="008C2FAA" w:rsidRPr="00822A98" w:rsidRDefault="008C2FAA" w:rsidP="00714A52">
      <w:pPr>
        <w:spacing w:line="240" w:lineRule="auto"/>
        <w:ind w:leftChars="0" w:left="0" w:firstLineChars="0" w:firstLine="0"/>
        <w:rPr>
          <w:b/>
          <w:bCs/>
          <w:sz w:val="24"/>
          <w:szCs w:val="24"/>
        </w:rPr>
      </w:pPr>
      <w:r w:rsidRPr="00822A98">
        <w:rPr>
          <w:b/>
          <w:bCs/>
          <w:sz w:val="24"/>
          <w:szCs w:val="24"/>
        </w:rPr>
        <w:t xml:space="preserve">Resultados y </w:t>
      </w:r>
      <w:r w:rsidR="001A732F" w:rsidRPr="00822A98">
        <w:rPr>
          <w:b/>
          <w:bCs/>
          <w:sz w:val="24"/>
          <w:szCs w:val="24"/>
        </w:rPr>
        <w:t>d</w:t>
      </w:r>
      <w:r w:rsidRPr="00822A98">
        <w:rPr>
          <w:b/>
          <w:bCs/>
          <w:sz w:val="24"/>
          <w:szCs w:val="24"/>
        </w:rPr>
        <w:t>iscusión</w:t>
      </w:r>
    </w:p>
    <w:p w14:paraId="42C16030" w14:textId="329E61FE" w:rsidR="00410C64" w:rsidRPr="00822A98" w:rsidRDefault="00FC37C1" w:rsidP="00714A52">
      <w:pPr>
        <w:shd w:val="clear" w:color="auto" w:fill="FFFFFF"/>
        <w:spacing w:line="240" w:lineRule="auto"/>
        <w:ind w:left="0" w:hanging="2"/>
        <w:rPr>
          <w:bCs/>
          <w:sz w:val="24"/>
          <w:szCs w:val="24"/>
        </w:rPr>
      </w:pPr>
      <w:r w:rsidRPr="00822A98">
        <w:rPr>
          <w:bCs/>
          <w:sz w:val="24"/>
          <w:szCs w:val="24"/>
        </w:rPr>
        <w:t xml:space="preserve">Se realizó una búsqueda de todos los artículos de investigación sobre retención - abandono universitario en el Perú, en las bases de datos Scopus y Web of Science. Se encontraron 34 </w:t>
      </w:r>
      <w:r w:rsidR="002B107E" w:rsidRPr="00822A98">
        <w:rPr>
          <w:bCs/>
          <w:sz w:val="24"/>
          <w:szCs w:val="24"/>
        </w:rPr>
        <w:t>documentos</w:t>
      </w:r>
      <w:r w:rsidRPr="00822A98">
        <w:rPr>
          <w:bCs/>
          <w:sz w:val="24"/>
          <w:szCs w:val="24"/>
        </w:rPr>
        <w:t>. De esto</w:t>
      </w:r>
      <w:r w:rsidR="002B107E" w:rsidRPr="00822A98">
        <w:rPr>
          <w:bCs/>
          <w:sz w:val="24"/>
          <w:szCs w:val="24"/>
        </w:rPr>
        <w:t>s, se eliminaron</w:t>
      </w:r>
      <w:r w:rsidRPr="00822A98">
        <w:rPr>
          <w:bCs/>
          <w:sz w:val="24"/>
          <w:szCs w:val="24"/>
        </w:rPr>
        <w:t xml:space="preserve"> 7 artículos repetidos</w:t>
      </w:r>
      <w:r w:rsidR="002B107E" w:rsidRPr="00822A98">
        <w:rPr>
          <w:bCs/>
          <w:sz w:val="24"/>
          <w:szCs w:val="24"/>
        </w:rPr>
        <w:t>. Además, no se consideraron otros 10 trabajos,</w:t>
      </w:r>
      <w:r w:rsidR="00410C64" w:rsidRPr="00822A98">
        <w:rPr>
          <w:bCs/>
          <w:sz w:val="24"/>
          <w:szCs w:val="24"/>
        </w:rPr>
        <w:t xml:space="preserve"> puesto que se encontraron artículos vinculados a retención química, entre otros</w:t>
      </w:r>
      <w:r w:rsidR="002B107E" w:rsidRPr="00822A98">
        <w:rPr>
          <w:bCs/>
          <w:sz w:val="24"/>
          <w:szCs w:val="24"/>
        </w:rPr>
        <w:t xml:space="preserve"> temas</w:t>
      </w:r>
      <w:r w:rsidR="00E01601" w:rsidRPr="00822A98">
        <w:rPr>
          <w:bCs/>
          <w:sz w:val="24"/>
          <w:szCs w:val="24"/>
        </w:rPr>
        <w:t xml:space="preserve"> diferentes</w:t>
      </w:r>
      <w:r w:rsidR="00410C64" w:rsidRPr="00822A98">
        <w:rPr>
          <w:bCs/>
          <w:sz w:val="24"/>
          <w:szCs w:val="24"/>
        </w:rPr>
        <w:t xml:space="preserve">. </w:t>
      </w:r>
      <w:r w:rsidR="002B107E" w:rsidRPr="00822A98">
        <w:rPr>
          <w:bCs/>
          <w:sz w:val="24"/>
          <w:szCs w:val="24"/>
        </w:rPr>
        <w:t>Finalmente, para</w:t>
      </w:r>
      <w:r w:rsidRPr="00822A98">
        <w:rPr>
          <w:bCs/>
          <w:sz w:val="24"/>
          <w:szCs w:val="24"/>
        </w:rPr>
        <w:t xml:space="preserve"> el análisis, se trabajó con 17 artículos</w:t>
      </w:r>
      <w:r w:rsidR="00410C64" w:rsidRPr="00822A98">
        <w:rPr>
          <w:bCs/>
          <w:sz w:val="24"/>
          <w:szCs w:val="24"/>
        </w:rPr>
        <w:t xml:space="preserve">, </w:t>
      </w:r>
      <w:r w:rsidR="001A732F" w:rsidRPr="00822A98">
        <w:rPr>
          <w:bCs/>
          <w:sz w:val="24"/>
          <w:szCs w:val="24"/>
        </w:rPr>
        <w:t>los cua</w:t>
      </w:r>
      <w:r w:rsidR="00410C64" w:rsidRPr="00822A98">
        <w:rPr>
          <w:bCs/>
          <w:sz w:val="24"/>
          <w:szCs w:val="24"/>
        </w:rPr>
        <w:t xml:space="preserve">les se </w:t>
      </w:r>
      <w:r w:rsidRPr="00822A98">
        <w:rPr>
          <w:bCs/>
          <w:sz w:val="24"/>
          <w:szCs w:val="24"/>
        </w:rPr>
        <w:t>incluyen</w:t>
      </w:r>
      <w:r w:rsidR="00410C64" w:rsidRPr="00822A98">
        <w:rPr>
          <w:bCs/>
          <w:sz w:val="24"/>
          <w:szCs w:val="24"/>
        </w:rPr>
        <w:t xml:space="preserve"> en el siguiente enlace: </w:t>
      </w:r>
      <w:hyperlink r:id="rId10" w:history="1">
        <w:r w:rsidR="00556C33" w:rsidRPr="00822A98">
          <w:rPr>
            <w:rStyle w:val="Hyperlink"/>
            <w:bCs/>
            <w:color w:val="auto"/>
            <w:sz w:val="24"/>
            <w:szCs w:val="24"/>
          </w:rPr>
          <w:t>https://doi.org/10.5281/zenodo.7242830</w:t>
        </w:r>
      </w:hyperlink>
    </w:p>
    <w:p w14:paraId="7B55529E" w14:textId="66241607" w:rsidR="008C2FAA" w:rsidRPr="00822A98" w:rsidRDefault="008C2FAA" w:rsidP="00714A52">
      <w:pPr>
        <w:spacing w:line="240" w:lineRule="auto"/>
        <w:ind w:left="0" w:hanging="2"/>
        <w:jc w:val="center"/>
        <w:rPr>
          <w:bCs/>
          <w:sz w:val="24"/>
          <w:szCs w:val="24"/>
        </w:rPr>
      </w:pPr>
      <w:r w:rsidRPr="00822A98">
        <w:rPr>
          <w:b/>
          <w:sz w:val="24"/>
          <w:szCs w:val="24"/>
        </w:rPr>
        <w:t>Figura 1</w:t>
      </w:r>
      <w:r w:rsidR="00877D9B">
        <w:rPr>
          <w:b/>
          <w:sz w:val="24"/>
          <w:szCs w:val="24"/>
        </w:rPr>
        <w:t xml:space="preserve">. </w:t>
      </w:r>
      <w:r w:rsidRPr="00822A98">
        <w:rPr>
          <w:sz w:val="24"/>
          <w:szCs w:val="24"/>
        </w:rPr>
        <w:t>Procedimiento para la selección de artículos</w:t>
      </w:r>
    </w:p>
    <w:p w14:paraId="134F659F" w14:textId="23B29902" w:rsidR="008C2FAA" w:rsidRPr="00822A98" w:rsidRDefault="008C2FAA" w:rsidP="00714A52">
      <w:pPr>
        <w:spacing w:line="240" w:lineRule="auto"/>
        <w:ind w:left="0" w:hanging="2"/>
        <w:jc w:val="center"/>
        <w:rPr>
          <w:bCs/>
          <w:sz w:val="24"/>
          <w:szCs w:val="24"/>
        </w:rPr>
      </w:pPr>
      <w:r w:rsidRPr="00822A98">
        <w:rPr>
          <w:noProof/>
          <w:lang w:val="es-PE" w:eastAsia="es-PE"/>
        </w:rPr>
        <w:drawing>
          <wp:inline distT="0" distB="0" distL="0" distR="0" wp14:anchorId="7FCA77E9" wp14:editId="0610572D">
            <wp:extent cx="3290277" cy="4590248"/>
            <wp:effectExtent l="19050" t="19050" r="21590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352" t="4396" r="34863" b="21738"/>
                    <a:stretch/>
                  </pic:blipFill>
                  <pic:spPr bwMode="auto">
                    <a:xfrm>
                      <a:off x="0" y="0"/>
                      <a:ext cx="3290277" cy="4590248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A567C" w14:textId="2F9F9624" w:rsidR="0020690F" w:rsidRPr="00822A98" w:rsidRDefault="008C2FAA" w:rsidP="00714A52">
      <w:pPr>
        <w:spacing w:line="240" w:lineRule="auto"/>
        <w:ind w:left="0" w:hanging="2"/>
        <w:rPr>
          <w:sz w:val="24"/>
          <w:szCs w:val="24"/>
        </w:rPr>
      </w:pPr>
      <w:r w:rsidRPr="00822A98">
        <w:rPr>
          <w:bCs/>
          <w:sz w:val="24"/>
          <w:szCs w:val="24"/>
        </w:rPr>
        <w:t>Se evidenci</w:t>
      </w:r>
      <w:r w:rsidR="00253F21" w:rsidRPr="00822A98">
        <w:rPr>
          <w:bCs/>
          <w:sz w:val="24"/>
          <w:szCs w:val="24"/>
        </w:rPr>
        <w:t>ó</w:t>
      </w:r>
      <w:r w:rsidRPr="00822A98">
        <w:rPr>
          <w:bCs/>
          <w:sz w:val="24"/>
          <w:szCs w:val="24"/>
        </w:rPr>
        <w:t xml:space="preserve"> que las publicaciones sobre el tema inicia</w:t>
      </w:r>
      <w:r w:rsidR="00253F21" w:rsidRPr="00822A98">
        <w:rPr>
          <w:bCs/>
          <w:sz w:val="24"/>
          <w:szCs w:val="24"/>
        </w:rPr>
        <w:t>ron</w:t>
      </w:r>
      <w:r w:rsidRPr="00822A98">
        <w:rPr>
          <w:bCs/>
          <w:sz w:val="24"/>
          <w:szCs w:val="24"/>
        </w:rPr>
        <w:t xml:space="preserve"> en el 2016</w:t>
      </w:r>
      <w:r w:rsidR="00253F21" w:rsidRPr="00822A98">
        <w:rPr>
          <w:bCs/>
          <w:sz w:val="24"/>
          <w:szCs w:val="24"/>
        </w:rPr>
        <w:t>. D</w:t>
      </w:r>
      <w:r w:rsidRPr="00822A98">
        <w:rPr>
          <w:bCs/>
          <w:sz w:val="24"/>
          <w:szCs w:val="24"/>
        </w:rPr>
        <w:t>esde ese año</w:t>
      </w:r>
      <w:r w:rsidR="00253F21" w:rsidRPr="00822A98">
        <w:rPr>
          <w:bCs/>
          <w:sz w:val="24"/>
          <w:szCs w:val="24"/>
        </w:rPr>
        <w:t>,</w:t>
      </w:r>
      <w:r w:rsidRPr="00822A98">
        <w:rPr>
          <w:bCs/>
          <w:sz w:val="24"/>
          <w:szCs w:val="24"/>
        </w:rPr>
        <w:t xml:space="preserve"> la cantidad de artículos aument</w:t>
      </w:r>
      <w:r w:rsidR="00253F21" w:rsidRPr="00822A98">
        <w:rPr>
          <w:bCs/>
          <w:sz w:val="24"/>
          <w:szCs w:val="24"/>
        </w:rPr>
        <w:t>ó</w:t>
      </w:r>
      <w:r w:rsidRPr="00822A98">
        <w:rPr>
          <w:bCs/>
          <w:sz w:val="24"/>
          <w:szCs w:val="24"/>
        </w:rPr>
        <w:t xml:space="preserve"> (ver figura 2).</w:t>
      </w:r>
      <w:r w:rsidR="002B107E" w:rsidRPr="00822A98">
        <w:rPr>
          <w:bCs/>
          <w:sz w:val="24"/>
          <w:szCs w:val="24"/>
        </w:rPr>
        <w:t xml:space="preserve"> </w:t>
      </w:r>
      <w:r w:rsidR="002B107E" w:rsidRPr="00822A98">
        <w:rPr>
          <w:sz w:val="24"/>
          <w:szCs w:val="24"/>
        </w:rPr>
        <w:t xml:space="preserve">Cabe mencionar que se observa </w:t>
      </w:r>
      <w:r w:rsidRPr="00822A98">
        <w:rPr>
          <w:sz w:val="24"/>
          <w:szCs w:val="24"/>
        </w:rPr>
        <w:t xml:space="preserve">poca producción intelectual publicada en </w:t>
      </w:r>
      <w:r w:rsidRPr="00822A98">
        <w:rPr>
          <w:i/>
          <w:sz w:val="24"/>
          <w:szCs w:val="24"/>
        </w:rPr>
        <w:t>Scopus</w:t>
      </w:r>
      <w:r w:rsidRPr="00822A98">
        <w:rPr>
          <w:sz w:val="24"/>
          <w:szCs w:val="24"/>
        </w:rPr>
        <w:t xml:space="preserve"> y </w:t>
      </w:r>
      <w:r w:rsidRPr="00822A98">
        <w:rPr>
          <w:i/>
          <w:sz w:val="24"/>
          <w:szCs w:val="24"/>
        </w:rPr>
        <w:t>WOS</w:t>
      </w:r>
      <w:r w:rsidRPr="00822A98">
        <w:rPr>
          <w:sz w:val="24"/>
          <w:szCs w:val="24"/>
        </w:rPr>
        <w:t xml:space="preserve"> </w:t>
      </w:r>
      <w:r w:rsidR="002B107E" w:rsidRPr="00822A98">
        <w:rPr>
          <w:sz w:val="24"/>
          <w:szCs w:val="24"/>
        </w:rPr>
        <w:t>por</w:t>
      </w:r>
      <w:r w:rsidRPr="00822A98">
        <w:rPr>
          <w:sz w:val="24"/>
          <w:szCs w:val="24"/>
        </w:rPr>
        <w:t xml:space="preserve"> parte de investigadores peruanos, puesto que</w:t>
      </w:r>
      <w:r w:rsidR="002B107E" w:rsidRPr="00822A98">
        <w:rPr>
          <w:sz w:val="24"/>
          <w:szCs w:val="24"/>
        </w:rPr>
        <w:t>,</w:t>
      </w:r>
      <w:r w:rsidRPr="00822A98">
        <w:rPr>
          <w:sz w:val="24"/>
          <w:szCs w:val="24"/>
        </w:rPr>
        <w:t xml:space="preserve"> en el último quinquenio, </w:t>
      </w:r>
      <w:r w:rsidR="002B107E" w:rsidRPr="00822A98">
        <w:rPr>
          <w:sz w:val="24"/>
          <w:szCs w:val="24"/>
        </w:rPr>
        <w:t>aumentó</w:t>
      </w:r>
      <w:r w:rsidRPr="00822A98">
        <w:rPr>
          <w:sz w:val="24"/>
          <w:szCs w:val="24"/>
        </w:rPr>
        <w:t xml:space="preserve"> el interés por publicar en revistas indexadas de gran impacto internacional</w:t>
      </w:r>
      <w:r w:rsidR="002B107E" w:rsidRPr="00822A98">
        <w:rPr>
          <w:sz w:val="24"/>
          <w:szCs w:val="24"/>
        </w:rPr>
        <w:t>.</w:t>
      </w:r>
      <w:r w:rsidRPr="00822A98">
        <w:rPr>
          <w:sz w:val="24"/>
          <w:szCs w:val="24"/>
        </w:rPr>
        <w:t xml:space="preserve"> </w:t>
      </w:r>
      <w:r w:rsidR="002B107E" w:rsidRPr="00822A98">
        <w:rPr>
          <w:sz w:val="24"/>
          <w:szCs w:val="24"/>
        </w:rPr>
        <w:t>I</w:t>
      </w:r>
      <w:r w:rsidRPr="00822A98">
        <w:rPr>
          <w:sz w:val="24"/>
          <w:szCs w:val="24"/>
        </w:rPr>
        <w:t>ncluso</w:t>
      </w:r>
      <w:r w:rsidR="002B107E" w:rsidRPr="00822A98">
        <w:rPr>
          <w:sz w:val="24"/>
          <w:szCs w:val="24"/>
        </w:rPr>
        <w:t>,</w:t>
      </w:r>
      <w:r w:rsidRPr="00822A98">
        <w:rPr>
          <w:sz w:val="24"/>
          <w:szCs w:val="24"/>
        </w:rPr>
        <w:t xml:space="preserve"> varias universidades plantearon incentivos económicos por esta acción</w:t>
      </w:r>
      <w:r w:rsidR="002B107E" w:rsidRPr="00822A98">
        <w:rPr>
          <w:sz w:val="24"/>
          <w:szCs w:val="24"/>
        </w:rPr>
        <w:t>. Además,</w:t>
      </w:r>
      <w:r w:rsidRPr="00822A98">
        <w:rPr>
          <w:sz w:val="24"/>
          <w:szCs w:val="24"/>
        </w:rPr>
        <w:t xml:space="preserve"> desde la Superintendencia Nacional de Educación Superior (2022), se planteó </w:t>
      </w:r>
      <w:r w:rsidR="002B107E" w:rsidRPr="00822A98">
        <w:rPr>
          <w:sz w:val="24"/>
          <w:szCs w:val="24"/>
        </w:rPr>
        <w:t xml:space="preserve">como uno de </w:t>
      </w:r>
      <w:r w:rsidRPr="00822A98">
        <w:rPr>
          <w:sz w:val="24"/>
          <w:szCs w:val="24"/>
        </w:rPr>
        <w:t>los requisitos mínimos de calidad tener docentes investigadores que publiquen en revistas de alto impacto.</w:t>
      </w:r>
      <w:r w:rsidR="002B107E" w:rsidRPr="00822A98">
        <w:rPr>
          <w:sz w:val="24"/>
          <w:szCs w:val="24"/>
        </w:rPr>
        <w:t xml:space="preserve"> Como se mencionó, s</w:t>
      </w:r>
      <w:r w:rsidR="00253F21" w:rsidRPr="00822A98">
        <w:rPr>
          <w:sz w:val="24"/>
          <w:szCs w:val="24"/>
        </w:rPr>
        <w:t xml:space="preserve">on 17 los artículos seleccionados sobre el tema en el decenio de estudio. </w:t>
      </w:r>
      <w:r w:rsidR="0020690F" w:rsidRPr="00822A98">
        <w:rPr>
          <w:sz w:val="24"/>
          <w:szCs w:val="24"/>
        </w:rPr>
        <w:t xml:space="preserve">Se observa, además, que la cantidad de artículos sobre el tema es muy baja en comparación con Brasil y Chile </w:t>
      </w:r>
      <w:r w:rsidR="0020690F" w:rsidRPr="00822A98">
        <w:rPr>
          <w:sz w:val="24"/>
          <w:szCs w:val="24"/>
        </w:rPr>
        <w:lastRenderedPageBreak/>
        <w:t xml:space="preserve">(Munizaga et al, 2019). En Perú hace falta una </w:t>
      </w:r>
      <w:r w:rsidR="00B02D19" w:rsidRPr="00822A98">
        <w:rPr>
          <w:sz w:val="24"/>
          <w:szCs w:val="24"/>
        </w:rPr>
        <w:t>PU</w:t>
      </w:r>
      <w:r w:rsidR="0020690F" w:rsidRPr="00822A98">
        <w:rPr>
          <w:sz w:val="24"/>
          <w:szCs w:val="24"/>
        </w:rPr>
        <w:t xml:space="preserve"> que estimule la investigación de esta problemática con el fin de buscar alternativas de solución.</w:t>
      </w:r>
    </w:p>
    <w:p w14:paraId="2530E466" w14:textId="431D30A2" w:rsidR="008C2FAA" w:rsidRPr="00822A98" w:rsidRDefault="008C2FAA" w:rsidP="00714A52">
      <w:pPr>
        <w:spacing w:line="240" w:lineRule="auto"/>
        <w:ind w:left="0" w:hanging="2"/>
        <w:jc w:val="center"/>
        <w:rPr>
          <w:sz w:val="24"/>
          <w:szCs w:val="24"/>
        </w:rPr>
      </w:pPr>
      <w:r w:rsidRPr="00822A98">
        <w:rPr>
          <w:b/>
          <w:sz w:val="24"/>
          <w:szCs w:val="24"/>
        </w:rPr>
        <w:t>Figura 2</w:t>
      </w:r>
      <w:r w:rsidR="00877D9B">
        <w:rPr>
          <w:b/>
          <w:sz w:val="24"/>
          <w:szCs w:val="24"/>
        </w:rPr>
        <w:t xml:space="preserve">. </w:t>
      </w:r>
      <w:r w:rsidRPr="00822A98">
        <w:rPr>
          <w:sz w:val="24"/>
          <w:szCs w:val="24"/>
        </w:rPr>
        <w:t>Cantidad de publicaciones sobre retención-abandono en el Perú por año</w:t>
      </w:r>
    </w:p>
    <w:p w14:paraId="5FB6F41F" w14:textId="77777777" w:rsidR="008C2FAA" w:rsidRPr="00822A98" w:rsidRDefault="008C2FAA" w:rsidP="00714A52">
      <w:pPr>
        <w:spacing w:line="240" w:lineRule="auto"/>
        <w:ind w:left="0" w:hanging="2"/>
        <w:jc w:val="center"/>
        <w:rPr>
          <w:bCs/>
          <w:sz w:val="24"/>
          <w:szCs w:val="24"/>
        </w:rPr>
      </w:pPr>
      <w:r w:rsidRPr="00822A98">
        <w:rPr>
          <w:noProof/>
          <w:sz w:val="24"/>
          <w:szCs w:val="24"/>
          <w:lang w:val="es-PE" w:eastAsia="es-PE"/>
        </w:rPr>
        <w:drawing>
          <wp:inline distT="0" distB="0" distL="0" distR="0" wp14:anchorId="334E8E8C" wp14:editId="5102718D">
            <wp:extent cx="3600450" cy="1174750"/>
            <wp:effectExtent l="0" t="0" r="0" b="63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EAE201" w14:textId="3EE841B1" w:rsidR="008C2FAA" w:rsidRPr="00822A98" w:rsidRDefault="002B107E" w:rsidP="00714A52">
      <w:pPr>
        <w:spacing w:line="240" w:lineRule="auto"/>
        <w:ind w:leftChars="0" w:left="0" w:firstLineChars="0" w:firstLine="0"/>
        <w:rPr>
          <w:sz w:val="24"/>
          <w:szCs w:val="24"/>
        </w:rPr>
      </w:pPr>
      <w:r w:rsidRPr="00822A98">
        <w:rPr>
          <w:sz w:val="24"/>
          <w:szCs w:val="24"/>
        </w:rPr>
        <w:t>En los 17 artículos seleccionados,</w:t>
      </w:r>
      <w:r w:rsidR="008C2FAA" w:rsidRPr="00822A98">
        <w:rPr>
          <w:sz w:val="24"/>
          <w:szCs w:val="24"/>
        </w:rPr>
        <w:t xml:space="preserve"> se encontró que la </w:t>
      </w:r>
      <w:r w:rsidRPr="00822A98">
        <w:rPr>
          <w:sz w:val="24"/>
          <w:szCs w:val="24"/>
        </w:rPr>
        <w:t xml:space="preserve">metodología de </w:t>
      </w:r>
      <w:r w:rsidR="008C2FAA" w:rsidRPr="00822A98">
        <w:rPr>
          <w:sz w:val="24"/>
          <w:szCs w:val="24"/>
        </w:rPr>
        <w:t xml:space="preserve">investigación más usada </w:t>
      </w:r>
      <w:r w:rsidRPr="00822A98">
        <w:rPr>
          <w:sz w:val="24"/>
          <w:szCs w:val="24"/>
        </w:rPr>
        <w:t xml:space="preserve">fue la cuantitativa </w:t>
      </w:r>
      <w:r w:rsidR="008C2FAA" w:rsidRPr="00822A98">
        <w:rPr>
          <w:sz w:val="24"/>
          <w:szCs w:val="24"/>
        </w:rPr>
        <w:t xml:space="preserve">(ver tabla 2). Esto se </w:t>
      </w:r>
      <w:r w:rsidRPr="00822A98">
        <w:rPr>
          <w:sz w:val="24"/>
          <w:szCs w:val="24"/>
        </w:rPr>
        <w:t>explica por</w:t>
      </w:r>
      <w:r w:rsidR="008C2FAA" w:rsidRPr="00822A98">
        <w:rPr>
          <w:sz w:val="24"/>
          <w:szCs w:val="24"/>
        </w:rPr>
        <w:t xml:space="preserve"> la tendencia de los investigadores peruanos</w:t>
      </w:r>
      <w:r w:rsidRPr="00822A98">
        <w:rPr>
          <w:sz w:val="24"/>
          <w:szCs w:val="24"/>
        </w:rPr>
        <w:t xml:space="preserve"> a preferir dicha metodología, </w:t>
      </w:r>
      <w:r w:rsidR="008C2FAA" w:rsidRPr="00822A98">
        <w:rPr>
          <w:sz w:val="24"/>
          <w:szCs w:val="24"/>
        </w:rPr>
        <w:t>frente a las de tipo cualitativa y mixta (</w:t>
      </w:r>
      <w:r w:rsidRPr="00822A98">
        <w:rPr>
          <w:sz w:val="24"/>
          <w:szCs w:val="24"/>
        </w:rPr>
        <w:t>Sunedu</w:t>
      </w:r>
      <w:r w:rsidR="008C2FAA" w:rsidRPr="00822A98">
        <w:rPr>
          <w:sz w:val="24"/>
          <w:szCs w:val="24"/>
        </w:rPr>
        <w:t>, 2022).</w:t>
      </w:r>
    </w:p>
    <w:p w14:paraId="705F1B09" w14:textId="3386B362" w:rsidR="008C2FAA" w:rsidRPr="00822A98" w:rsidRDefault="008C2FAA" w:rsidP="00714A52">
      <w:pPr>
        <w:spacing w:line="240" w:lineRule="auto"/>
        <w:ind w:left="0" w:hanging="2"/>
        <w:jc w:val="center"/>
        <w:rPr>
          <w:sz w:val="24"/>
          <w:szCs w:val="24"/>
        </w:rPr>
      </w:pPr>
      <w:r w:rsidRPr="00822A98">
        <w:rPr>
          <w:b/>
          <w:sz w:val="24"/>
          <w:szCs w:val="24"/>
        </w:rPr>
        <w:t>Tabla 2</w:t>
      </w:r>
      <w:r w:rsidR="00877D9B">
        <w:rPr>
          <w:b/>
          <w:sz w:val="24"/>
          <w:szCs w:val="24"/>
        </w:rPr>
        <w:t xml:space="preserve">. </w:t>
      </w:r>
      <w:r w:rsidRPr="00822A98">
        <w:rPr>
          <w:sz w:val="24"/>
          <w:szCs w:val="24"/>
        </w:rPr>
        <w:t>Metodología usada en la investigación</w:t>
      </w:r>
    </w:p>
    <w:tbl>
      <w:tblPr>
        <w:tblW w:w="8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20"/>
        <w:gridCol w:w="2756"/>
      </w:tblGrid>
      <w:tr w:rsidR="00822A98" w:rsidRPr="00822A98" w14:paraId="5392047D" w14:textId="77777777" w:rsidTr="006A0B0D">
        <w:trPr>
          <w:trHeight w:val="29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BED" w14:textId="77777777" w:rsidR="008C2FAA" w:rsidRPr="00822A98" w:rsidRDefault="008C2FAA" w:rsidP="00714A52">
            <w:pPr>
              <w:spacing w:line="240" w:lineRule="auto"/>
              <w:ind w:left="0" w:hanging="2"/>
              <w:rPr>
                <w:b/>
                <w:sz w:val="24"/>
                <w:szCs w:val="24"/>
                <w:lang w:eastAsia="es-PE"/>
              </w:rPr>
            </w:pPr>
            <w:r w:rsidRPr="00822A98">
              <w:rPr>
                <w:b/>
                <w:sz w:val="24"/>
                <w:szCs w:val="24"/>
                <w:lang w:eastAsia="es-PE"/>
              </w:rPr>
              <w:t>Metodología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D0E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lang w:eastAsia="es-PE"/>
              </w:rPr>
            </w:pPr>
            <w:r w:rsidRPr="00822A98">
              <w:rPr>
                <w:b/>
                <w:sz w:val="24"/>
                <w:szCs w:val="24"/>
                <w:lang w:eastAsia="es-PE"/>
              </w:rPr>
              <w:t>Cantidad de artículos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BD046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lang w:eastAsia="es-PE"/>
              </w:rPr>
            </w:pPr>
            <w:r w:rsidRPr="00822A98">
              <w:rPr>
                <w:b/>
                <w:sz w:val="24"/>
                <w:szCs w:val="24"/>
                <w:lang w:eastAsia="es-PE"/>
              </w:rPr>
              <w:t>Porcentaje</w:t>
            </w:r>
          </w:p>
        </w:tc>
      </w:tr>
      <w:tr w:rsidR="00822A98" w:rsidRPr="00822A98" w14:paraId="2DF34B24" w14:textId="77777777" w:rsidTr="006A0B0D">
        <w:trPr>
          <w:trHeight w:val="2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161" w14:textId="77777777" w:rsidR="008C2FAA" w:rsidRPr="00822A98" w:rsidRDefault="008C2FAA" w:rsidP="00714A52">
            <w:pPr>
              <w:spacing w:line="240" w:lineRule="auto"/>
              <w:ind w:left="0" w:hanging="2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Cuantitativa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448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40EB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82%</w:t>
            </w:r>
          </w:p>
        </w:tc>
      </w:tr>
      <w:tr w:rsidR="00822A98" w:rsidRPr="00822A98" w14:paraId="428230E5" w14:textId="77777777" w:rsidTr="006A0B0D">
        <w:trPr>
          <w:trHeight w:val="2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0C3" w14:textId="77777777" w:rsidR="008C2FAA" w:rsidRPr="00822A98" w:rsidRDefault="008C2FAA" w:rsidP="00714A52">
            <w:pPr>
              <w:spacing w:line="240" w:lineRule="auto"/>
              <w:ind w:left="0" w:hanging="2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Mixta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D21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CA13B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12%</w:t>
            </w:r>
          </w:p>
        </w:tc>
      </w:tr>
      <w:tr w:rsidR="008C2FAA" w:rsidRPr="00822A98" w14:paraId="30F7B1C3" w14:textId="77777777" w:rsidTr="006A0B0D">
        <w:trPr>
          <w:trHeight w:val="2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094" w14:textId="77777777" w:rsidR="008C2FAA" w:rsidRPr="00822A98" w:rsidRDefault="008C2FAA" w:rsidP="00714A52">
            <w:pPr>
              <w:spacing w:line="240" w:lineRule="auto"/>
              <w:ind w:left="0" w:hanging="2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Cualitativa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0A03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FCA11" w14:textId="77777777" w:rsidR="008C2FAA" w:rsidRPr="00822A98" w:rsidRDefault="008C2FAA" w:rsidP="00714A52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eastAsia="es-PE"/>
              </w:rPr>
            </w:pPr>
            <w:r w:rsidRPr="00822A98">
              <w:rPr>
                <w:sz w:val="24"/>
                <w:szCs w:val="24"/>
                <w:lang w:eastAsia="es-PE"/>
              </w:rPr>
              <w:t>6%</w:t>
            </w:r>
          </w:p>
        </w:tc>
      </w:tr>
    </w:tbl>
    <w:p w14:paraId="674F2CFB" w14:textId="77777777" w:rsidR="00877D9B" w:rsidRDefault="00877D9B" w:rsidP="00877D9B">
      <w:pPr>
        <w:spacing w:line="240" w:lineRule="auto"/>
        <w:ind w:left="0" w:hanging="2"/>
        <w:rPr>
          <w:sz w:val="24"/>
          <w:szCs w:val="24"/>
        </w:rPr>
      </w:pPr>
    </w:p>
    <w:p w14:paraId="170A3776" w14:textId="68FDAFD3" w:rsidR="008C2FAA" w:rsidRPr="00822A98" w:rsidRDefault="008C2FAA" w:rsidP="00877D9B">
      <w:pPr>
        <w:spacing w:line="240" w:lineRule="auto"/>
        <w:ind w:left="0" w:hanging="2"/>
        <w:rPr>
          <w:sz w:val="24"/>
          <w:szCs w:val="24"/>
        </w:rPr>
      </w:pPr>
      <w:r w:rsidRPr="00822A98">
        <w:rPr>
          <w:sz w:val="24"/>
          <w:szCs w:val="24"/>
        </w:rPr>
        <w:t>Con respecto a las universidades que más publica</w:t>
      </w:r>
      <w:r w:rsidR="002B107E" w:rsidRPr="00822A98">
        <w:rPr>
          <w:sz w:val="24"/>
          <w:szCs w:val="24"/>
        </w:rPr>
        <w:t>ron</w:t>
      </w:r>
      <w:r w:rsidRPr="00822A98">
        <w:rPr>
          <w:sz w:val="24"/>
          <w:szCs w:val="24"/>
        </w:rPr>
        <w:t xml:space="preserve"> sobre el tema, </w:t>
      </w:r>
      <w:r w:rsidR="002B107E" w:rsidRPr="00822A98">
        <w:rPr>
          <w:sz w:val="24"/>
          <w:szCs w:val="24"/>
        </w:rPr>
        <w:t>se encuentran</w:t>
      </w:r>
      <w:r w:rsidRPr="00822A98">
        <w:rPr>
          <w:sz w:val="24"/>
          <w:szCs w:val="24"/>
        </w:rPr>
        <w:t xml:space="preserve"> la Pontificia Universidad Católica del Perú y la Universidad </w:t>
      </w:r>
      <w:r w:rsidR="002B107E" w:rsidRPr="00822A98">
        <w:rPr>
          <w:sz w:val="24"/>
          <w:szCs w:val="24"/>
        </w:rPr>
        <w:t xml:space="preserve">Nacional </w:t>
      </w:r>
      <w:r w:rsidRPr="00822A98">
        <w:rPr>
          <w:sz w:val="24"/>
          <w:szCs w:val="24"/>
        </w:rPr>
        <w:t xml:space="preserve">San Agustín de Arequipa. </w:t>
      </w:r>
      <w:r w:rsidR="002B107E" w:rsidRPr="00822A98">
        <w:rPr>
          <w:sz w:val="24"/>
          <w:szCs w:val="24"/>
        </w:rPr>
        <w:t>Ello puede deberse a</w:t>
      </w:r>
      <w:r w:rsidRPr="00822A98">
        <w:rPr>
          <w:sz w:val="24"/>
          <w:szCs w:val="24"/>
        </w:rPr>
        <w:t xml:space="preserve"> la disposición de </w:t>
      </w:r>
      <w:r w:rsidR="002B107E" w:rsidRPr="00822A98">
        <w:rPr>
          <w:sz w:val="24"/>
          <w:szCs w:val="24"/>
        </w:rPr>
        <w:t xml:space="preserve">dichas </w:t>
      </w:r>
      <w:r w:rsidRPr="00822A98">
        <w:rPr>
          <w:sz w:val="24"/>
          <w:szCs w:val="24"/>
        </w:rPr>
        <w:t>universidad</w:t>
      </w:r>
      <w:r w:rsidR="002B107E" w:rsidRPr="00822A98">
        <w:rPr>
          <w:sz w:val="24"/>
          <w:szCs w:val="24"/>
        </w:rPr>
        <w:t>es</w:t>
      </w:r>
      <w:r w:rsidRPr="00822A98">
        <w:rPr>
          <w:sz w:val="24"/>
          <w:szCs w:val="24"/>
        </w:rPr>
        <w:t xml:space="preserve"> por conocer a profundidad este fenómeno.</w:t>
      </w:r>
    </w:p>
    <w:p w14:paraId="21B7717F" w14:textId="060D473A" w:rsidR="008C2FAA" w:rsidRPr="00822A98" w:rsidRDefault="008C2FAA" w:rsidP="00877D9B">
      <w:pPr>
        <w:spacing w:line="240" w:lineRule="auto"/>
        <w:ind w:left="0" w:hanging="2"/>
        <w:rPr>
          <w:sz w:val="24"/>
          <w:szCs w:val="24"/>
        </w:rPr>
      </w:pPr>
      <w:r w:rsidRPr="00822A98">
        <w:rPr>
          <w:sz w:val="24"/>
          <w:szCs w:val="24"/>
        </w:rPr>
        <w:t>En relación a las palabras clave</w:t>
      </w:r>
      <w:r w:rsidR="002B107E" w:rsidRPr="00822A98">
        <w:rPr>
          <w:sz w:val="24"/>
          <w:szCs w:val="24"/>
        </w:rPr>
        <w:t>s</w:t>
      </w:r>
      <w:r w:rsidRPr="00822A98">
        <w:rPr>
          <w:sz w:val="24"/>
          <w:szCs w:val="24"/>
        </w:rPr>
        <w:t xml:space="preserve"> más usadas, se resalta la tendencia al uso de las palabras </w:t>
      </w:r>
      <w:r w:rsidRPr="00822A98">
        <w:rPr>
          <w:i/>
          <w:sz w:val="24"/>
          <w:szCs w:val="24"/>
        </w:rPr>
        <w:t>academic performance, desertion, psychology</w:t>
      </w:r>
      <w:r w:rsidR="00775498" w:rsidRPr="00822A98">
        <w:rPr>
          <w:i/>
          <w:sz w:val="24"/>
          <w:szCs w:val="24"/>
        </w:rPr>
        <w:t>,</w:t>
      </w:r>
      <w:r w:rsidRPr="00822A98">
        <w:rPr>
          <w:sz w:val="24"/>
          <w:szCs w:val="24"/>
        </w:rPr>
        <w:t xml:space="preserve"> que están muy relacionadas. </w:t>
      </w:r>
      <w:r w:rsidR="00775498" w:rsidRPr="00822A98">
        <w:rPr>
          <w:sz w:val="24"/>
          <w:szCs w:val="24"/>
        </w:rPr>
        <w:t>De esta manera, se evidencia</w:t>
      </w:r>
      <w:r w:rsidRPr="00822A98">
        <w:rPr>
          <w:sz w:val="24"/>
          <w:szCs w:val="24"/>
        </w:rPr>
        <w:t xml:space="preserve"> </w:t>
      </w:r>
      <w:r w:rsidR="00775498" w:rsidRPr="00822A98">
        <w:rPr>
          <w:sz w:val="24"/>
          <w:szCs w:val="24"/>
        </w:rPr>
        <w:t>una</w:t>
      </w:r>
      <w:r w:rsidRPr="00822A98">
        <w:rPr>
          <w:sz w:val="24"/>
          <w:szCs w:val="24"/>
        </w:rPr>
        <w:t xml:space="preserve"> tendencia por el estudio prioritario de la deserción más que la retención, desde el desempeño académico del estudiante y desde el enfoque psicológico.</w:t>
      </w:r>
    </w:p>
    <w:p w14:paraId="65D01371" w14:textId="467230E5" w:rsidR="008C2FAA" w:rsidRPr="00877D9B" w:rsidRDefault="008C2FAA" w:rsidP="00877D9B">
      <w:pPr>
        <w:spacing w:line="240" w:lineRule="auto"/>
        <w:ind w:left="0" w:hanging="2"/>
        <w:rPr>
          <w:sz w:val="24"/>
          <w:szCs w:val="24"/>
        </w:rPr>
      </w:pPr>
      <w:r w:rsidRPr="00822A98">
        <w:rPr>
          <w:sz w:val="24"/>
          <w:szCs w:val="24"/>
        </w:rPr>
        <w:t>Con respecto a las redes de coautoría</w:t>
      </w:r>
      <w:r w:rsidR="00775498" w:rsidRPr="00822A98">
        <w:rPr>
          <w:sz w:val="24"/>
          <w:szCs w:val="24"/>
        </w:rPr>
        <w:t>,</w:t>
      </w:r>
      <w:r w:rsidRPr="00822A98">
        <w:rPr>
          <w:sz w:val="24"/>
          <w:szCs w:val="24"/>
        </w:rPr>
        <w:t xml:space="preserve"> se evidencia que tanto Bedregal-Alpaca como Cornejo-Aparicio han creado una red, de tal forma que tiene</w:t>
      </w:r>
      <w:r w:rsidR="00775498" w:rsidRPr="00822A98">
        <w:rPr>
          <w:sz w:val="24"/>
          <w:szCs w:val="24"/>
        </w:rPr>
        <w:t>n</w:t>
      </w:r>
      <w:r w:rsidRPr="00822A98">
        <w:rPr>
          <w:sz w:val="24"/>
          <w:szCs w:val="24"/>
        </w:rPr>
        <w:t xml:space="preserve"> la tendencia a publicar sobre retención-abandono con cuatro investigadores más (ver figura 3).</w:t>
      </w:r>
    </w:p>
    <w:p w14:paraId="1E5575A3" w14:textId="63768E4B" w:rsidR="008C2FAA" w:rsidRPr="00822A98" w:rsidRDefault="008C2FAA" w:rsidP="00714A52">
      <w:pPr>
        <w:spacing w:line="240" w:lineRule="auto"/>
        <w:ind w:left="0" w:hanging="2"/>
        <w:jc w:val="center"/>
        <w:rPr>
          <w:sz w:val="24"/>
          <w:szCs w:val="24"/>
        </w:rPr>
      </w:pPr>
      <w:r w:rsidRPr="00822A98">
        <w:rPr>
          <w:b/>
          <w:sz w:val="24"/>
          <w:szCs w:val="24"/>
        </w:rPr>
        <w:t>Figura 3</w:t>
      </w:r>
      <w:r w:rsidR="00877D9B">
        <w:rPr>
          <w:b/>
          <w:sz w:val="24"/>
          <w:szCs w:val="24"/>
        </w:rPr>
        <w:t xml:space="preserve">. </w:t>
      </w:r>
      <w:r w:rsidRPr="00822A98">
        <w:rPr>
          <w:sz w:val="24"/>
          <w:szCs w:val="24"/>
        </w:rPr>
        <w:t>Redes de coautoría</w:t>
      </w:r>
    </w:p>
    <w:p w14:paraId="4F8EB52C" w14:textId="77777777" w:rsidR="008C2FAA" w:rsidRPr="00822A98" w:rsidRDefault="008C2FAA" w:rsidP="00714A52">
      <w:pPr>
        <w:spacing w:line="240" w:lineRule="auto"/>
        <w:ind w:left="0" w:hanging="2"/>
        <w:jc w:val="center"/>
        <w:rPr>
          <w:sz w:val="24"/>
          <w:szCs w:val="24"/>
        </w:rPr>
      </w:pPr>
      <w:r w:rsidRPr="00822A98">
        <w:rPr>
          <w:noProof/>
          <w:sz w:val="24"/>
          <w:szCs w:val="24"/>
          <w:lang w:val="es-PE" w:eastAsia="es-PE"/>
        </w:rPr>
        <w:drawing>
          <wp:inline distT="0" distB="0" distL="0" distR="0" wp14:anchorId="3125F7F9" wp14:editId="32E8F2D1">
            <wp:extent cx="3790462" cy="2417314"/>
            <wp:effectExtent l="19050" t="19050" r="19685" b="21590"/>
            <wp:docPr id="3" name="Imagen 3" descr="imagen to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tot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089" cy="24476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C93359" w14:textId="4F8547D9" w:rsidR="008C2FAA" w:rsidRPr="00822A98" w:rsidRDefault="008C2FAA" w:rsidP="00714A52">
      <w:pPr>
        <w:spacing w:line="240" w:lineRule="auto"/>
        <w:ind w:left="0" w:hanging="2"/>
        <w:rPr>
          <w:sz w:val="24"/>
          <w:szCs w:val="24"/>
        </w:rPr>
      </w:pPr>
      <w:r w:rsidRPr="00822A98">
        <w:rPr>
          <w:sz w:val="24"/>
          <w:szCs w:val="24"/>
        </w:rPr>
        <w:lastRenderedPageBreak/>
        <w:t>Luego de la revisión de los artículos, se encontró que siete de ellos plantea</w:t>
      </w:r>
      <w:r w:rsidR="00775498" w:rsidRPr="00822A98">
        <w:rPr>
          <w:sz w:val="24"/>
          <w:szCs w:val="24"/>
        </w:rPr>
        <w:t>ron</w:t>
      </w:r>
      <w:r w:rsidRPr="00822A98">
        <w:rPr>
          <w:sz w:val="24"/>
          <w:szCs w:val="24"/>
        </w:rPr>
        <w:t xml:space="preserve"> sugerencias para la política educativa desde el </w:t>
      </w:r>
      <w:r w:rsidR="00775498" w:rsidRPr="00822A98">
        <w:rPr>
          <w:sz w:val="24"/>
          <w:szCs w:val="24"/>
        </w:rPr>
        <w:t>E</w:t>
      </w:r>
      <w:r w:rsidRPr="00822A98">
        <w:rPr>
          <w:sz w:val="24"/>
          <w:szCs w:val="24"/>
        </w:rPr>
        <w:t>stado y de</w:t>
      </w:r>
      <w:r w:rsidR="00775498" w:rsidRPr="00822A98">
        <w:rPr>
          <w:sz w:val="24"/>
          <w:szCs w:val="24"/>
        </w:rPr>
        <w:t>sde</w:t>
      </w:r>
      <w:r w:rsidRPr="00822A98">
        <w:rPr>
          <w:sz w:val="24"/>
          <w:szCs w:val="24"/>
        </w:rPr>
        <w:t xml:space="preserve"> la misma universidad</w:t>
      </w:r>
      <w:r w:rsidR="00775498" w:rsidRPr="00822A98">
        <w:rPr>
          <w:sz w:val="24"/>
          <w:szCs w:val="24"/>
        </w:rPr>
        <w:t>. Además, s</w:t>
      </w:r>
      <w:r w:rsidRPr="00822A98">
        <w:rPr>
          <w:sz w:val="24"/>
          <w:szCs w:val="24"/>
        </w:rPr>
        <w:t>e refieren a la necesidad de priorizar el estudio y detección de la deserción, la importancia de la adaptación en los primeros años de estudio, la necesidad de apoyo financiero para poblaciones vulnerables</w:t>
      </w:r>
      <w:r w:rsidR="00775498" w:rsidRPr="00822A98">
        <w:rPr>
          <w:sz w:val="24"/>
          <w:szCs w:val="24"/>
        </w:rPr>
        <w:t>. Asimismo, sostienen que es una necesidad</w:t>
      </w:r>
      <w:r w:rsidRPr="00822A98">
        <w:rPr>
          <w:sz w:val="24"/>
          <w:szCs w:val="24"/>
        </w:rPr>
        <w:t xml:space="preserve"> urgente analizar la salud mental de los universitarios y aplicar todo lo aprendido sobre retención</w:t>
      </w:r>
      <w:r w:rsidR="00775498" w:rsidRPr="00822A98">
        <w:rPr>
          <w:sz w:val="24"/>
          <w:szCs w:val="24"/>
        </w:rPr>
        <w:t xml:space="preserve"> </w:t>
      </w:r>
      <w:r w:rsidR="004C109A" w:rsidRPr="00822A98">
        <w:rPr>
          <w:sz w:val="24"/>
          <w:szCs w:val="24"/>
        </w:rPr>
        <w:t>-</w:t>
      </w:r>
      <w:r w:rsidR="00775498" w:rsidRPr="00822A98">
        <w:rPr>
          <w:sz w:val="24"/>
          <w:szCs w:val="24"/>
        </w:rPr>
        <w:t xml:space="preserve"> </w:t>
      </w:r>
      <w:r w:rsidRPr="00822A98">
        <w:rPr>
          <w:sz w:val="24"/>
          <w:szCs w:val="24"/>
        </w:rPr>
        <w:t>abandono</w:t>
      </w:r>
      <w:r w:rsidR="00775498" w:rsidRPr="00822A98">
        <w:rPr>
          <w:sz w:val="24"/>
          <w:szCs w:val="24"/>
        </w:rPr>
        <w:t>, tomando en cuent</w:t>
      </w:r>
      <w:r w:rsidRPr="00822A98">
        <w:rPr>
          <w:sz w:val="24"/>
          <w:szCs w:val="24"/>
        </w:rPr>
        <w:t>a los estudios</w:t>
      </w:r>
      <w:r w:rsidR="00775498" w:rsidRPr="00822A98">
        <w:rPr>
          <w:sz w:val="24"/>
          <w:szCs w:val="24"/>
        </w:rPr>
        <w:t xml:space="preserve"> realizados</w:t>
      </w:r>
      <w:r w:rsidRPr="00822A98">
        <w:rPr>
          <w:sz w:val="24"/>
          <w:szCs w:val="24"/>
        </w:rPr>
        <w:t>.</w:t>
      </w:r>
    </w:p>
    <w:p w14:paraId="58CF4324" w14:textId="2009D26F" w:rsidR="008C2FAA" w:rsidRPr="00822A98" w:rsidRDefault="00775498" w:rsidP="00714A52">
      <w:pPr>
        <w:spacing w:line="240" w:lineRule="auto"/>
        <w:ind w:leftChars="0" w:left="0" w:firstLineChars="0" w:firstLine="0"/>
        <w:rPr>
          <w:sz w:val="24"/>
          <w:szCs w:val="24"/>
        </w:rPr>
      </w:pPr>
      <w:r w:rsidRPr="00822A98">
        <w:rPr>
          <w:sz w:val="24"/>
          <w:szCs w:val="24"/>
        </w:rPr>
        <w:t>A partir de la revisión de los artículos, se puede</w:t>
      </w:r>
      <w:r w:rsidR="00410C64" w:rsidRPr="00822A98">
        <w:rPr>
          <w:sz w:val="24"/>
          <w:szCs w:val="24"/>
        </w:rPr>
        <w:t xml:space="preserve"> deducir aspectos </w:t>
      </w:r>
      <w:r w:rsidRPr="00822A98">
        <w:rPr>
          <w:sz w:val="24"/>
          <w:szCs w:val="24"/>
        </w:rPr>
        <w:t>esenciales</w:t>
      </w:r>
      <w:r w:rsidR="00410C64" w:rsidRPr="00822A98">
        <w:rPr>
          <w:sz w:val="24"/>
          <w:szCs w:val="24"/>
        </w:rPr>
        <w:t xml:space="preserve"> para desarrollar una </w:t>
      </w:r>
      <w:r w:rsidR="00B02D19" w:rsidRPr="00822A98">
        <w:rPr>
          <w:sz w:val="24"/>
          <w:szCs w:val="24"/>
        </w:rPr>
        <w:t>PU</w:t>
      </w:r>
      <w:r w:rsidR="00410C64" w:rsidRPr="00822A98">
        <w:rPr>
          <w:sz w:val="24"/>
          <w:szCs w:val="24"/>
        </w:rPr>
        <w:t xml:space="preserve"> que promueva la retención y evite el abandono universitario.</w:t>
      </w:r>
      <w:r w:rsidRPr="00822A98">
        <w:rPr>
          <w:sz w:val="24"/>
          <w:szCs w:val="24"/>
        </w:rPr>
        <w:t xml:space="preserve"> En primer lugar, l</w:t>
      </w:r>
      <w:r w:rsidR="008C2FAA" w:rsidRPr="00822A98">
        <w:rPr>
          <w:sz w:val="24"/>
          <w:szCs w:val="24"/>
        </w:rPr>
        <w:t xml:space="preserve">a mayoría de artículos plantea que un punto crítico para evitar la deserción es el primer año (Pérez et al, 2020; Medina Sparrow et al., 2018). Por tanto, es necesario que la </w:t>
      </w:r>
      <w:r w:rsidR="00B02D19" w:rsidRPr="00822A98">
        <w:rPr>
          <w:sz w:val="24"/>
          <w:szCs w:val="24"/>
        </w:rPr>
        <w:t>PU</w:t>
      </w:r>
      <w:r w:rsidR="004C109A" w:rsidRPr="00822A98">
        <w:rPr>
          <w:sz w:val="24"/>
          <w:szCs w:val="24"/>
        </w:rPr>
        <w:t xml:space="preserve"> </w:t>
      </w:r>
      <w:r w:rsidR="008C2FAA" w:rsidRPr="00822A98">
        <w:rPr>
          <w:sz w:val="24"/>
          <w:szCs w:val="24"/>
        </w:rPr>
        <w:t>se concentre en priorizar condiciones para la adaptación universitaria y el acercamiento inmediato de todos los servicios universitarios a los estudiantes en el primer año.</w:t>
      </w:r>
    </w:p>
    <w:p w14:paraId="626FDE2C" w14:textId="2EECE968" w:rsidR="00775498" w:rsidRPr="00822A98" w:rsidRDefault="00775498" w:rsidP="00714A52">
      <w:pPr>
        <w:spacing w:line="240" w:lineRule="auto"/>
        <w:ind w:left="0" w:hanging="2"/>
        <w:rPr>
          <w:sz w:val="24"/>
          <w:szCs w:val="24"/>
        </w:rPr>
      </w:pPr>
      <w:r w:rsidRPr="00822A98">
        <w:rPr>
          <w:sz w:val="24"/>
          <w:szCs w:val="24"/>
        </w:rPr>
        <w:t>En segundo lugar,</w:t>
      </w:r>
      <w:r w:rsidR="008C2FAA" w:rsidRPr="00822A98">
        <w:rPr>
          <w:sz w:val="24"/>
          <w:szCs w:val="24"/>
        </w:rPr>
        <w:t xml:space="preserve"> </w:t>
      </w:r>
      <w:r w:rsidRPr="00822A98">
        <w:rPr>
          <w:sz w:val="24"/>
          <w:szCs w:val="24"/>
        </w:rPr>
        <w:t>n</w:t>
      </w:r>
      <w:r w:rsidR="008C2FAA" w:rsidRPr="00822A98">
        <w:rPr>
          <w:sz w:val="24"/>
          <w:szCs w:val="24"/>
        </w:rPr>
        <w:t>o hay investigaciones con poblaciones nacionales</w:t>
      </w:r>
      <w:r w:rsidR="00B91961" w:rsidRPr="00822A98">
        <w:rPr>
          <w:sz w:val="24"/>
          <w:szCs w:val="24"/>
        </w:rPr>
        <w:t>. E</w:t>
      </w:r>
      <w:r w:rsidR="008C2FAA" w:rsidRPr="00822A98">
        <w:rPr>
          <w:sz w:val="24"/>
          <w:szCs w:val="24"/>
        </w:rPr>
        <w:t>l interés por investigar la retención</w:t>
      </w:r>
      <w:r w:rsidR="00B91961" w:rsidRPr="00822A98">
        <w:rPr>
          <w:sz w:val="24"/>
          <w:szCs w:val="24"/>
        </w:rPr>
        <w:t xml:space="preserve"> </w:t>
      </w:r>
      <w:r w:rsidR="004C109A" w:rsidRPr="00822A98">
        <w:rPr>
          <w:sz w:val="24"/>
          <w:szCs w:val="24"/>
        </w:rPr>
        <w:t>-</w:t>
      </w:r>
      <w:r w:rsidR="00B91961" w:rsidRPr="00822A98">
        <w:rPr>
          <w:sz w:val="24"/>
          <w:szCs w:val="24"/>
        </w:rPr>
        <w:t xml:space="preserve"> </w:t>
      </w:r>
      <w:r w:rsidR="008C2FAA" w:rsidRPr="00822A98">
        <w:rPr>
          <w:sz w:val="24"/>
          <w:szCs w:val="24"/>
        </w:rPr>
        <w:t xml:space="preserve">deserción es solo de algunas universidades, </w:t>
      </w:r>
      <w:r w:rsidR="00B91961" w:rsidRPr="00822A98">
        <w:rPr>
          <w:sz w:val="24"/>
          <w:szCs w:val="24"/>
        </w:rPr>
        <w:t xml:space="preserve">pero </w:t>
      </w:r>
      <w:r w:rsidR="008C2FAA" w:rsidRPr="00822A98">
        <w:rPr>
          <w:sz w:val="24"/>
          <w:szCs w:val="24"/>
        </w:rPr>
        <w:t xml:space="preserve">no es una acción constante en el país. Por tanto, es necesario que la </w:t>
      </w:r>
      <w:r w:rsidR="00B02D19" w:rsidRPr="00822A98">
        <w:rPr>
          <w:sz w:val="24"/>
          <w:szCs w:val="24"/>
        </w:rPr>
        <w:t>PU</w:t>
      </w:r>
      <w:r w:rsidR="004C109A" w:rsidRPr="00822A98">
        <w:rPr>
          <w:sz w:val="24"/>
          <w:szCs w:val="24"/>
        </w:rPr>
        <w:t xml:space="preserve"> </w:t>
      </w:r>
      <w:r w:rsidR="008C2FAA" w:rsidRPr="00822A98">
        <w:rPr>
          <w:sz w:val="24"/>
          <w:szCs w:val="24"/>
        </w:rPr>
        <w:t xml:space="preserve">promueva un observatorio sobre la continuidad universitaria, que </w:t>
      </w:r>
      <w:r w:rsidR="006A0B0D" w:rsidRPr="00822A98">
        <w:rPr>
          <w:sz w:val="24"/>
          <w:szCs w:val="24"/>
        </w:rPr>
        <w:t xml:space="preserve">reporte </w:t>
      </w:r>
      <w:r w:rsidR="008C2FAA" w:rsidRPr="00822A98">
        <w:rPr>
          <w:sz w:val="24"/>
          <w:szCs w:val="24"/>
        </w:rPr>
        <w:t>indicadores en tiempo real de todas las universidades y se plantee como línea de investigación este tema, junto al éxito estudiantil universitario.</w:t>
      </w:r>
    </w:p>
    <w:p w14:paraId="37BEEC00" w14:textId="2984E979" w:rsidR="00410C64" w:rsidRPr="00822A98" w:rsidRDefault="00775498" w:rsidP="00714A52">
      <w:pPr>
        <w:spacing w:line="240" w:lineRule="auto"/>
        <w:ind w:left="0" w:hanging="2"/>
        <w:rPr>
          <w:sz w:val="24"/>
          <w:szCs w:val="24"/>
        </w:rPr>
      </w:pPr>
      <w:r w:rsidRPr="00822A98">
        <w:rPr>
          <w:sz w:val="24"/>
          <w:szCs w:val="24"/>
        </w:rPr>
        <w:t>En tercer lugar, n</w:t>
      </w:r>
      <w:r w:rsidR="008C2FAA" w:rsidRPr="00822A98">
        <w:rPr>
          <w:sz w:val="24"/>
          <w:szCs w:val="24"/>
        </w:rPr>
        <w:t>o se evidencia el desarrollo de programas (de orientación, becas, adaptación, entre otros) que se ha</w:t>
      </w:r>
      <w:r w:rsidR="00B91961" w:rsidRPr="00822A98">
        <w:rPr>
          <w:sz w:val="24"/>
          <w:szCs w:val="24"/>
        </w:rPr>
        <w:t>yan</w:t>
      </w:r>
      <w:r w:rsidR="008C2FAA" w:rsidRPr="00822A98">
        <w:rPr>
          <w:sz w:val="24"/>
          <w:szCs w:val="24"/>
        </w:rPr>
        <w:t xml:space="preserve"> sistematizado para promover la retención. Por </w:t>
      </w:r>
      <w:r w:rsidR="00B91961" w:rsidRPr="00822A98">
        <w:rPr>
          <w:sz w:val="24"/>
          <w:szCs w:val="24"/>
        </w:rPr>
        <w:t>ello</w:t>
      </w:r>
      <w:r w:rsidR="008C2FAA" w:rsidRPr="00822A98">
        <w:rPr>
          <w:sz w:val="24"/>
          <w:szCs w:val="24"/>
        </w:rPr>
        <w:t xml:space="preserve">, es necesario que la </w:t>
      </w:r>
      <w:r w:rsidR="00B02D19" w:rsidRPr="00822A98">
        <w:rPr>
          <w:sz w:val="24"/>
          <w:szCs w:val="24"/>
        </w:rPr>
        <w:t xml:space="preserve">PU </w:t>
      </w:r>
      <w:r w:rsidR="008C2FAA" w:rsidRPr="00822A98">
        <w:rPr>
          <w:sz w:val="24"/>
          <w:szCs w:val="24"/>
        </w:rPr>
        <w:t>incentive de diversas formas programas y servicios para promover la retención</w:t>
      </w:r>
      <w:r w:rsidR="004C109A" w:rsidRPr="00822A98">
        <w:rPr>
          <w:sz w:val="24"/>
          <w:szCs w:val="24"/>
        </w:rPr>
        <w:t>. A</w:t>
      </w:r>
      <w:r w:rsidR="008C2FAA" w:rsidRPr="00822A98">
        <w:rPr>
          <w:sz w:val="24"/>
          <w:szCs w:val="24"/>
        </w:rPr>
        <w:t>demás</w:t>
      </w:r>
      <w:r w:rsidR="004C109A" w:rsidRPr="00822A98">
        <w:rPr>
          <w:sz w:val="24"/>
          <w:szCs w:val="24"/>
        </w:rPr>
        <w:t>,</w:t>
      </w:r>
      <w:r w:rsidR="008C2FAA" w:rsidRPr="00822A98">
        <w:rPr>
          <w:sz w:val="24"/>
          <w:szCs w:val="24"/>
        </w:rPr>
        <w:t xml:space="preserve"> cada universidad debe </w:t>
      </w:r>
      <w:r w:rsidR="004C109A" w:rsidRPr="00822A98">
        <w:rPr>
          <w:sz w:val="24"/>
          <w:szCs w:val="24"/>
        </w:rPr>
        <w:t xml:space="preserve">elaborar </w:t>
      </w:r>
      <w:r w:rsidR="008C2FAA" w:rsidRPr="00822A98">
        <w:rPr>
          <w:sz w:val="24"/>
          <w:szCs w:val="24"/>
        </w:rPr>
        <w:t xml:space="preserve">un plan de acción sobre el tema y estos se deben reportar al Ministerio de Educación. </w:t>
      </w:r>
      <w:r w:rsidR="00410C64" w:rsidRPr="00822A98">
        <w:rPr>
          <w:sz w:val="24"/>
          <w:szCs w:val="24"/>
        </w:rPr>
        <w:t xml:space="preserve">Además, la </w:t>
      </w:r>
      <w:r w:rsidR="00B02D19" w:rsidRPr="00822A98">
        <w:rPr>
          <w:sz w:val="24"/>
          <w:szCs w:val="24"/>
        </w:rPr>
        <w:t xml:space="preserve">PU </w:t>
      </w:r>
      <w:r w:rsidR="00410C64" w:rsidRPr="00822A98">
        <w:rPr>
          <w:sz w:val="24"/>
          <w:szCs w:val="24"/>
        </w:rPr>
        <w:t xml:space="preserve">debe priorizar el acceso, la continuidad y el egreso </w:t>
      </w:r>
      <w:r w:rsidR="004C109A" w:rsidRPr="00822A98">
        <w:rPr>
          <w:sz w:val="24"/>
          <w:szCs w:val="24"/>
        </w:rPr>
        <w:t xml:space="preserve">de los alumnos </w:t>
      </w:r>
      <w:r w:rsidR="00410C64" w:rsidRPr="00822A98">
        <w:rPr>
          <w:sz w:val="24"/>
          <w:szCs w:val="24"/>
        </w:rPr>
        <w:t xml:space="preserve">hasta </w:t>
      </w:r>
      <w:r w:rsidR="006A0B0D" w:rsidRPr="00822A98">
        <w:rPr>
          <w:sz w:val="24"/>
          <w:szCs w:val="24"/>
        </w:rPr>
        <w:t xml:space="preserve">que </w:t>
      </w:r>
      <w:r w:rsidR="004C109A" w:rsidRPr="00822A98">
        <w:rPr>
          <w:sz w:val="24"/>
          <w:szCs w:val="24"/>
        </w:rPr>
        <w:t xml:space="preserve">alcancen la empleabilidad. Es decir, la exigencia de la calidad del servicio </w:t>
      </w:r>
      <w:r w:rsidR="00410C64" w:rsidRPr="00822A98">
        <w:rPr>
          <w:sz w:val="24"/>
          <w:szCs w:val="24"/>
        </w:rPr>
        <w:t xml:space="preserve">debe ser transversal. </w:t>
      </w:r>
      <w:r w:rsidR="004C109A" w:rsidRPr="00822A98">
        <w:rPr>
          <w:sz w:val="24"/>
          <w:szCs w:val="24"/>
        </w:rPr>
        <w:t>En ese sentido</w:t>
      </w:r>
      <w:r w:rsidR="00410C64" w:rsidRPr="00822A98">
        <w:rPr>
          <w:sz w:val="24"/>
          <w:szCs w:val="24"/>
        </w:rPr>
        <w:t>, la política de continuidad que promueva la permanencia y evite la deserción debe contar con los siguientes cri</w:t>
      </w:r>
      <w:r w:rsidR="004C109A" w:rsidRPr="00822A98">
        <w:rPr>
          <w:sz w:val="24"/>
          <w:szCs w:val="24"/>
        </w:rPr>
        <w:t>terios planteados (ver tabla 3):</w:t>
      </w:r>
    </w:p>
    <w:p w14:paraId="619BDB4C" w14:textId="462CF3D5" w:rsidR="00410C64" w:rsidRPr="00822A98" w:rsidRDefault="008C2FAA" w:rsidP="00877D9B">
      <w:pPr>
        <w:spacing w:line="240" w:lineRule="auto"/>
        <w:ind w:left="0" w:hanging="2"/>
        <w:jc w:val="center"/>
        <w:rPr>
          <w:sz w:val="24"/>
          <w:szCs w:val="24"/>
        </w:rPr>
      </w:pPr>
      <w:r w:rsidRPr="00822A98">
        <w:rPr>
          <w:b/>
          <w:sz w:val="24"/>
          <w:szCs w:val="24"/>
        </w:rPr>
        <w:t>Tabla 3</w:t>
      </w:r>
      <w:r w:rsidR="00877D9B">
        <w:rPr>
          <w:b/>
          <w:sz w:val="24"/>
          <w:szCs w:val="24"/>
        </w:rPr>
        <w:t xml:space="preserve">. </w:t>
      </w:r>
      <w:r w:rsidR="00410C64" w:rsidRPr="00822A98">
        <w:rPr>
          <w:sz w:val="24"/>
          <w:szCs w:val="24"/>
        </w:rPr>
        <w:t>Criterios de una política universitaria que promueva la retención y evite el abandono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822A98" w:rsidRPr="00822A98" w14:paraId="25638616" w14:textId="77777777" w:rsidTr="000303D0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84E" w14:textId="77777777" w:rsidR="008C2FAA" w:rsidRPr="00822A98" w:rsidRDefault="008C2FAA" w:rsidP="00714A52">
            <w:pPr>
              <w:spacing w:line="240" w:lineRule="auto"/>
              <w:ind w:left="0" w:hanging="2"/>
              <w:rPr>
                <w:b/>
                <w:lang w:eastAsia="es-PE"/>
              </w:rPr>
            </w:pPr>
            <w:r w:rsidRPr="00822A98">
              <w:rPr>
                <w:b/>
                <w:lang w:eastAsia="es-PE"/>
              </w:rPr>
              <w:t>Criterio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1EB" w14:textId="77777777" w:rsidR="008C2FAA" w:rsidRPr="00822A98" w:rsidRDefault="008C2FAA" w:rsidP="00714A52">
            <w:pPr>
              <w:spacing w:line="240" w:lineRule="auto"/>
              <w:ind w:left="0" w:hanging="2"/>
              <w:rPr>
                <w:b/>
                <w:lang w:eastAsia="es-PE"/>
              </w:rPr>
            </w:pPr>
            <w:r w:rsidRPr="00822A98">
              <w:rPr>
                <w:b/>
                <w:lang w:eastAsia="es-PE"/>
              </w:rPr>
              <w:t>Descripción</w:t>
            </w:r>
          </w:p>
        </w:tc>
      </w:tr>
      <w:tr w:rsidR="00822A98" w:rsidRPr="00822A98" w14:paraId="2D3EA171" w14:textId="77777777" w:rsidTr="000303D0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8EE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Objetivo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27B" w14:textId="342CA75B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Promover la retención y evitar el abandono en las universidades peruanas</w:t>
            </w:r>
          </w:p>
        </w:tc>
      </w:tr>
      <w:tr w:rsidR="00822A98" w:rsidRPr="00822A98" w14:paraId="3059F9FD" w14:textId="77777777" w:rsidTr="000303D0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DD6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Dirigido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5704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Universidades públicas y privadas peruanas</w:t>
            </w:r>
          </w:p>
        </w:tc>
      </w:tr>
      <w:tr w:rsidR="00822A98" w:rsidRPr="00822A98" w14:paraId="7122341D" w14:textId="77777777" w:rsidTr="000303D0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27F8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Área encargada desde el Ministerio de Educación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C64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Superintendencia Nacional de Educación Superior</w:t>
            </w:r>
          </w:p>
        </w:tc>
      </w:tr>
      <w:tr w:rsidR="00822A98" w:rsidRPr="00822A98" w14:paraId="763AF3B5" w14:textId="77777777" w:rsidTr="000303D0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29EE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Financiación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70CB" w14:textId="300BED0E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Desde el Ministerio de Educación</w:t>
            </w:r>
            <w:r w:rsidR="004C109A" w:rsidRPr="00822A98">
              <w:rPr>
                <w:lang w:eastAsia="es-PE"/>
              </w:rPr>
              <w:t>,</w:t>
            </w:r>
            <w:r w:rsidRPr="00822A98">
              <w:rPr>
                <w:lang w:eastAsia="es-PE"/>
              </w:rPr>
              <w:t xml:space="preserve"> se debe plantear un fondo para promover investigaci</w:t>
            </w:r>
            <w:r w:rsidR="004C109A" w:rsidRPr="00822A98">
              <w:rPr>
                <w:lang w:eastAsia="es-PE"/>
              </w:rPr>
              <w:t>ones</w:t>
            </w:r>
            <w:r w:rsidRPr="00822A98">
              <w:rPr>
                <w:lang w:eastAsia="es-PE"/>
              </w:rPr>
              <w:t>, programas de acompañamiento y apoyo, eventos que permitan buscar soluciones, reporte de indicadores de cada universidad del país desde un observatorio.</w:t>
            </w:r>
          </w:p>
        </w:tc>
      </w:tr>
      <w:tr w:rsidR="00822A98" w:rsidRPr="00822A98" w14:paraId="55624255" w14:textId="77777777" w:rsidTr="000303D0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7066" w14:textId="77777777" w:rsidR="008C2FAA" w:rsidRPr="00822A98" w:rsidRDefault="008C2FAA" w:rsidP="00714A52">
            <w:pPr>
              <w:spacing w:line="240" w:lineRule="auto"/>
              <w:ind w:left="0" w:hanging="2"/>
              <w:jc w:val="left"/>
              <w:rPr>
                <w:lang w:eastAsia="es-PE"/>
              </w:rPr>
            </w:pPr>
            <w:r w:rsidRPr="00822A98">
              <w:rPr>
                <w:lang w:eastAsia="es-PE"/>
              </w:rPr>
              <w:t>Objetivos por universidad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C675" w14:textId="7172362F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Cada una universidad peruana</w:t>
            </w:r>
            <w:r w:rsidR="004C109A" w:rsidRPr="00822A98">
              <w:rPr>
                <w:lang w:eastAsia="es-PE"/>
              </w:rPr>
              <w:t>,</w:t>
            </w:r>
            <w:r w:rsidRPr="00822A98">
              <w:rPr>
                <w:lang w:eastAsia="es-PE"/>
              </w:rPr>
              <w:t xml:space="preserve"> dentro de su plan estratégico institucional quinquenal</w:t>
            </w:r>
            <w:r w:rsidR="004C109A" w:rsidRPr="00822A98">
              <w:rPr>
                <w:lang w:eastAsia="es-PE"/>
              </w:rPr>
              <w:t>,</w:t>
            </w:r>
            <w:r w:rsidRPr="00822A98">
              <w:rPr>
                <w:lang w:eastAsia="es-PE"/>
              </w:rPr>
              <w:t xml:space="preserve"> debe establecer estrategias para promover la retención y evitar el abandono, con estrategias claras que se reporten al Ministerio de Educación.</w:t>
            </w:r>
          </w:p>
        </w:tc>
      </w:tr>
      <w:tr w:rsidR="00822A98" w:rsidRPr="00822A98" w14:paraId="3FA6F767" w14:textId="77777777" w:rsidTr="000303D0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89D3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Frecuencia de reporte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406B" w14:textId="6F0D168F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Las universidades deben reportar al Ministerio de Educación</w:t>
            </w:r>
            <w:r w:rsidR="004C109A" w:rsidRPr="00822A98">
              <w:rPr>
                <w:lang w:eastAsia="es-PE"/>
              </w:rPr>
              <w:t>,</w:t>
            </w:r>
            <w:r w:rsidRPr="00822A98">
              <w:rPr>
                <w:lang w:eastAsia="es-PE"/>
              </w:rPr>
              <w:t xml:space="preserve"> de forma semestral, indicadores de permanencia, deserción por carrera profesional y</w:t>
            </w:r>
            <w:r w:rsidR="004C109A" w:rsidRPr="00822A98">
              <w:rPr>
                <w:lang w:eastAsia="es-PE"/>
              </w:rPr>
              <w:t>,</w:t>
            </w:r>
            <w:r w:rsidRPr="00822A98">
              <w:rPr>
                <w:lang w:eastAsia="es-PE"/>
              </w:rPr>
              <w:t xml:space="preserve"> </w:t>
            </w:r>
            <w:r w:rsidR="004C109A" w:rsidRPr="00822A98">
              <w:rPr>
                <w:lang w:eastAsia="es-PE"/>
              </w:rPr>
              <w:t>de manera</w:t>
            </w:r>
            <w:r w:rsidRPr="00822A98">
              <w:rPr>
                <w:lang w:eastAsia="es-PE"/>
              </w:rPr>
              <w:t xml:space="preserve"> global</w:t>
            </w:r>
            <w:r w:rsidR="004C109A" w:rsidRPr="00822A98">
              <w:rPr>
                <w:lang w:eastAsia="es-PE"/>
              </w:rPr>
              <w:t>,</w:t>
            </w:r>
            <w:r w:rsidRPr="00822A98">
              <w:rPr>
                <w:lang w:eastAsia="es-PE"/>
              </w:rPr>
              <w:t xml:space="preserve"> de toda la universidad.</w:t>
            </w:r>
          </w:p>
        </w:tc>
      </w:tr>
      <w:tr w:rsidR="00822A98" w:rsidRPr="00822A98" w14:paraId="594403F4" w14:textId="77777777" w:rsidTr="000303D0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FC8B" w14:textId="77777777" w:rsidR="008C2FAA" w:rsidRPr="00822A98" w:rsidRDefault="008C2FAA" w:rsidP="00714A52">
            <w:pPr>
              <w:spacing w:line="240" w:lineRule="auto"/>
              <w:ind w:left="0" w:hanging="2"/>
              <w:jc w:val="left"/>
              <w:rPr>
                <w:lang w:eastAsia="es-PE"/>
              </w:rPr>
            </w:pPr>
            <w:r w:rsidRPr="00822A98">
              <w:rPr>
                <w:lang w:eastAsia="es-PE"/>
              </w:rPr>
              <w:t>Política de acceso abierto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16F8" w14:textId="77777777" w:rsidR="008C2FAA" w:rsidRPr="00822A98" w:rsidRDefault="008C2FAA" w:rsidP="00714A52">
            <w:pPr>
              <w:spacing w:line="240" w:lineRule="auto"/>
              <w:ind w:left="0" w:hanging="2"/>
              <w:rPr>
                <w:lang w:eastAsia="es-PE"/>
              </w:rPr>
            </w:pPr>
            <w:r w:rsidRPr="00822A98">
              <w:rPr>
                <w:lang w:eastAsia="es-PE"/>
              </w:rPr>
              <w:t>La información debe ser de libre acceso para tomar decisiones y promover investigaciones.</w:t>
            </w:r>
          </w:p>
        </w:tc>
      </w:tr>
    </w:tbl>
    <w:p w14:paraId="548AD905" w14:textId="1787B407" w:rsidR="008C2FAA" w:rsidRPr="00822A98" w:rsidRDefault="00775498" w:rsidP="00714A52">
      <w:pPr>
        <w:spacing w:line="240" w:lineRule="auto"/>
        <w:ind w:leftChars="0" w:left="0" w:firstLineChars="0" w:firstLine="0"/>
        <w:rPr>
          <w:b/>
          <w:sz w:val="24"/>
          <w:szCs w:val="24"/>
        </w:rPr>
      </w:pPr>
      <w:r w:rsidRPr="00822A98">
        <w:rPr>
          <w:sz w:val="24"/>
          <w:szCs w:val="24"/>
        </w:rPr>
        <w:t>Fuente: Elaboración propia</w:t>
      </w:r>
    </w:p>
    <w:p w14:paraId="450E4B29" w14:textId="60EC017A" w:rsidR="004C109A" w:rsidRPr="00822A98" w:rsidRDefault="008C2FAA" w:rsidP="00714A52">
      <w:pPr>
        <w:spacing w:line="240" w:lineRule="auto"/>
        <w:ind w:left="0" w:hanging="2"/>
        <w:rPr>
          <w:b/>
          <w:sz w:val="24"/>
          <w:szCs w:val="24"/>
        </w:rPr>
      </w:pPr>
      <w:r w:rsidRPr="00822A98">
        <w:rPr>
          <w:b/>
          <w:sz w:val="24"/>
          <w:szCs w:val="24"/>
        </w:rPr>
        <w:t>Conclusiones y contribución</w:t>
      </w:r>
    </w:p>
    <w:p w14:paraId="2254E047" w14:textId="73F5ABA9" w:rsidR="008C2FAA" w:rsidRPr="00822A98" w:rsidRDefault="004C109A" w:rsidP="00714A52">
      <w:pPr>
        <w:spacing w:line="240" w:lineRule="auto"/>
        <w:ind w:leftChars="0" w:left="0" w:firstLineChars="0" w:firstLine="0"/>
        <w:rPr>
          <w:sz w:val="24"/>
          <w:szCs w:val="24"/>
        </w:rPr>
      </w:pPr>
      <w:r w:rsidRPr="00822A98">
        <w:rPr>
          <w:bCs/>
          <w:sz w:val="24"/>
          <w:szCs w:val="24"/>
        </w:rPr>
        <w:t xml:space="preserve">Son pocos los estudios sobre retención - abandono universitario en el Perú. En ese sentido, es </w:t>
      </w:r>
      <w:r w:rsidR="008C2FAA" w:rsidRPr="00822A98">
        <w:rPr>
          <w:sz w:val="24"/>
          <w:szCs w:val="24"/>
        </w:rPr>
        <w:t xml:space="preserve">necesario promover </w:t>
      </w:r>
      <w:r w:rsidRPr="00822A98">
        <w:rPr>
          <w:sz w:val="24"/>
          <w:szCs w:val="24"/>
        </w:rPr>
        <w:t xml:space="preserve">la investigación de esta problemática, </w:t>
      </w:r>
      <w:r w:rsidR="008C2FAA" w:rsidRPr="00822A98">
        <w:rPr>
          <w:sz w:val="24"/>
          <w:szCs w:val="24"/>
        </w:rPr>
        <w:t xml:space="preserve">para conocer a profundidad este fenómeno </w:t>
      </w:r>
      <w:r w:rsidR="008C2FAA" w:rsidRPr="00822A98">
        <w:rPr>
          <w:sz w:val="24"/>
          <w:szCs w:val="24"/>
        </w:rPr>
        <w:lastRenderedPageBreak/>
        <w:t>e inmediatamente proponer estrategias de solución.</w:t>
      </w:r>
      <w:r w:rsidRPr="00822A98">
        <w:rPr>
          <w:sz w:val="24"/>
          <w:szCs w:val="24"/>
        </w:rPr>
        <w:t xml:space="preserve"> En s</w:t>
      </w:r>
      <w:r w:rsidR="008C2FAA" w:rsidRPr="00822A98">
        <w:rPr>
          <w:sz w:val="24"/>
          <w:szCs w:val="24"/>
        </w:rPr>
        <w:t>egundo</w:t>
      </w:r>
      <w:r w:rsidRPr="00822A98">
        <w:rPr>
          <w:sz w:val="24"/>
          <w:szCs w:val="24"/>
        </w:rPr>
        <w:t xml:space="preserve"> lugar</w:t>
      </w:r>
      <w:r w:rsidR="008C2FAA" w:rsidRPr="00822A98">
        <w:rPr>
          <w:sz w:val="24"/>
          <w:szCs w:val="24"/>
        </w:rPr>
        <w:t>, las pocas investigaciones son</w:t>
      </w:r>
      <w:r w:rsidRPr="00822A98">
        <w:rPr>
          <w:sz w:val="24"/>
          <w:szCs w:val="24"/>
        </w:rPr>
        <w:t>,</w:t>
      </w:r>
      <w:r w:rsidR="008C2FAA" w:rsidRPr="00822A98">
        <w:rPr>
          <w:sz w:val="24"/>
          <w:szCs w:val="24"/>
        </w:rPr>
        <w:t xml:space="preserve"> en su mayoría</w:t>
      </w:r>
      <w:r w:rsidRPr="00822A98">
        <w:rPr>
          <w:sz w:val="24"/>
          <w:szCs w:val="24"/>
        </w:rPr>
        <w:t>,</w:t>
      </w:r>
      <w:r w:rsidR="008C2FAA" w:rsidRPr="00822A98">
        <w:rPr>
          <w:sz w:val="24"/>
          <w:szCs w:val="24"/>
        </w:rPr>
        <w:t xml:space="preserve"> cuantitativos, </w:t>
      </w:r>
      <w:r w:rsidRPr="00822A98">
        <w:rPr>
          <w:sz w:val="24"/>
          <w:szCs w:val="24"/>
        </w:rPr>
        <w:t>que abarcan solo</w:t>
      </w:r>
      <w:r w:rsidR="008C2FAA" w:rsidRPr="00822A98">
        <w:rPr>
          <w:sz w:val="24"/>
          <w:szCs w:val="24"/>
        </w:rPr>
        <w:t xml:space="preserve"> facultades</w:t>
      </w:r>
      <w:r w:rsidR="00AF0D03" w:rsidRPr="00822A98">
        <w:rPr>
          <w:sz w:val="24"/>
          <w:szCs w:val="24"/>
        </w:rPr>
        <w:t xml:space="preserve"> de estudio</w:t>
      </w:r>
      <w:r w:rsidRPr="00822A98">
        <w:rPr>
          <w:sz w:val="24"/>
          <w:szCs w:val="24"/>
        </w:rPr>
        <w:t xml:space="preserve">, pero no a </w:t>
      </w:r>
      <w:r w:rsidR="008C2FAA" w:rsidRPr="00822A98">
        <w:rPr>
          <w:sz w:val="24"/>
          <w:szCs w:val="24"/>
        </w:rPr>
        <w:t xml:space="preserve">todos los estudiantes de una universidad. </w:t>
      </w:r>
      <w:r w:rsidR="00093731" w:rsidRPr="00822A98">
        <w:rPr>
          <w:sz w:val="24"/>
          <w:szCs w:val="24"/>
        </w:rPr>
        <w:t>Por ello, e</w:t>
      </w:r>
      <w:r w:rsidR="008C2FAA" w:rsidRPr="00822A98">
        <w:rPr>
          <w:sz w:val="24"/>
          <w:szCs w:val="24"/>
        </w:rPr>
        <w:t>s necesario contar con información nacional, e indicadores en tiempo real para tomar decisiones en la universidad y desde el Ministerio de Educación.</w:t>
      </w:r>
      <w:r w:rsidRPr="00822A98">
        <w:rPr>
          <w:sz w:val="24"/>
          <w:szCs w:val="24"/>
        </w:rPr>
        <w:t xml:space="preserve"> En t</w:t>
      </w:r>
      <w:r w:rsidR="008C2FAA" w:rsidRPr="00822A98">
        <w:rPr>
          <w:sz w:val="24"/>
          <w:szCs w:val="24"/>
        </w:rPr>
        <w:t>ercer</w:t>
      </w:r>
      <w:r w:rsidRPr="00822A98">
        <w:rPr>
          <w:sz w:val="24"/>
          <w:szCs w:val="24"/>
        </w:rPr>
        <w:t xml:space="preserve"> lugar</w:t>
      </w:r>
      <w:r w:rsidR="008C2FAA" w:rsidRPr="00822A98">
        <w:rPr>
          <w:sz w:val="24"/>
          <w:szCs w:val="24"/>
        </w:rPr>
        <w:t>, no existe una política</w:t>
      </w:r>
      <w:r w:rsidR="00AF0D03" w:rsidRPr="00822A98">
        <w:rPr>
          <w:sz w:val="24"/>
          <w:szCs w:val="24"/>
        </w:rPr>
        <w:t xml:space="preserve"> universitaria</w:t>
      </w:r>
      <w:r w:rsidR="008C2FAA" w:rsidRPr="00822A98">
        <w:rPr>
          <w:sz w:val="24"/>
          <w:szCs w:val="24"/>
        </w:rPr>
        <w:t xml:space="preserve"> que apunte a la retención </w:t>
      </w:r>
      <w:r w:rsidR="00AF0D03" w:rsidRPr="00822A98">
        <w:rPr>
          <w:sz w:val="24"/>
          <w:szCs w:val="24"/>
        </w:rPr>
        <w:t>estudiantil</w:t>
      </w:r>
      <w:r w:rsidR="008C2FAA" w:rsidRPr="00822A98">
        <w:rPr>
          <w:sz w:val="24"/>
          <w:szCs w:val="24"/>
        </w:rPr>
        <w:t xml:space="preserve">. </w:t>
      </w:r>
      <w:r w:rsidR="0020690F" w:rsidRPr="00822A98">
        <w:rPr>
          <w:sz w:val="24"/>
          <w:szCs w:val="24"/>
        </w:rPr>
        <w:t xml:space="preserve">Es necesario que la política universitaria incluya </w:t>
      </w:r>
      <w:r w:rsidR="008C2FAA" w:rsidRPr="00822A98">
        <w:rPr>
          <w:sz w:val="24"/>
          <w:szCs w:val="24"/>
        </w:rPr>
        <w:t>objetivos nacionales</w:t>
      </w:r>
      <w:r w:rsidR="0020690F" w:rsidRPr="00822A98">
        <w:rPr>
          <w:sz w:val="24"/>
          <w:szCs w:val="24"/>
        </w:rPr>
        <w:t xml:space="preserve"> y </w:t>
      </w:r>
      <w:r w:rsidR="008C2FAA" w:rsidRPr="00822A98">
        <w:rPr>
          <w:sz w:val="24"/>
          <w:szCs w:val="24"/>
        </w:rPr>
        <w:t>por universidad</w:t>
      </w:r>
      <w:r w:rsidR="0020690F" w:rsidRPr="00822A98">
        <w:rPr>
          <w:sz w:val="24"/>
          <w:szCs w:val="24"/>
        </w:rPr>
        <w:t xml:space="preserve">. Además, se </w:t>
      </w:r>
      <w:r w:rsidR="008C2FAA" w:rsidRPr="00822A98">
        <w:rPr>
          <w:sz w:val="24"/>
          <w:szCs w:val="24"/>
        </w:rPr>
        <w:t xml:space="preserve">debe priorizar la adaptación universitaria, promover investigaciones teóricas y aplicativas, </w:t>
      </w:r>
      <w:r w:rsidR="0020690F" w:rsidRPr="00822A98">
        <w:rPr>
          <w:sz w:val="24"/>
          <w:szCs w:val="24"/>
        </w:rPr>
        <w:t xml:space="preserve">e </w:t>
      </w:r>
      <w:r w:rsidR="008C2FAA" w:rsidRPr="00822A98">
        <w:rPr>
          <w:sz w:val="24"/>
          <w:szCs w:val="24"/>
        </w:rPr>
        <w:t>instituir un observatorio nacional de la retención</w:t>
      </w:r>
      <w:r w:rsidR="0020690F" w:rsidRPr="00822A98">
        <w:rPr>
          <w:sz w:val="24"/>
          <w:szCs w:val="24"/>
        </w:rPr>
        <w:t>. Del mismo modo, es necesario</w:t>
      </w:r>
      <w:r w:rsidR="008C2FAA" w:rsidRPr="00822A98">
        <w:rPr>
          <w:sz w:val="24"/>
          <w:szCs w:val="24"/>
        </w:rPr>
        <w:t xml:space="preserve"> promover incentivos y programas en las universidades para velar por la continuidad de los estudiantes.</w:t>
      </w:r>
      <w:r w:rsidR="0020690F" w:rsidRPr="00822A98">
        <w:rPr>
          <w:sz w:val="24"/>
          <w:szCs w:val="24"/>
        </w:rPr>
        <w:t xml:space="preserve"> </w:t>
      </w:r>
    </w:p>
    <w:p w14:paraId="28B05608" w14:textId="7E3069BC" w:rsidR="008C2FAA" w:rsidRPr="00AF0D03" w:rsidRDefault="008C2FAA" w:rsidP="00714A52">
      <w:pPr>
        <w:ind w:left="0" w:hanging="2"/>
        <w:rPr>
          <w:b/>
          <w:color w:val="000000" w:themeColor="text1"/>
          <w:sz w:val="24"/>
          <w:szCs w:val="24"/>
          <w:lang w:val="en-US"/>
        </w:rPr>
      </w:pPr>
      <w:r w:rsidRPr="00AF0D03">
        <w:rPr>
          <w:b/>
          <w:color w:val="000000" w:themeColor="text1"/>
          <w:sz w:val="24"/>
          <w:szCs w:val="24"/>
          <w:lang w:val="en-US"/>
        </w:rPr>
        <w:t xml:space="preserve">Referencias </w:t>
      </w:r>
    </w:p>
    <w:p w14:paraId="0FE13B77" w14:textId="64FFFC11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n-US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Bedregal-Alpaca, N., Cornejo-Aparicio, V., Zárate-Valderrama, J., &amp; Yanque-Churo, P. (2020). Classification models for determining types of academic risk and predicting dropout in university students.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International Journal of Advanced Computer Science and Applications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11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(1)</w:t>
      </w:r>
      <w:r w:rsidR="00597AA7"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, 266-272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.</w:t>
      </w:r>
    </w:p>
    <w:p w14:paraId="4EB2ED71" w14:textId="0BBCB3B1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pt-BR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 xml:space="preserve">Bedregal-Alpaca, N., Aruquipa-Velazco, D., &amp; Cornejo-Aparicio, V. (2020). </w:t>
      </w:r>
      <w:r w:rsidRPr="00714A52">
        <w:rPr>
          <w:color w:val="000000" w:themeColor="text1"/>
          <w:sz w:val="18"/>
          <w:szCs w:val="18"/>
          <w:shd w:val="clear" w:color="auto" w:fill="FFFFFF"/>
        </w:rPr>
        <w:t xml:space="preserve">Técnicas de </w:t>
      </w:r>
      <w:r w:rsidRPr="00714A52">
        <w:rPr>
          <w:i/>
          <w:color w:val="000000" w:themeColor="text1"/>
          <w:sz w:val="18"/>
          <w:szCs w:val="18"/>
          <w:shd w:val="clear" w:color="auto" w:fill="FFFFFF"/>
        </w:rPr>
        <w:t>data mining</w:t>
      </w:r>
      <w:r w:rsidRPr="00714A52">
        <w:rPr>
          <w:color w:val="000000" w:themeColor="text1"/>
          <w:sz w:val="18"/>
          <w:szCs w:val="18"/>
          <w:shd w:val="clear" w:color="auto" w:fill="FFFFFF"/>
        </w:rPr>
        <w:t xml:space="preserve"> para extraer perfiles comportamiento académico y predecir la deserción universitaria.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>Revista Ib</w:t>
      </w:r>
      <w:r w:rsidR="00597AA7"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>e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>rica de Sistemas e Tecnologi</w:t>
      </w:r>
      <w:r w:rsidR="00597AA7"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>a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>s de Informaçao</w:t>
      </w:r>
      <w:r w:rsidRPr="00714A52">
        <w:rPr>
          <w:color w:val="000000" w:themeColor="text1"/>
          <w:sz w:val="18"/>
          <w:szCs w:val="18"/>
          <w:shd w:val="clear" w:color="auto" w:fill="FFFFFF"/>
          <w:lang w:val="pt-BR"/>
        </w:rPr>
        <w:t>, (E27), 592-604.</w:t>
      </w:r>
    </w:p>
    <w:p w14:paraId="414BDE25" w14:textId="627E9E26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pt-BR"/>
        </w:rPr>
        <w:t xml:space="preserve">Bedregal-Alpaca, N., Tupacyupanqui-Jaén, D., &amp; Cornejo-Aparicio, V. (2020). 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Análisis del rendimiento académico de los estudiantes de Ingeniería de Sistemas, posibilidades de deserción y propuestas para su retención.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 xml:space="preserve">Ingeniare. Revista </w:t>
      </w:r>
      <w:r w:rsidR="000976D8"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C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 xml:space="preserve">hilena de </w:t>
      </w:r>
      <w:r w:rsidR="000976D8"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In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geniería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28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(4), 668-683.</w:t>
      </w:r>
    </w:p>
    <w:p w14:paraId="1695FFF8" w14:textId="060B4251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n-US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t xml:space="preserve">Carranza, R. F. E., &amp; Bermúdez-Jaimes, M. E. (2017). 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Psychometric analysis of Garcia and Musitu</w:t>
      </w:r>
      <w:r w:rsidR="00597AA7"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’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s AF5 self-concept scale on college students in Tarapoto (Perú).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Interdisciplinaria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34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, 459-472.</w:t>
      </w:r>
    </w:p>
    <w:p w14:paraId="6C67F7E5" w14:textId="276863A9" w:rsidR="00FC14C1" w:rsidRPr="00714A52" w:rsidRDefault="00FC14C1" w:rsidP="00714A52">
      <w:pPr>
        <w:spacing w:line="240" w:lineRule="auto"/>
        <w:ind w:left="212" w:hangingChars="119" w:hanging="214"/>
        <w:rPr>
          <w:sz w:val="18"/>
          <w:szCs w:val="18"/>
        </w:rPr>
      </w:pPr>
      <w:r w:rsidRPr="00714A52">
        <w:rPr>
          <w:sz w:val="18"/>
          <w:szCs w:val="18"/>
        </w:rPr>
        <w:t xml:space="preserve">Carvajal-Tapia, Aarón &amp; Eduardo Carvajal-Rodríguez (2019). Producción científica en ciencias de la salud en los países de América Latina, 2006-2015: análisis a partir de Scielo. </w:t>
      </w:r>
      <w:r w:rsidRPr="00714A52">
        <w:rPr>
          <w:i/>
          <w:sz w:val="18"/>
          <w:szCs w:val="18"/>
        </w:rPr>
        <w:t>Revista Interamericana de Bibliotecología.</w:t>
      </w:r>
      <w:r w:rsidRPr="00714A52">
        <w:rPr>
          <w:sz w:val="18"/>
          <w:szCs w:val="18"/>
        </w:rPr>
        <w:t xml:space="preserve"> Vol. 42, no. 1, 15–21. </w:t>
      </w:r>
    </w:p>
    <w:p w14:paraId="1F271AEB" w14:textId="761A5CD3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Colliaux, R. (2020). Elected representatives: The challenges of pursuing higher education among the Matsigenka (Peruvian Amazon).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Sociologie du Travail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62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(3).</w:t>
      </w:r>
    </w:p>
    <w:p w14:paraId="3A406564" w14:textId="417E35F9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t xml:space="preserve">Cueva, M. A. L., &amp; Terrones, S. A. C. (2020). 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Impact of virtual classes on the university students in the context of COVID-19 quarantine: The case of the PUCP.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Prop</w:t>
      </w:r>
      <w:r w:rsidR="00597AA7"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ó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sitos Y Representaciones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, 15-15.</w:t>
      </w:r>
    </w:p>
    <w:p w14:paraId="537E73C3" w14:textId="77777777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n-US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Fernández-Chinguel, J. E., &amp; Díaz-Vélez, C. (2016). Associated factors with Medical students dropout in Peruvian university.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Revista Cubana de Educación Médica Superior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30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(1).</w:t>
      </w:r>
    </w:p>
    <w:p w14:paraId="6CCF4AF4" w14:textId="77777777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lang w:val="en-US" w:eastAsia="es-PE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 xml:space="preserve">García, L. (2019). Assessing the impact of a student loan program on time-to-degree: The case of a program in Peru. </w:t>
      </w:r>
      <w:r w:rsidRPr="00714A52">
        <w:rPr>
          <w:color w:val="000000" w:themeColor="text1"/>
          <w:sz w:val="18"/>
          <w:szCs w:val="18"/>
          <w:lang w:val="en-US" w:eastAsia="es-PE"/>
        </w:rPr>
        <w:t>International Education Journal-Comparative Perspectives.</w:t>
      </w:r>
    </w:p>
    <w:p w14:paraId="677B52EC" w14:textId="34001F25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Gonzales Lopez, E., &amp; Evaristo Chiyong, I. (2021). Academic Achievement and Dropout of University Students from a Course in Both an Online and Face-to-Face Modality.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R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evista Iberoamericana de Educación a Distancia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24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(2), 189-202.</w:t>
      </w:r>
    </w:p>
    <w:p w14:paraId="01291150" w14:textId="7303ED02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t>Herbas Torrico, B., Cabero Villazón, R., &amp; Titichoca-Santana, A. (2021). Revisión sistemática de investigaciones cuantitativas en español presentadas en CLABES en el periodo 2011-2019.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Congresos CLABES</w:t>
      </w:r>
      <w:r w:rsidRPr="00714A52">
        <w:rPr>
          <w:color w:val="000000" w:themeColor="text1"/>
          <w:sz w:val="18"/>
          <w:szCs w:val="18"/>
          <w:shd w:val="clear" w:color="auto" w:fill="FFFFFF"/>
        </w:rPr>
        <w:t xml:space="preserve">. </w:t>
      </w:r>
      <w:hyperlink r:id="rId14" w:history="1">
        <w:r w:rsidRPr="00714A52">
          <w:rPr>
            <w:rStyle w:val="Hyperlink"/>
            <w:color w:val="000000" w:themeColor="text1"/>
            <w:sz w:val="18"/>
            <w:szCs w:val="18"/>
            <w:shd w:val="clear" w:color="auto" w:fill="FFFFFF"/>
          </w:rPr>
          <w:t>https://revistas.utp.ac.pa/index.php/clabes/article/view/3436</w:t>
        </w:r>
      </w:hyperlink>
    </w:p>
    <w:p w14:paraId="1F89DAEB" w14:textId="77777777" w:rsidR="008C2FAA" w:rsidRPr="00714A52" w:rsidRDefault="008C2FAA" w:rsidP="00714A52">
      <w:pPr>
        <w:spacing w:line="240" w:lineRule="auto"/>
        <w:ind w:left="212" w:hangingChars="119" w:hanging="214"/>
        <w:rPr>
          <w:rFonts w:eastAsia="Arial"/>
          <w:color w:val="000000" w:themeColor="text1"/>
          <w:sz w:val="18"/>
          <w:szCs w:val="18"/>
        </w:rPr>
      </w:pPr>
      <w:r w:rsidRPr="00714A52">
        <w:rPr>
          <w:rFonts w:eastAsia="Arial"/>
          <w:color w:val="000000" w:themeColor="text1"/>
          <w:sz w:val="18"/>
          <w:szCs w:val="18"/>
        </w:rPr>
        <w:t xml:space="preserve">Himmel, Erika (2002). Modelos de análisis de la deserción estudiantil en la educación superior. </w:t>
      </w:r>
      <w:r w:rsidRPr="00714A52">
        <w:rPr>
          <w:rFonts w:eastAsia="Arial"/>
          <w:i/>
          <w:color w:val="000000" w:themeColor="text1"/>
          <w:sz w:val="18"/>
          <w:szCs w:val="18"/>
        </w:rPr>
        <w:t>Calidad en la Educación</w:t>
      </w:r>
      <w:r w:rsidRPr="00714A52">
        <w:rPr>
          <w:rFonts w:eastAsia="Arial"/>
          <w:color w:val="000000" w:themeColor="text1"/>
          <w:sz w:val="18"/>
          <w:szCs w:val="18"/>
        </w:rPr>
        <w:t xml:space="preserve">, (17), 91-108. </w:t>
      </w:r>
    </w:p>
    <w:p w14:paraId="553871CD" w14:textId="77777777" w:rsidR="00FC14C1" w:rsidRPr="00714A52" w:rsidRDefault="00FC14C1" w:rsidP="00714A52">
      <w:pPr>
        <w:spacing w:line="240" w:lineRule="auto"/>
        <w:ind w:left="212" w:hangingChars="119" w:hanging="214"/>
        <w:rPr>
          <w:sz w:val="18"/>
          <w:szCs w:val="18"/>
        </w:rPr>
      </w:pPr>
      <w:r w:rsidRPr="00714A52">
        <w:rPr>
          <w:color w:val="000000"/>
          <w:sz w:val="18"/>
          <w:szCs w:val="18"/>
        </w:rPr>
        <w:t>Limaymanta, Cesar H., Zulueta-Rafael, Hilda, Restrepo-Arango, Cristina, &amp; Álvarez-Muñoz, Patricio. (2020). Análisis bibliométrico y cienciométrico de la producción científica de Perú y Ecuador desde Web of Science (2009-2018). </w:t>
      </w:r>
      <w:r w:rsidRPr="00714A52">
        <w:rPr>
          <w:i/>
          <w:iCs/>
          <w:color w:val="000000"/>
          <w:sz w:val="18"/>
          <w:szCs w:val="18"/>
        </w:rPr>
        <w:t>Información, cultura y sociedad</w:t>
      </w:r>
      <w:r w:rsidRPr="00714A52">
        <w:rPr>
          <w:color w:val="000000"/>
          <w:sz w:val="18"/>
          <w:szCs w:val="18"/>
        </w:rPr>
        <w:t>, (43), 31-52. </w:t>
      </w:r>
      <w:hyperlink r:id="rId15" w:history="1">
        <w:r w:rsidRPr="00714A52">
          <w:rPr>
            <w:rStyle w:val="Hyperlink"/>
            <w:color w:val="555555"/>
            <w:sz w:val="18"/>
            <w:szCs w:val="18"/>
          </w:rPr>
          <w:t>https://dx.doi.org/10.34096/ics.i43.7926</w:t>
        </w:r>
      </w:hyperlink>
    </w:p>
    <w:p w14:paraId="06A02D56" w14:textId="2032BAE4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Medina Sparrow, C., Watanabe Watanabe, R., &amp; Angulo Jiménez, C. (2018). Influence of the professional vocation on the academic performance of students of Veterinary Medicine and Zootechnics in a private university of Lima, Peru.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Revista de Investigaciones Veterinarias del Perú (RIVEP)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29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(4), 1073-1086.</w:t>
      </w:r>
    </w:p>
    <w:p w14:paraId="49F7F18E" w14:textId="292F32AC" w:rsidR="008C2FAA" w:rsidRPr="00714A52" w:rsidRDefault="008C2FAA" w:rsidP="00714A52">
      <w:pPr>
        <w:spacing w:line="240" w:lineRule="auto"/>
        <w:ind w:left="212" w:hangingChars="119" w:hanging="214"/>
        <w:rPr>
          <w:rFonts w:eastAsia="Arial"/>
          <w:color w:val="000000" w:themeColor="text1"/>
          <w:sz w:val="18"/>
          <w:szCs w:val="18"/>
        </w:rPr>
      </w:pPr>
      <w:r w:rsidRPr="00714A52">
        <w:rPr>
          <w:rFonts w:eastAsia="Arial"/>
          <w:color w:val="000000" w:themeColor="text1"/>
          <w:sz w:val="18"/>
          <w:szCs w:val="18"/>
        </w:rPr>
        <w:t xml:space="preserve">Ministerio de Educación </w:t>
      </w:r>
      <w:r w:rsidR="00E46C6B" w:rsidRPr="00714A52">
        <w:rPr>
          <w:rFonts w:eastAsia="Arial"/>
          <w:color w:val="000000" w:themeColor="text1"/>
          <w:sz w:val="18"/>
          <w:szCs w:val="18"/>
        </w:rPr>
        <w:t xml:space="preserve">del Perú </w:t>
      </w:r>
      <w:r w:rsidRPr="00714A52">
        <w:rPr>
          <w:rFonts w:eastAsia="Arial"/>
          <w:color w:val="000000" w:themeColor="text1"/>
          <w:sz w:val="18"/>
          <w:szCs w:val="18"/>
        </w:rPr>
        <w:t xml:space="preserve">(2021). </w:t>
      </w:r>
      <w:r w:rsidRPr="00714A52">
        <w:rPr>
          <w:rFonts w:eastAsia="Arial"/>
          <w:i/>
          <w:color w:val="000000" w:themeColor="text1"/>
          <w:sz w:val="18"/>
          <w:szCs w:val="18"/>
        </w:rPr>
        <w:t>Tasa de deserción universitaria se redujo 11.5%.</w:t>
      </w:r>
      <w:r w:rsidRPr="00714A52">
        <w:rPr>
          <w:rFonts w:eastAsia="Arial"/>
          <w:color w:val="000000" w:themeColor="text1"/>
          <w:sz w:val="18"/>
          <w:szCs w:val="18"/>
        </w:rPr>
        <w:t xml:space="preserve"> </w:t>
      </w:r>
      <w:hyperlink r:id="rId16" w:history="1">
        <w:r w:rsidRPr="00714A52">
          <w:rPr>
            <w:rStyle w:val="Hyperlink"/>
            <w:rFonts w:eastAsia="Arial"/>
            <w:color w:val="000000" w:themeColor="text1"/>
            <w:sz w:val="18"/>
            <w:szCs w:val="18"/>
          </w:rPr>
          <w:t>https://www.gob.pe/institucion/minedu/noticias/552273-tasa-de-desercion-en-educacion-universitaria-se-redujo-a-11-5</w:t>
        </w:r>
      </w:hyperlink>
    </w:p>
    <w:p w14:paraId="47FAA459" w14:textId="77777777" w:rsidR="008C2FAA" w:rsidRPr="00714A52" w:rsidRDefault="008C2FAA" w:rsidP="00714A52">
      <w:pPr>
        <w:spacing w:line="240" w:lineRule="auto"/>
        <w:ind w:left="212" w:hangingChars="119" w:hanging="214"/>
        <w:rPr>
          <w:rFonts w:eastAsia="Arial"/>
          <w:color w:val="000000" w:themeColor="text1"/>
          <w:sz w:val="18"/>
          <w:szCs w:val="18"/>
        </w:rPr>
      </w:pPr>
      <w:r w:rsidRPr="00714A52">
        <w:rPr>
          <w:rFonts w:eastAsia="Arial"/>
          <w:color w:val="000000" w:themeColor="text1"/>
          <w:sz w:val="18"/>
          <w:szCs w:val="18"/>
        </w:rPr>
        <w:t xml:space="preserve">Ministerio de Educación Nacional de Colombia (2015). </w:t>
      </w:r>
      <w:r w:rsidRPr="00714A52">
        <w:rPr>
          <w:rFonts w:eastAsia="Arial"/>
          <w:i/>
          <w:color w:val="000000" w:themeColor="text1"/>
          <w:sz w:val="18"/>
          <w:szCs w:val="18"/>
        </w:rPr>
        <w:t>Estrategias para la permanencia en educación superior: experiencias significativas.</w:t>
      </w:r>
      <w:r w:rsidRPr="00714A52">
        <w:rPr>
          <w:rFonts w:eastAsia="Arial"/>
          <w:color w:val="000000" w:themeColor="text1"/>
          <w:sz w:val="18"/>
          <w:szCs w:val="18"/>
        </w:rPr>
        <w:t xml:space="preserve"> Bogotá: MEN.</w:t>
      </w:r>
    </w:p>
    <w:p w14:paraId="757FBEB3" w14:textId="77777777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t>Moreno-Quispe, L. A., &amp; Pantoja-Tirado, L. (2021). Características sociodemográficas, económicas y de salud de los beneficiarios de los Servicios Educacionales Complementarios Básicos.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Educación Médica Superior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35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(4).</w:t>
      </w:r>
    </w:p>
    <w:p w14:paraId="40C3C719" w14:textId="6C8C6AB8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n-US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lastRenderedPageBreak/>
        <w:t xml:space="preserve">Mortier, P., Auerbach, R. P., Alonso, J., Axinn, W. G., Cuijpers, P., Ebert, D. D., &amp; Bruffaerts, R. (2018). 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Suicidal thoughts and behaviors among college students and same-aged peers: results from the World Health Organization World Mental Health Surveys.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Social 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P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sychiatry and 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P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sychiatric 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E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pidemiology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53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(3), 279-288.</w:t>
      </w:r>
    </w:p>
    <w:p w14:paraId="31B9DD7A" w14:textId="77777777" w:rsidR="008C2FAA" w:rsidRPr="00714A52" w:rsidRDefault="008C2FAA" w:rsidP="00714A52">
      <w:pPr>
        <w:spacing w:line="240" w:lineRule="auto"/>
        <w:ind w:left="212" w:hangingChars="119" w:hanging="214"/>
        <w:rPr>
          <w:rFonts w:eastAsia="Arial"/>
          <w:color w:val="000000" w:themeColor="text1"/>
          <w:sz w:val="18"/>
          <w:szCs w:val="18"/>
        </w:rPr>
      </w:pPr>
      <w:r w:rsidRPr="00714A52">
        <w:rPr>
          <w:rFonts w:eastAsia="Arial"/>
          <w:color w:val="000000" w:themeColor="text1"/>
          <w:sz w:val="18"/>
          <w:szCs w:val="18"/>
          <w:lang w:val="en-US"/>
        </w:rPr>
        <w:t xml:space="preserve">Munizaga, F., Cifuentes, M., &amp; Beltrán, A. (2018). </w:t>
      </w:r>
      <w:r w:rsidRPr="00714A52">
        <w:rPr>
          <w:rFonts w:eastAsia="Arial"/>
          <w:color w:val="000000" w:themeColor="text1"/>
          <w:sz w:val="18"/>
          <w:szCs w:val="18"/>
        </w:rPr>
        <w:t xml:space="preserve">Retención y abandono estudiantil en la educación superior universitaria en América Latina y el Caribe: Una revisión sistemática. </w:t>
      </w:r>
      <w:r w:rsidRPr="00714A52">
        <w:rPr>
          <w:rFonts w:eastAsia="Arial"/>
          <w:i/>
          <w:color w:val="000000" w:themeColor="text1"/>
          <w:sz w:val="18"/>
          <w:szCs w:val="18"/>
        </w:rPr>
        <w:t>Archivos Analíticos de Políticas Educativas</w:t>
      </w:r>
      <w:r w:rsidRPr="00714A52">
        <w:rPr>
          <w:rFonts w:eastAsia="Arial"/>
          <w:color w:val="000000" w:themeColor="text1"/>
          <w:sz w:val="18"/>
          <w:szCs w:val="18"/>
        </w:rPr>
        <w:t xml:space="preserve">, </w:t>
      </w:r>
      <w:r w:rsidRPr="00714A52">
        <w:rPr>
          <w:rFonts w:eastAsia="Arial"/>
          <w:i/>
          <w:color w:val="000000" w:themeColor="text1"/>
          <w:sz w:val="18"/>
          <w:szCs w:val="18"/>
        </w:rPr>
        <w:t>26</w:t>
      </w:r>
      <w:r w:rsidRPr="00714A52">
        <w:rPr>
          <w:rFonts w:eastAsia="Arial"/>
          <w:color w:val="000000" w:themeColor="text1"/>
          <w:sz w:val="18"/>
          <w:szCs w:val="18"/>
        </w:rPr>
        <w:t xml:space="preserve">(61). </w:t>
      </w:r>
      <w:hyperlink r:id="rId17" w:history="1">
        <w:r w:rsidRPr="00714A52">
          <w:rPr>
            <w:rStyle w:val="Hyperlink"/>
            <w:rFonts w:eastAsia="Arial"/>
            <w:color w:val="000000" w:themeColor="text1"/>
            <w:sz w:val="18"/>
            <w:szCs w:val="18"/>
          </w:rPr>
          <w:t>http://dx.doi.org/10.14507/epaa.26.3348</w:t>
        </w:r>
      </w:hyperlink>
    </w:p>
    <w:p w14:paraId="42727187" w14:textId="0F86DAE1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s-PE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t>Pérez, A. B. D., Quispe, F. M. P., Aguilar, O. A. G., &amp; Cortez, L. C. C. (2020). Transición secundaria-universidad y la adaptación a la vida universitaria.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PE"/>
        </w:rPr>
        <w:t>Revista de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PE"/>
        </w:rPr>
        <w:t xml:space="preserve"> Ci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PE"/>
        </w:rPr>
        <w:t xml:space="preserve">encias 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PE"/>
        </w:rPr>
        <w:t>S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PE"/>
        </w:rPr>
        <w:t>ociales</w:t>
      </w:r>
      <w:r w:rsidRPr="00714A52">
        <w:rPr>
          <w:color w:val="000000" w:themeColor="text1"/>
          <w:sz w:val="18"/>
          <w:szCs w:val="18"/>
          <w:shd w:val="clear" w:color="auto" w:fill="FFFFFF"/>
          <w:lang w:val="es-PE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PE"/>
        </w:rPr>
        <w:t>26</w:t>
      </w:r>
      <w:r w:rsidRPr="00714A52">
        <w:rPr>
          <w:color w:val="000000" w:themeColor="text1"/>
          <w:sz w:val="18"/>
          <w:szCs w:val="18"/>
          <w:shd w:val="clear" w:color="auto" w:fill="FFFFFF"/>
          <w:lang w:val="es-PE"/>
        </w:rPr>
        <w:t>(3), 244-258.</w:t>
      </w:r>
    </w:p>
    <w:p w14:paraId="3B7A2A93" w14:textId="0B0A63C3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n-US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t>Reyes, N., &amp; Meneses, A. L. (2020). Una revisión crítica de los factores psicosociales asociados al abandono universitario en primer año.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Congresos CLABES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, 82-90.</w:t>
      </w:r>
      <w:r w:rsidR="00E46C6B"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hyperlink r:id="rId18" w:history="1">
        <w:r w:rsidRPr="00714A52">
          <w:rPr>
            <w:rStyle w:val="Hyperlink"/>
            <w:color w:val="000000" w:themeColor="text1"/>
            <w:sz w:val="18"/>
            <w:szCs w:val="18"/>
            <w:shd w:val="clear" w:color="auto" w:fill="FFFFFF"/>
            <w:lang w:val="en-US"/>
          </w:rPr>
          <w:t>https://revistas.utp.ac.pa/index.php/clabes/article/view/2627</w:t>
        </w:r>
      </w:hyperlink>
    </w:p>
    <w:p w14:paraId="58C01DC5" w14:textId="20938CF9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s-MX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Ramos-Sandoval, R., &amp; Ramos-Diaz, J. (2020). Barriers and supports in engineering career development: An exploration of first-year students.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MX"/>
        </w:rPr>
        <w:t>Advances in Science, Technology and Engineering Systems</w:t>
      </w:r>
      <w:r w:rsidRPr="00714A52">
        <w:rPr>
          <w:color w:val="000000" w:themeColor="text1"/>
          <w:sz w:val="18"/>
          <w:szCs w:val="18"/>
          <w:shd w:val="clear" w:color="auto" w:fill="FFFFFF"/>
          <w:lang w:val="es-MX"/>
        </w:rPr>
        <w:t>.</w:t>
      </w:r>
    </w:p>
    <w:p w14:paraId="5793E121" w14:textId="1EBBBAAB" w:rsidR="00A07A0F" w:rsidRPr="00714A52" w:rsidRDefault="00A07A0F" w:rsidP="00714A52">
      <w:pPr>
        <w:spacing w:line="240" w:lineRule="auto"/>
        <w:ind w:leftChars="0" w:left="214" w:hangingChars="119" w:hanging="214"/>
        <w:rPr>
          <w:sz w:val="18"/>
          <w:szCs w:val="18"/>
        </w:rPr>
      </w:pPr>
      <w:r w:rsidRPr="00714A52">
        <w:rPr>
          <w:sz w:val="18"/>
          <w:szCs w:val="18"/>
        </w:rPr>
        <w:t xml:space="preserve">Rodríguez, Juan (2007). La política universitaria en el Perú. </w:t>
      </w:r>
      <w:r w:rsidRPr="00714A52">
        <w:rPr>
          <w:i/>
          <w:sz w:val="18"/>
          <w:szCs w:val="18"/>
        </w:rPr>
        <w:t>XXVI Congreso de la Asociación Latinoamericana de Sociología</w:t>
      </w:r>
      <w:r w:rsidRPr="00714A52">
        <w:rPr>
          <w:sz w:val="18"/>
          <w:szCs w:val="18"/>
        </w:rPr>
        <w:t>. Asociación Latinoamericana de Sociología.</w:t>
      </w:r>
    </w:p>
    <w:p w14:paraId="6DE2CC88" w14:textId="395AEADA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lang w:eastAsia="es-PE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s-MX"/>
        </w:rPr>
        <w:t xml:space="preserve">Sánchez-Hernández, G., Barboza-Palomino, M., &amp; Castilla-Cabello, H. (2017). </w:t>
      </w: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 xml:space="preserve">Analysis of student dropout and factors associated with student permanence in a Peruvian university. </w:t>
      </w:r>
      <w:r w:rsidRPr="00714A52">
        <w:rPr>
          <w:i/>
          <w:color w:val="000000" w:themeColor="text1"/>
          <w:sz w:val="18"/>
          <w:szCs w:val="18"/>
          <w:lang w:eastAsia="es-PE"/>
        </w:rPr>
        <w:t>Actualidades Pedag</w:t>
      </w:r>
      <w:r w:rsidR="00E46C6B" w:rsidRPr="00714A52">
        <w:rPr>
          <w:i/>
          <w:color w:val="000000" w:themeColor="text1"/>
          <w:sz w:val="18"/>
          <w:szCs w:val="18"/>
          <w:lang w:eastAsia="es-PE"/>
        </w:rPr>
        <w:t>ó</w:t>
      </w:r>
      <w:r w:rsidRPr="00714A52">
        <w:rPr>
          <w:i/>
          <w:color w:val="000000" w:themeColor="text1"/>
          <w:sz w:val="18"/>
          <w:szCs w:val="18"/>
          <w:lang w:eastAsia="es-PE"/>
        </w:rPr>
        <w:t>gicas</w:t>
      </w:r>
      <w:r w:rsidR="006C52AE" w:rsidRPr="00714A52">
        <w:rPr>
          <w:i/>
          <w:color w:val="000000" w:themeColor="text1"/>
          <w:sz w:val="18"/>
          <w:szCs w:val="18"/>
          <w:lang w:eastAsia="es-PE"/>
        </w:rPr>
        <w:t xml:space="preserve">, </w:t>
      </w:r>
      <w:r w:rsidR="006C52AE" w:rsidRPr="00714A52">
        <w:rPr>
          <w:color w:val="000000" w:themeColor="text1"/>
          <w:sz w:val="18"/>
          <w:szCs w:val="18"/>
          <w:lang w:eastAsia="es-PE"/>
        </w:rPr>
        <w:t>(69), 169-191.</w:t>
      </w:r>
    </w:p>
    <w:p w14:paraId="30CD7D03" w14:textId="053704D9" w:rsidR="008C2FAA" w:rsidRPr="00714A52" w:rsidRDefault="008C2FAA" w:rsidP="00714A52">
      <w:pPr>
        <w:spacing w:line="240" w:lineRule="auto"/>
        <w:ind w:left="212" w:hangingChars="119" w:hanging="214"/>
        <w:rPr>
          <w:rFonts w:eastAsia="Arial"/>
          <w:color w:val="000000" w:themeColor="text1"/>
          <w:sz w:val="18"/>
          <w:szCs w:val="18"/>
          <w:lang w:val="es-MX"/>
        </w:rPr>
      </w:pPr>
      <w:r w:rsidRPr="00714A52">
        <w:rPr>
          <w:rFonts w:eastAsia="Arial"/>
          <w:color w:val="000000" w:themeColor="text1"/>
          <w:sz w:val="18"/>
          <w:szCs w:val="18"/>
        </w:rPr>
        <w:t xml:space="preserve">Superintendencia Nacional de Educación Superior (2022). </w:t>
      </w:r>
      <w:r w:rsidRPr="00714A52">
        <w:rPr>
          <w:rFonts w:eastAsia="Arial"/>
          <w:i/>
          <w:color w:val="000000" w:themeColor="text1"/>
          <w:sz w:val="18"/>
          <w:szCs w:val="18"/>
        </w:rPr>
        <w:t xml:space="preserve">III </w:t>
      </w:r>
      <w:r w:rsidR="00E46C6B" w:rsidRPr="00714A52">
        <w:rPr>
          <w:rFonts w:eastAsia="Arial"/>
          <w:i/>
          <w:color w:val="000000" w:themeColor="text1"/>
          <w:sz w:val="18"/>
          <w:szCs w:val="18"/>
        </w:rPr>
        <w:t>I</w:t>
      </w:r>
      <w:r w:rsidRPr="00714A52">
        <w:rPr>
          <w:rFonts w:eastAsia="Arial"/>
          <w:i/>
          <w:color w:val="000000" w:themeColor="text1"/>
          <w:sz w:val="18"/>
          <w:szCs w:val="18"/>
        </w:rPr>
        <w:t xml:space="preserve">nforme </w:t>
      </w:r>
      <w:r w:rsidR="00E46C6B" w:rsidRPr="00714A52">
        <w:rPr>
          <w:rFonts w:eastAsia="Arial"/>
          <w:i/>
          <w:color w:val="000000" w:themeColor="text1"/>
          <w:sz w:val="18"/>
          <w:szCs w:val="18"/>
        </w:rPr>
        <w:t>b</w:t>
      </w:r>
      <w:r w:rsidRPr="00714A52">
        <w:rPr>
          <w:rFonts w:eastAsia="Arial"/>
          <w:i/>
          <w:color w:val="000000" w:themeColor="text1"/>
          <w:sz w:val="18"/>
          <w:szCs w:val="18"/>
        </w:rPr>
        <w:t>ienal sobre la realidad universitaria en el Perú.</w:t>
      </w:r>
      <w:r w:rsidRPr="00714A52">
        <w:rPr>
          <w:rFonts w:eastAsia="Arial"/>
          <w:color w:val="000000" w:themeColor="text1"/>
          <w:sz w:val="18"/>
          <w:szCs w:val="18"/>
        </w:rPr>
        <w:t xml:space="preserve"> </w:t>
      </w:r>
    </w:p>
    <w:p w14:paraId="56419C74" w14:textId="56469A26" w:rsidR="008C2FAA" w:rsidRPr="00714A52" w:rsidRDefault="008C2FAA" w:rsidP="00714A52">
      <w:pPr>
        <w:spacing w:line="240" w:lineRule="auto"/>
        <w:ind w:left="212" w:hangingChars="119" w:hanging="214"/>
        <w:rPr>
          <w:color w:val="000000" w:themeColor="text1"/>
          <w:sz w:val="18"/>
          <w:szCs w:val="18"/>
          <w:shd w:val="clear" w:color="auto" w:fill="FFFFFF"/>
          <w:lang w:val="es-PE"/>
        </w:rPr>
      </w:pPr>
      <w:r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Viera Castillo, D. O., Flores Loredo, M. A., &amp; Pachari-Vera, E. (2020). F</w:t>
      </w:r>
      <w:r w:rsidR="00E46C6B" w:rsidRPr="00714A52">
        <w:rPr>
          <w:color w:val="000000" w:themeColor="text1"/>
          <w:sz w:val="18"/>
          <w:szCs w:val="18"/>
          <w:shd w:val="clear" w:color="auto" w:fill="FFFFFF"/>
          <w:lang w:val="en-US"/>
        </w:rPr>
        <w:t>actors of student desertion: an exploratory study from Peru</w:t>
      </w:r>
      <w:r w:rsidR="00E46C6B" w:rsidRPr="00714A52">
        <w:rPr>
          <w:i/>
          <w:color w:val="000000" w:themeColor="text1"/>
          <w:sz w:val="18"/>
          <w:szCs w:val="18"/>
          <w:shd w:val="clear" w:color="auto" w:fill="FFFFFF"/>
          <w:lang w:val="en-US"/>
        </w:rPr>
        <w:t xml:space="preserve">. </w:t>
      </w:r>
      <w:r w:rsidR="00E46C6B" w:rsidRPr="00714A52">
        <w:rPr>
          <w:i/>
          <w:color w:val="000000" w:themeColor="text1"/>
          <w:sz w:val="18"/>
          <w:szCs w:val="18"/>
          <w:shd w:val="clear" w:color="auto" w:fill="FFFFFF"/>
          <w:lang w:val="es-PE"/>
        </w:rPr>
        <w:t>Interciencia</w:t>
      </w:r>
      <w:r w:rsidRPr="00714A52">
        <w:rPr>
          <w:color w:val="000000" w:themeColor="text1"/>
          <w:sz w:val="18"/>
          <w:szCs w:val="18"/>
          <w:shd w:val="clear" w:color="auto" w:fill="FFFFFF"/>
          <w:lang w:val="es-PE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  <w:lang w:val="es-PE"/>
        </w:rPr>
        <w:t>45</w:t>
      </w:r>
      <w:r w:rsidRPr="00714A52">
        <w:rPr>
          <w:color w:val="000000" w:themeColor="text1"/>
          <w:sz w:val="18"/>
          <w:szCs w:val="18"/>
          <w:shd w:val="clear" w:color="auto" w:fill="FFFFFF"/>
          <w:lang w:val="es-PE"/>
        </w:rPr>
        <w:t>(12), 586-591.</w:t>
      </w:r>
    </w:p>
    <w:p w14:paraId="0CB81A1E" w14:textId="7A4BC9D1" w:rsidR="00C637C2" w:rsidRPr="00714A52" w:rsidRDefault="008C2FAA" w:rsidP="00714A52">
      <w:pPr>
        <w:spacing w:line="240" w:lineRule="auto"/>
        <w:ind w:left="212" w:hangingChars="119" w:hanging="214"/>
        <w:rPr>
          <w:sz w:val="18"/>
          <w:szCs w:val="18"/>
        </w:rPr>
      </w:pPr>
      <w:r w:rsidRPr="00714A52">
        <w:rPr>
          <w:color w:val="000000" w:themeColor="text1"/>
          <w:sz w:val="18"/>
          <w:szCs w:val="18"/>
          <w:shd w:val="clear" w:color="auto" w:fill="FFFFFF"/>
        </w:rPr>
        <w:t>Zárate-Valderrama, J., Bedregal-Alpaca, N., &amp; Cornejo-Aparicio, V. (2021). Modelos de clasificación para reconocer patrones de deserción en estudiantes universitarios.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Ingeniare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 xml:space="preserve">Revista 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C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 xml:space="preserve">hilena de </w:t>
      </w:r>
      <w:r w:rsidR="00E46C6B"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I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ngeniería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, </w:t>
      </w:r>
      <w:r w:rsidRPr="00714A52">
        <w:rPr>
          <w:i/>
          <w:iCs/>
          <w:color w:val="000000" w:themeColor="text1"/>
          <w:sz w:val="18"/>
          <w:szCs w:val="18"/>
          <w:shd w:val="clear" w:color="auto" w:fill="FFFFFF"/>
        </w:rPr>
        <w:t>29</w:t>
      </w:r>
      <w:r w:rsidRPr="00714A52">
        <w:rPr>
          <w:color w:val="000000" w:themeColor="text1"/>
          <w:sz w:val="18"/>
          <w:szCs w:val="18"/>
          <w:shd w:val="clear" w:color="auto" w:fill="FFFFFF"/>
        </w:rPr>
        <w:t>(1), 1</w:t>
      </w:r>
    </w:p>
    <w:sectPr w:rsidR="00C637C2" w:rsidRPr="00714A52" w:rsidSect="002F2D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2" w:right="1133" w:bottom="1135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E48A" w14:textId="77777777" w:rsidR="00C908E2" w:rsidRDefault="00C908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891929" w14:textId="77777777" w:rsidR="00C908E2" w:rsidRDefault="00C908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1A732F" w:rsidRDefault="001A732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1A732F" w:rsidRDefault="001A732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1A732F" w:rsidRDefault="001A732F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1A732F" w:rsidRDefault="001A732F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  <w:lang w:val="es-PE" w:eastAsia="es-PE"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  <w:lang w:val="es-PE" w:eastAsia="es-PE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4C29" w14:textId="77777777" w:rsidR="00C908E2" w:rsidRDefault="00C908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BF03B0" w14:textId="77777777" w:rsidR="00C908E2" w:rsidRDefault="00C908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1A732F" w:rsidRDefault="001A732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1A732F" w:rsidRDefault="001A732F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1A732F" w:rsidRPr="007E5704" w:rsidRDefault="001A732F" w:rsidP="002839EF">
    <w:pPr>
      <w:pStyle w:val="Cabealho"/>
      <w:ind w:leftChars="0" w:left="0" w:firstLineChars="0" w:firstLine="0"/>
    </w:pPr>
    <w:r w:rsidRPr="002839EF"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5325A1"/>
    <w:multiLevelType w:val="hybridMultilevel"/>
    <w:tmpl w:val="D08AC7FE"/>
    <w:lvl w:ilvl="0" w:tplc="2E105F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736404">
    <w:abstractNumId w:val="0"/>
  </w:num>
  <w:num w:numId="2" w16cid:durableId="169137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2308D"/>
    <w:rsid w:val="00024F4D"/>
    <w:rsid w:val="000303D0"/>
    <w:rsid w:val="00093731"/>
    <w:rsid w:val="000976D8"/>
    <w:rsid w:val="00106E20"/>
    <w:rsid w:val="001324D7"/>
    <w:rsid w:val="001A732F"/>
    <w:rsid w:val="001D015C"/>
    <w:rsid w:val="001E23A0"/>
    <w:rsid w:val="00205835"/>
    <w:rsid w:val="0020690F"/>
    <w:rsid w:val="00213C7F"/>
    <w:rsid w:val="00253F21"/>
    <w:rsid w:val="00266476"/>
    <w:rsid w:val="00270369"/>
    <w:rsid w:val="002839EF"/>
    <w:rsid w:val="002844B1"/>
    <w:rsid w:val="002B107E"/>
    <w:rsid w:val="002B3161"/>
    <w:rsid w:val="002B3F7C"/>
    <w:rsid w:val="002D4934"/>
    <w:rsid w:val="002E26AD"/>
    <w:rsid w:val="002E3C54"/>
    <w:rsid w:val="002F2D75"/>
    <w:rsid w:val="002F5ABD"/>
    <w:rsid w:val="00364DD9"/>
    <w:rsid w:val="003E6B8B"/>
    <w:rsid w:val="00402EB2"/>
    <w:rsid w:val="00410C64"/>
    <w:rsid w:val="00472D75"/>
    <w:rsid w:val="004C109A"/>
    <w:rsid w:val="005019EC"/>
    <w:rsid w:val="00532528"/>
    <w:rsid w:val="00553B8E"/>
    <w:rsid w:val="00556C33"/>
    <w:rsid w:val="00597AA7"/>
    <w:rsid w:val="005E7B4B"/>
    <w:rsid w:val="00676901"/>
    <w:rsid w:val="006A0B0D"/>
    <w:rsid w:val="006C52AE"/>
    <w:rsid w:val="006E311B"/>
    <w:rsid w:val="00714A52"/>
    <w:rsid w:val="00775498"/>
    <w:rsid w:val="007777FB"/>
    <w:rsid w:val="007E5704"/>
    <w:rsid w:val="00822A98"/>
    <w:rsid w:val="00866501"/>
    <w:rsid w:val="00877D9B"/>
    <w:rsid w:val="00886455"/>
    <w:rsid w:val="008C2FAA"/>
    <w:rsid w:val="008D2B1A"/>
    <w:rsid w:val="009B0D80"/>
    <w:rsid w:val="009C2AED"/>
    <w:rsid w:val="009D035E"/>
    <w:rsid w:val="00A047C2"/>
    <w:rsid w:val="00A07A0F"/>
    <w:rsid w:val="00A409D1"/>
    <w:rsid w:val="00A9133A"/>
    <w:rsid w:val="00A93F25"/>
    <w:rsid w:val="00A97164"/>
    <w:rsid w:val="00AF0D03"/>
    <w:rsid w:val="00AF13E3"/>
    <w:rsid w:val="00B02D19"/>
    <w:rsid w:val="00B63CE7"/>
    <w:rsid w:val="00B91961"/>
    <w:rsid w:val="00C519BE"/>
    <w:rsid w:val="00C637C2"/>
    <w:rsid w:val="00C908E2"/>
    <w:rsid w:val="00CE6BBF"/>
    <w:rsid w:val="00D34BE1"/>
    <w:rsid w:val="00D63D7A"/>
    <w:rsid w:val="00DA432E"/>
    <w:rsid w:val="00DC77FC"/>
    <w:rsid w:val="00DF51D0"/>
    <w:rsid w:val="00E01601"/>
    <w:rsid w:val="00E157FB"/>
    <w:rsid w:val="00E26FCF"/>
    <w:rsid w:val="00E31842"/>
    <w:rsid w:val="00E46C6B"/>
    <w:rsid w:val="00F12649"/>
    <w:rsid w:val="00F27752"/>
    <w:rsid w:val="00F5367D"/>
    <w:rsid w:val="00F738B5"/>
    <w:rsid w:val="00F93AE3"/>
    <w:rsid w:val="00FC14C1"/>
    <w:rsid w:val="00FC37C1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1">
    <w:name w:val="Tabla de cuadrícula 1 clara1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1">
    <w:name w:val="Tabla de cuadrícula 1 clara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1">
    <w:name w:val="Tabla de cuadrícula 1 Claro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1">
    <w:name w:val="Tabla de cuadrícula 1 clara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1">
    <w:name w:val="Tabla de cuadrícula 1 clara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1">
    <w:name w:val="Tabla de cuadrícula 1 clara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1">
    <w:name w:val="Tabla de cuadrícula 1 clara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1">
    <w:name w:val="Tabla de cuadrícula 2 - Énfasis 1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1">
    <w:name w:val="Tabla de cuadrícula 2 - Énfasis 21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1">
    <w:name w:val="Tabla de cuadrícula 2 - Énfasis 31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1">
    <w:name w:val="Tabla de cuadrícula 2 - Énfasis 41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1">
    <w:name w:val="Tabla de cuadrícula 2 - Énfasis 51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1">
    <w:name w:val="Tabla de cuadrícula 2 - Énfasis 61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1">
    <w:name w:val="Tabla de cuadrícul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1">
    <w:name w:val="Tabla de cuadrícul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1">
    <w:name w:val="Tabla de cuadrícul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1">
    <w:name w:val="Tabla de cuadrícul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1">
    <w:name w:val="Tabla de cuadrícul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1">
    <w:name w:val="Tabla de cuadrícul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1">
    <w:name w:val="Tabla de cuadrícul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1">
    <w:name w:val="Tabla de cuadrícul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1">
    <w:name w:val="Tabla de cuadrícul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1">
    <w:name w:val="Tabla de cuadrícul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1">
    <w:name w:val="Tabla de cuadrícul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1">
    <w:name w:val="Tabla de cuadrícul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1">
    <w:name w:val="Tabla de cuadrícula 5 oscura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1">
    <w:name w:val="Tabla de cuadrícula 5 oscura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1">
    <w:name w:val="Tabla de cuadrícula 5 oscura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1">
    <w:name w:val="Tabla de cuadrícula 5 oscura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1">
    <w:name w:val="Tabla de cuadrícula 5 oscura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1">
    <w:name w:val="Tabla de cuadrícula 5 oscura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1">
    <w:name w:val="Tabla de cuadrícula 5 oscura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1">
    <w:name w:val="Tabla de cuadrícul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1">
    <w:name w:val="Tabla de cuadrícul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1">
    <w:name w:val="Tabla de cuadrícul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1">
    <w:name w:val="Tabla de cuadrícul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1">
    <w:name w:val="Tabla de cuadrícul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1">
    <w:name w:val="Tabla de cuadrícul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1">
    <w:name w:val="Tabla de cuadrícul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1">
    <w:name w:val="Tabla de cuadrícula 7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1">
    <w:name w:val="Tabla de cuadrícul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1">
    <w:name w:val="Tabla de cuadrícul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1">
    <w:name w:val="Tabla de cuadrícul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1">
    <w:name w:val="Tabla de cuadrícul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1">
    <w:name w:val="Tabla de cuadrícul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1">
    <w:name w:val="Tabla de cuadrícul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1">
    <w:name w:val="Tabla con cuadrícula 21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1">
    <w:name w:val="Tabla con cuadrícula 31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1">
    <w:name w:val="Tabla con cuadrícula 41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1">
    <w:name w:val="Cuadrícula de tabla clara1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2844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844B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8C2FAA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PE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A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AA7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AA7"/>
    <w:rPr>
      <w:position w:val="-1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A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AA7"/>
    <w:rPr>
      <w:b/>
      <w:bCs/>
      <w:position w:val="-1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A7"/>
    <w:rPr>
      <w:rFonts w:ascii="Segoe UI" w:hAnsi="Segoe UI" w:cs="Segoe UI"/>
      <w:position w:val="-1"/>
      <w:sz w:val="18"/>
      <w:szCs w:val="18"/>
      <w:lang w:eastAsia="es-ES"/>
    </w:rPr>
  </w:style>
  <w:style w:type="paragraph" w:styleId="Reviso">
    <w:name w:val="Revision"/>
    <w:hidden/>
    <w:uiPriority w:val="99"/>
    <w:semiHidden/>
    <w:rsid w:val="00410C64"/>
    <w:pPr>
      <w:spacing w:after="0"/>
      <w:jc w:val="left"/>
    </w:pPr>
    <w:rPr>
      <w:position w:val="-1"/>
      <w:lang w:eastAsia="es-ES"/>
    </w:rPr>
  </w:style>
  <w:style w:type="character" w:customStyle="1" w:styleId="org">
    <w:name w:val="org"/>
    <w:basedOn w:val="Fontepargpadro"/>
    <w:rsid w:val="0013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revistas.utp.ac.pa/index.php/clabes/article/view/2627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dx.doi.org/10.14507/epaa.26.334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b.pe/institucion/minedu/noticias/552273-tasa-de-desercion-en-educacion-universitaria-se-redujo-a-11-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dx.doi.org/10.34096/ics.i43.7926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i.org/10.5281/zenodo.7242830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esearchgate.net/institution/Universidade_da_Integracao_Internacional_da_Lusofonia_Afro-Brasileira_Unilab" TargetMode="External"/><Relationship Id="rId14" Type="http://schemas.openxmlformats.org/officeDocument/2006/relationships/hyperlink" Target="https://revistas.utp.ac.pa/index.php/clabes/article/view/3436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jara\Desktop\1.%20UPC%20DIEGO\2020\5.%20D\Cursos\PONENCIA\CLABES%202022\PoP%20Resumen%20Peru%20Retention%202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Cantidad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Hoja2!$A$2:$A$7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Hoja2!$B$2:$B$7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24-408A-B686-36CA16EE50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8070816"/>
        <c:axId val="1758073728"/>
      </c:lineChart>
      <c:catAx>
        <c:axId val="175807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58073728"/>
        <c:crosses val="autoZero"/>
        <c:auto val="1"/>
        <c:lblAlgn val="ctr"/>
        <c:lblOffset val="100"/>
        <c:noMultiLvlLbl val="0"/>
      </c:catAx>
      <c:valAx>
        <c:axId val="175807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5807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Props1.xml><?xml version="1.0" encoding="utf-8"?>
<ds:datastoreItem xmlns:ds="http://schemas.openxmlformats.org/officeDocument/2006/customXml" ds:itemID="{9F48CF5B-ECAA-4506-9EEB-40A9114DE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3237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19</cp:revision>
  <cp:lastPrinted>2022-10-23T22:47:00Z</cp:lastPrinted>
  <dcterms:created xsi:type="dcterms:W3CDTF">2022-10-22T22:48:00Z</dcterms:created>
  <dcterms:modified xsi:type="dcterms:W3CDTF">2022-10-24T23:04:00Z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