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CA06" w14:textId="77777777" w:rsidR="009B4014" w:rsidRDefault="00E64BAF">
      <w:r>
        <w:rPr>
          <w:noProof/>
          <w:lang w:eastAsia="pt-BR"/>
        </w:rPr>
        <w:drawing>
          <wp:inline distT="0" distB="0" distL="0" distR="0" wp14:anchorId="5CFF94FF" wp14:editId="5403ECC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46AF9" w14:textId="394322FF" w:rsidR="00342DF4" w:rsidRDefault="00E00FB2" w:rsidP="00FA73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00FB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COMPORTAMENTO, TEA 1 E INCLUSÃO: QUANDO A COMPREENSÃO </w:t>
      </w:r>
      <w:r w:rsidR="005351F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 CONFUNDE COM</w:t>
      </w:r>
      <w:r w:rsidRPr="00E00FB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PERMISSÃO — RELATO DE UMA DOCENTE EM IMPOTÊNCIA</w:t>
      </w:r>
    </w:p>
    <w:p w14:paraId="0833886C" w14:textId="77777777" w:rsidR="00E00FB2" w:rsidRDefault="00E00FB2" w:rsidP="00FA73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8489B5E" w14:textId="58A5B87D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Roberto Harrysson Braga Tolentino</w:t>
      </w:r>
    </w:p>
    <w:p w14:paraId="047D2584" w14:textId="0ED48D23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UVIGO- Universidade de Vigo/Espanha</w:t>
      </w:r>
    </w:p>
    <w:p w14:paraId="5014ED8D" w14:textId="787E50EF" w:rsidR="00342DF4" w:rsidRDefault="0000000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2F40AA" w:rsidRPr="00031E49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rbtolentino@gmail.com</w:t>
        </w:r>
      </w:hyperlink>
    </w:p>
    <w:p w14:paraId="2AD03C75" w14:textId="77777777" w:rsidR="002F40AA" w:rsidRDefault="002F40A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EA27B1" w14:textId="04E8559E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Elmara Verneque Durães Tolentino</w:t>
      </w:r>
    </w:p>
    <w:p w14:paraId="2B01999A" w14:textId="4562FDD9" w:rsidR="00342DF4" w:rsidRDefault="00FE70A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UNEB- Universidade do Estado da Bahia</w:t>
      </w:r>
    </w:p>
    <w:p w14:paraId="776E7CC9" w14:textId="59A9235A" w:rsidR="00342DF4" w:rsidRDefault="0000000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="002F40AA" w:rsidRPr="00031E49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elmaraverneque@gmail.com</w:t>
        </w:r>
      </w:hyperlink>
    </w:p>
    <w:p w14:paraId="4A4F4705" w14:textId="77777777" w:rsidR="002F40AA" w:rsidRDefault="002F40A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4B63509" w14:textId="14D33375" w:rsidR="00342DF4" w:rsidRDefault="00AF387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F387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3 – Políticas Públicas e Gestão Educacional na Perspectiva Inclusiva</w:t>
      </w:r>
    </w:p>
    <w:p w14:paraId="3D1D8A96" w14:textId="1CB4B1B2" w:rsidR="00342DF4" w:rsidRDefault="00AF387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F387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Educação inclusiva; Transtorno do Espectro Autista (TEA 1); Convivência escolar; Família–Escola; Políticas educacionais inclusivas.</w:t>
      </w:r>
    </w:p>
    <w:p w14:paraId="315A810C" w14:textId="77777777" w:rsidR="00342DF4" w:rsidRDefault="00342DF4"/>
    <w:p w14:paraId="5513C041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6646EF17" w14:textId="48AF5CB8" w:rsidR="00292396" w:rsidRPr="002F40AA" w:rsidRDefault="004916C5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6C5">
        <w:rPr>
          <w:rFonts w:ascii="Times New Roman" w:hAnsi="Times New Roman" w:cs="Times New Roman"/>
          <w:sz w:val="24"/>
          <w:szCs w:val="24"/>
        </w:rPr>
        <w:t>Este relato de experiência (em fase de construção e análise), vinculado ao Grupo de Estudos e Pesquisa em Políticas Educacionais, Avaliação e Gestão – GEPEAG/UNEB, registra a vivência de uma professora dos anos finais do Ensino Fundamental que nos procurou após o curso de extensão “Introdução à Neurofisiologia da Educação: Compreendendo as Bases do Aprendizado e das Neurodivergências”. O motivo: um estudante com diagnóstico de TEA nível 1 cuja conduta em sala — interrupções constantes, ironias e assédios dirigidos a colegas e docentes, recusas reiteradas — vinha sendo frequentemente justificada por pares e familiares com a frase: “tem que deixar, faz parte do TEA 1”. Entre o compromisso com a inclusão e o receio de ser percebida como pouco acolhedora, a docente descreveu sentir-se “sem chão”. O objetivo deste relato é tornar visível esse sofrimento ético pedagógico e problematizar o equívoco de confundir neurodivergência com permissividade.</w:t>
      </w:r>
    </w:p>
    <w:p w14:paraId="70EA2D2F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33807BC" w14:textId="323FDA11" w:rsidR="002F40AA" w:rsidRDefault="004916C5" w:rsidP="002F40AA">
      <w:pPr>
        <w:jc w:val="both"/>
        <w:rPr>
          <w:rFonts w:ascii="Times New Roman" w:hAnsi="Times New Roman" w:cs="Times New Roman"/>
          <w:sz w:val="24"/>
          <w:szCs w:val="24"/>
        </w:rPr>
      </w:pPr>
      <w:r w:rsidRPr="004916C5">
        <w:rPr>
          <w:rFonts w:ascii="Times New Roman" w:hAnsi="Times New Roman" w:cs="Times New Roman"/>
          <w:sz w:val="24"/>
          <w:szCs w:val="24"/>
        </w:rPr>
        <w:t xml:space="preserve">A literatura de educação inclusiva fundamentada em neurociência distingue acolhimento de condescendência: inclusão é estrutura, ensino e suporte, não suspensão de expectativas de convivência (Silva; Mello, 2018). Do ponto de vista neuroeducacional, funções executivas, atenção e regulação emocional modulam o comportamento em sala; reconhecer tais diferenças implica desenhar contextos previsíveis e comunicar expectativas, sem abdicar do direito de todos a um ambiente seguro e respeitoso (Moura Silva; Neto; Gonçalves, 2020). Na análise do comportamento aplicada, estudos mostram que problemas comportamentais em TEA são compreensíveis funcionalmente e </w:t>
      </w:r>
      <w:r w:rsidRPr="004916C5">
        <w:rPr>
          <w:rFonts w:ascii="Times New Roman" w:hAnsi="Times New Roman" w:cs="Times New Roman"/>
          <w:sz w:val="24"/>
          <w:szCs w:val="24"/>
        </w:rPr>
        <w:lastRenderedPageBreak/>
        <w:t>respondem a intervenções específicas, inclusive em perfis de suporte 1. Relatos clínico educacionais indicam que o TEA 1 pode se manifestar por literalidade, hipersensibilidade sensorial e necessidade de rotina, características que precisam ser compreendidas sem que se dissolvam limites de convivência (Tolentino; Tolentino, 2024). Sendo assim, a noção de “nada a fazer além de tolerar” (Lemos et al., 2024) torna-se completamente equivocada. Em paralelo, a literatura sobre dupla excepcionalidade revela que, quando altas habilidades coexiste, há uma maior ampliação do sofrimento emocional e condutas que ferem normas sociais, exigindo apoios integrados — não permissividade — para o desenvolvimento socioemocional (Mendes et al., 2025). Em síntese, compreender não é desculpar: é base para decisões pedagógicas responsáveis que preservem o direito de todos à aprendizagem e à convivência.</w:t>
      </w:r>
    </w:p>
    <w:p w14:paraId="0F056CAD" w14:textId="66A0AED1" w:rsidR="0068769D" w:rsidRDefault="0068769D" w:rsidP="002F40AA">
      <w:pPr>
        <w:jc w:val="both"/>
        <w:rPr>
          <w:rFonts w:ascii="Times New Roman" w:hAnsi="Times New Roman" w:cs="Times New Roman"/>
          <w:sz w:val="24"/>
          <w:szCs w:val="24"/>
        </w:rPr>
      </w:pPr>
      <w:r w:rsidRPr="0068769D">
        <w:rPr>
          <w:rFonts w:ascii="Times New Roman" w:hAnsi="Times New Roman" w:cs="Times New Roman"/>
          <w:b/>
          <w:sz w:val="24"/>
          <w:szCs w:val="24"/>
        </w:rPr>
        <w:t>Apresentação da experiência</w:t>
      </w:r>
    </w:p>
    <w:p w14:paraId="0E29A62A" w14:textId="77777777" w:rsidR="004916C5" w:rsidRPr="004916C5" w:rsidRDefault="004916C5" w:rsidP="004916C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916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caso se dá numa escola pública urbana, em turma numerosa e heterogênea. O estudante, com TEA 1 e repertório verbal preservado, alternava momentos de engajamento com episódios de interrupções insistentes, provocações a pares, respostas irônicas a correções e recusas a atividades não preferidas, sobretudo em transições e trabalhos em grupo. A docente descreveu uma “aula estilhaçada”: o planejamento se desfazia aos poucos, colegas se encolhiam, alguns reagiam, a condução se tornava defensiva. O mais doloroso, porém, era o coro de justificativas que orbitava a escola: “ele é TEA”, “não adianta insistir”, “melhor evitar conflito”. Na prática, isso resultava em pequenas desistências diárias: combinados relativizados, atividades suprimidas, silêncio perante ofensas, tudo sob a rubrica de “inclusão”.</w:t>
      </w:r>
    </w:p>
    <w:p w14:paraId="7DCE121D" w14:textId="6ED85067" w:rsidR="00E84EAA" w:rsidRPr="00E84EAA" w:rsidRDefault="004916C5" w:rsidP="004916C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916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dilema era recorrente: quando a professora sustentava regras básicas (turnos de fala, respeito a colegas, início e término de atividades), sentia-se cobrada por “falta de compreensão”; quando cedia “para evitar crises”, vivia o peso de ter abandonado os demais e a própria autoridade pedagógica. Em suas palavras, “fiquei refém de um discurso que me pede acolher, mas, no fim, me pede calar”. A coordenação reconhecia o problema, mas temia reações familiares; a família, por sua vez, alternava apoio a limites com o argumento de que “é do diagnóstico”. A docente passou a nomear seus dias como “areia movediça”: quanto mais tentava equilibrar empatia e justiça, mais afundava em impotência e culpa.</w:t>
      </w:r>
    </w:p>
    <w:p w14:paraId="0973C568" w14:textId="1B70739D" w:rsidR="00342DF4" w:rsidRPr="002F40AA" w:rsidRDefault="00E84EAA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84E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parcial dos resultados</w:t>
      </w:r>
    </w:p>
    <w:p w14:paraId="5BCD58BE" w14:textId="77777777" w:rsidR="004916C5" w:rsidRPr="004916C5" w:rsidRDefault="004916C5" w:rsidP="004916C5">
      <w:pPr>
        <w:jc w:val="both"/>
        <w:rPr>
          <w:rFonts w:ascii="Times New Roman" w:hAnsi="Times New Roman" w:cs="Times New Roman"/>
          <w:sz w:val="24"/>
          <w:szCs w:val="24"/>
        </w:rPr>
      </w:pPr>
      <w:r w:rsidRPr="004916C5">
        <w:rPr>
          <w:rFonts w:ascii="Times New Roman" w:hAnsi="Times New Roman" w:cs="Times New Roman"/>
          <w:sz w:val="24"/>
          <w:szCs w:val="24"/>
        </w:rPr>
        <w:t>Este relato não apresenta intervenção concluída, nem mensurações sistemáticas; detém-se na experiência subjetiva e institucional da docente. Ainda assim, emergem elementos coerentes com a literatura:</w:t>
      </w:r>
    </w:p>
    <w:p w14:paraId="6FD26276" w14:textId="77777777" w:rsidR="004916C5" w:rsidRPr="004916C5" w:rsidRDefault="004916C5" w:rsidP="004916C5">
      <w:pPr>
        <w:jc w:val="both"/>
        <w:rPr>
          <w:rFonts w:ascii="Times New Roman" w:hAnsi="Times New Roman" w:cs="Times New Roman"/>
          <w:sz w:val="24"/>
          <w:szCs w:val="24"/>
        </w:rPr>
      </w:pPr>
      <w:r w:rsidRPr="004916C5">
        <w:rPr>
          <w:rFonts w:ascii="Times New Roman" w:hAnsi="Times New Roman" w:cs="Times New Roman"/>
          <w:sz w:val="24"/>
          <w:szCs w:val="24"/>
        </w:rPr>
        <w:t>•</w:t>
      </w:r>
      <w:r w:rsidRPr="004916C5">
        <w:rPr>
          <w:rFonts w:ascii="Times New Roman" w:hAnsi="Times New Roman" w:cs="Times New Roman"/>
          <w:sz w:val="24"/>
          <w:szCs w:val="24"/>
        </w:rPr>
        <w:tab/>
        <w:t>Normalização de condutas desrespeitosas sob o rótulo diagnóstico. A fórmula “deixa, é TEA” opera como dispositivo de suspensão de expectativas acadêmicas e relacionais, erodindo a percepção de justiça dos pares e o clima da aula (Silva; Mello, 2018).</w:t>
      </w:r>
    </w:p>
    <w:p w14:paraId="75184937" w14:textId="77777777" w:rsidR="004916C5" w:rsidRPr="004916C5" w:rsidRDefault="004916C5" w:rsidP="004916C5">
      <w:pPr>
        <w:jc w:val="both"/>
        <w:rPr>
          <w:rFonts w:ascii="Times New Roman" w:hAnsi="Times New Roman" w:cs="Times New Roman"/>
          <w:sz w:val="24"/>
          <w:szCs w:val="24"/>
        </w:rPr>
      </w:pPr>
      <w:r w:rsidRPr="004916C5">
        <w:rPr>
          <w:rFonts w:ascii="Times New Roman" w:hAnsi="Times New Roman" w:cs="Times New Roman"/>
          <w:sz w:val="24"/>
          <w:szCs w:val="24"/>
        </w:rPr>
        <w:t>•</w:t>
      </w:r>
      <w:r w:rsidRPr="004916C5">
        <w:rPr>
          <w:rFonts w:ascii="Times New Roman" w:hAnsi="Times New Roman" w:cs="Times New Roman"/>
          <w:sz w:val="24"/>
          <w:szCs w:val="24"/>
        </w:rPr>
        <w:tab/>
        <w:t>Silenciamento pedagógico. O receio de ser lida como “não inclusiva” desencadeia desistências acumuladas: tarefas canceladas, feedbacks evitados, combinados frágeis — um convite à perda progressiva de condução.</w:t>
      </w:r>
    </w:p>
    <w:p w14:paraId="3FBDC907" w14:textId="77777777" w:rsidR="004916C5" w:rsidRPr="004916C5" w:rsidRDefault="004916C5" w:rsidP="004916C5">
      <w:pPr>
        <w:jc w:val="both"/>
        <w:rPr>
          <w:rFonts w:ascii="Times New Roman" w:hAnsi="Times New Roman" w:cs="Times New Roman"/>
          <w:sz w:val="24"/>
          <w:szCs w:val="24"/>
        </w:rPr>
      </w:pPr>
      <w:r w:rsidRPr="004916C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4916C5">
        <w:rPr>
          <w:rFonts w:ascii="Times New Roman" w:hAnsi="Times New Roman" w:cs="Times New Roman"/>
          <w:sz w:val="24"/>
          <w:szCs w:val="24"/>
        </w:rPr>
        <w:tab/>
        <w:t>Duplo padrão percebido pelos colegas. Quando passa a ser previsível que “nada acontece”, instala-se a leitura de assimetria e iniquidade: uns podem interromper e ofender, outros devem cumprir regras. A colaboração escolar sofre.</w:t>
      </w:r>
    </w:p>
    <w:p w14:paraId="6ED5E9BB" w14:textId="77777777" w:rsidR="004916C5" w:rsidRPr="004916C5" w:rsidRDefault="004916C5" w:rsidP="004916C5">
      <w:pPr>
        <w:jc w:val="both"/>
        <w:rPr>
          <w:rFonts w:ascii="Times New Roman" w:hAnsi="Times New Roman" w:cs="Times New Roman"/>
          <w:sz w:val="24"/>
          <w:szCs w:val="24"/>
        </w:rPr>
      </w:pPr>
      <w:r w:rsidRPr="004916C5">
        <w:rPr>
          <w:rFonts w:ascii="Times New Roman" w:hAnsi="Times New Roman" w:cs="Times New Roman"/>
          <w:sz w:val="24"/>
          <w:szCs w:val="24"/>
        </w:rPr>
        <w:t>•</w:t>
      </w:r>
      <w:r w:rsidRPr="004916C5">
        <w:rPr>
          <w:rFonts w:ascii="Times New Roman" w:hAnsi="Times New Roman" w:cs="Times New Roman"/>
          <w:sz w:val="24"/>
          <w:szCs w:val="24"/>
        </w:rPr>
        <w:tab/>
        <w:t>Sofrimento ético e cansaço moral. O esforço diário para equilibrar direitos individuais e coletivos, sem critérios partilhados e consistentes, gera exaustão e sensação de “andar sobre gelo fino”.</w:t>
      </w:r>
    </w:p>
    <w:p w14:paraId="1F74A31F" w14:textId="77777777" w:rsidR="004916C5" w:rsidRPr="004916C5" w:rsidRDefault="004916C5" w:rsidP="004916C5">
      <w:pPr>
        <w:jc w:val="both"/>
        <w:rPr>
          <w:rFonts w:ascii="Times New Roman" w:hAnsi="Times New Roman" w:cs="Times New Roman"/>
          <w:sz w:val="24"/>
          <w:szCs w:val="24"/>
        </w:rPr>
      </w:pPr>
      <w:r w:rsidRPr="004916C5">
        <w:rPr>
          <w:rFonts w:ascii="Times New Roman" w:hAnsi="Times New Roman" w:cs="Times New Roman"/>
          <w:sz w:val="24"/>
          <w:szCs w:val="24"/>
        </w:rPr>
        <w:t>•</w:t>
      </w:r>
      <w:r w:rsidRPr="004916C5">
        <w:rPr>
          <w:rFonts w:ascii="Times New Roman" w:hAnsi="Times New Roman" w:cs="Times New Roman"/>
          <w:sz w:val="24"/>
          <w:szCs w:val="24"/>
        </w:rPr>
        <w:tab/>
        <w:t>Ruído família–escola. A alternância entre justificar condutas pelo diagnóstico e endossar limites fragiliza a coerência das mensagens. Estudos de caso em TEA evidenciam que inconsciências reforçam comportamentos desafiadores (Lemos et al., 2024).</w:t>
      </w:r>
    </w:p>
    <w:p w14:paraId="58A29D39" w14:textId="77777777" w:rsidR="004916C5" w:rsidRPr="004916C5" w:rsidRDefault="004916C5" w:rsidP="004916C5">
      <w:pPr>
        <w:jc w:val="both"/>
        <w:rPr>
          <w:rFonts w:ascii="Times New Roman" w:hAnsi="Times New Roman" w:cs="Times New Roman"/>
          <w:sz w:val="24"/>
          <w:szCs w:val="24"/>
        </w:rPr>
      </w:pPr>
      <w:r w:rsidRPr="004916C5">
        <w:rPr>
          <w:rFonts w:ascii="Times New Roman" w:hAnsi="Times New Roman" w:cs="Times New Roman"/>
          <w:sz w:val="24"/>
          <w:szCs w:val="24"/>
        </w:rPr>
        <w:t>•</w:t>
      </w:r>
      <w:r w:rsidRPr="004916C5">
        <w:rPr>
          <w:rFonts w:ascii="Times New Roman" w:hAnsi="Times New Roman" w:cs="Times New Roman"/>
          <w:sz w:val="24"/>
          <w:szCs w:val="24"/>
        </w:rPr>
        <w:tab/>
        <w:t>Invisibilidade da dimensão formativa. Ao tratar condutas como “insuperáveis”, rouba-se do estudante a oportunidade de aprender repertórios sociais e autorregulatórios — dimensão curricular tão essencial quanto conteúdos (Moura Silva; Neto; Gonçalves, 2020).</w:t>
      </w:r>
    </w:p>
    <w:p w14:paraId="6DFCE1A4" w14:textId="7176800D" w:rsidR="00292396" w:rsidRPr="002F40AA" w:rsidRDefault="004916C5" w:rsidP="004916C5">
      <w:pPr>
        <w:jc w:val="both"/>
        <w:rPr>
          <w:rFonts w:ascii="Times New Roman" w:hAnsi="Times New Roman" w:cs="Times New Roman"/>
          <w:sz w:val="24"/>
          <w:szCs w:val="24"/>
        </w:rPr>
      </w:pPr>
      <w:r w:rsidRPr="004916C5">
        <w:rPr>
          <w:rFonts w:ascii="Times New Roman" w:hAnsi="Times New Roman" w:cs="Times New Roman"/>
          <w:sz w:val="24"/>
          <w:szCs w:val="24"/>
        </w:rPr>
        <w:t>•</w:t>
      </w:r>
      <w:r w:rsidRPr="004916C5">
        <w:rPr>
          <w:rFonts w:ascii="Times New Roman" w:hAnsi="Times New Roman" w:cs="Times New Roman"/>
          <w:sz w:val="24"/>
          <w:szCs w:val="24"/>
        </w:rPr>
        <w:tab/>
        <w:t>Complexidade de perfis. Mesmo em casos com altas habilidades, a literatura documenta impulsividade, sofrimento emocional e violações de normas que requerem abordagem integrada; permissividade não reduz o sofrimento — apenas o desloca (Mendes et al., 2025).</w:t>
      </w:r>
    </w:p>
    <w:p w14:paraId="50BC6126" w14:textId="77777777" w:rsidR="0003316D" w:rsidRDefault="0003316D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84C231D" w14:textId="05C0CE70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14:paraId="3DBEE57C" w14:textId="77777777" w:rsidR="004916C5" w:rsidRPr="004916C5" w:rsidRDefault="004916C5" w:rsidP="004916C5">
      <w:pPr>
        <w:jc w:val="both"/>
        <w:rPr>
          <w:rFonts w:ascii="Times New Roman" w:hAnsi="Times New Roman" w:cs="Times New Roman"/>
          <w:sz w:val="24"/>
          <w:szCs w:val="24"/>
        </w:rPr>
      </w:pPr>
      <w:r w:rsidRPr="004916C5">
        <w:rPr>
          <w:rFonts w:ascii="Times New Roman" w:hAnsi="Times New Roman" w:cs="Times New Roman"/>
          <w:sz w:val="24"/>
          <w:szCs w:val="24"/>
        </w:rPr>
        <w:t>A experiência relatada expõe um nó crítico: a confusão entre inclusão e permissividade. Quando a compreensão do TEA 1 se transforma em salvo conduto para ferir regras de convivência, perde-se a justiça percebida, degrada-se o clima pedagógico e enfraquece-se a autoridade formativa do professor. A dor da docente — “areia movediça” — é sintoma de uma cultura escolar que, temendo o rótulo de “não inclusiva”, abdica do seu papel educador. A literatura consultada aponta outra via: compreender diferenças neurobiológicas e funções do comportamento para sustentar expectativas claras e apoios coerentes, protegendo igualmente o direito do estudante neurodivergente e o direito da turma a uma aula segura, humana e justa (Silva; Mello, 2018; Lemos et al., 2024; Mendes et al., 2025; Tolentino; Tolentino, 2024).</w:t>
      </w:r>
    </w:p>
    <w:p w14:paraId="2931395C" w14:textId="5F7697B8" w:rsidR="00292396" w:rsidRPr="002F40AA" w:rsidRDefault="004916C5" w:rsidP="004916C5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6C5">
        <w:rPr>
          <w:rFonts w:ascii="Times New Roman" w:hAnsi="Times New Roman" w:cs="Times New Roman"/>
          <w:sz w:val="24"/>
          <w:szCs w:val="24"/>
        </w:rPr>
        <w:t>Ao optar por não descrever um plano de ação e sim o sofrimento do cotidiano, este relato busca nomear a linha tênue que a professora percebeu: acolher a neurodivergência sem transformar o diagnóstico em licença para ferir o outro; reconhecer limites reais sem decretar impossibilidades; e reafirmar que inclusão é compromisso formativo compartilhado por escola e família, não silêncio cúmplice.</w:t>
      </w:r>
    </w:p>
    <w:p w14:paraId="5FDB8DCB" w14:textId="77777777" w:rsidR="00BD0C00" w:rsidRPr="002F40AA" w:rsidRDefault="00BD0C00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14:paraId="2C8EB8AE" w14:textId="31FFD6F0" w:rsidR="002D4081" w:rsidRDefault="002F40AA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Não houve</w:t>
      </w:r>
    </w:p>
    <w:p w14:paraId="1FF20F56" w14:textId="3EE5886F" w:rsidR="002D4081" w:rsidRDefault="00342DF4" w:rsidP="002D40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3FDD8FB5" w14:textId="3F1BFFB6" w:rsidR="002D4081" w:rsidRDefault="002D4081" w:rsidP="002D4081">
      <w:pPr>
        <w:jc w:val="both"/>
        <w:rPr>
          <w:rFonts w:ascii="Times New Roman" w:hAnsi="Times New Roman" w:cs="Times New Roman"/>
          <w:sz w:val="24"/>
          <w:szCs w:val="24"/>
        </w:rPr>
      </w:pPr>
      <w:r w:rsidRPr="002D4081">
        <w:rPr>
          <w:rFonts w:ascii="Times New Roman" w:hAnsi="Times New Roman" w:cs="Times New Roman"/>
          <w:sz w:val="24"/>
          <w:szCs w:val="24"/>
        </w:rPr>
        <w:t xml:space="preserve">MENDES, V. C. C.; DE LUNA, N. M. B.; DA COSTA , M. V. F.; QUEIROGA, E. F. de M.; DUTRA, V. M.; GUEDES, T. A. L. DUPLA EXCEPCIONALIDADE: </w:t>
      </w:r>
      <w:r w:rsidRPr="002D4081">
        <w:rPr>
          <w:rFonts w:ascii="Times New Roman" w:hAnsi="Times New Roman" w:cs="Times New Roman"/>
          <w:sz w:val="24"/>
          <w:szCs w:val="24"/>
        </w:rPr>
        <w:lastRenderedPageBreak/>
        <w:t xml:space="preserve">IMPACTOS NO DESENVOLVIMENTO COGNITIVO E SOCIAL DA PESSOA NO ESPECTRO DO AUTISMO. </w:t>
      </w:r>
      <w:r w:rsidRPr="002D4081">
        <w:rPr>
          <w:rFonts w:ascii="Times New Roman" w:hAnsi="Times New Roman" w:cs="Times New Roman"/>
          <w:b/>
          <w:bCs/>
          <w:sz w:val="24"/>
          <w:szCs w:val="24"/>
        </w:rPr>
        <w:t>Brazilian Journal of Implantology and Health Sciences</w:t>
      </w:r>
      <w:r w:rsidRPr="002D4081">
        <w:rPr>
          <w:rFonts w:ascii="Times New Roman" w:hAnsi="Times New Roman" w:cs="Times New Roman"/>
          <w:sz w:val="24"/>
          <w:szCs w:val="24"/>
        </w:rPr>
        <w:t xml:space="preserve"> , [S. l.], v. 7, n. 4, p. 874–893, 2025. DOI: 10.36557/2674-8169.2025v7n4p874-893. Disponível em: https://bjihs.emnuvens.com.br/bjihs/article/view/5643. Acesso em: 26 set. 2025.</w:t>
      </w:r>
    </w:p>
    <w:p w14:paraId="4C84C371" w14:textId="24432B36" w:rsidR="002D4081" w:rsidRPr="002D4081" w:rsidRDefault="002D4081" w:rsidP="002D4081">
      <w:pPr>
        <w:jc w:val="both"/>
        <w:rPr>
          <w:rFonts w:ascii="Times New Roman" w:hAnsi="Times New Roman" w:cs="Times New Roman"/>
          <w:sz w:val="24"/>
          <w:szCs w:val="24"/>
        </w:rPr>
      </w:pPr>
      <w:r w:rsidRPr="002D4081">
        <w:rPr>
          <w:rFonts w:ascii="Times New Roman" w:hAnsi="Times New Roman" w:cs="Times New Roman"/>
          <w:sz w:val="24"/>
          <w:szCs w:val="24"/>
        </w:rPr>
        <w:t xml:space="preserve">MOURA‑SILVA, M. G.; NETO, J. B. T.; GONÇALVES, T. O. </w:t>
      </w:r>
      <w:r w:rsidRPr="002D4081">
        <w:rPr>
          <w:rFonts w:ascii="Times New Roman" w:hAnsi="Times New Roman" w:cs="Times New Roman"/>
          <w:b/>
          <w:bCs/>
          <w:sz w:val="24"/>
          <w:szCs w:val="24"/>
        </w:rPr>
        <w:t>Bases neurais da ansiedade matemática: implicações para o processo de ensino‑aprendizagem</w:t>
      </w:r>
      <w:r w:rsidRPr="002D4081">
        <w:rPr>
          <w:rFonts w:ascii="Times New Roman" w:hAnsi="Times New Roman" w:cs="Times New Roman"/>
          <w:sz w:val="24"/>
          <w:szCs w:val="24"/>
        </w:rPr>
        <w:t>. Bolema, 34(66), 246‑267, 2020. https://www.scielo.br/j/bolema/a/jrVBryXPH6TWH5X6tt94HZq/</w:t>
      </w:r>
    </w:p>
    <w:p w14:paraId="1C4A9ACC" w14:textId="77777777" w:rsidR="002D4081" w:rsidRPr="002D4081" w:rsidRDefault="002D4081" w:rsidP="002D4081">
      <w:pPr>
        <w:jc w:val="both"/>
        <w:rPr>
          <w:rFonts w:ascii="Times New Roman" w:hAnsi="Times New Roman" w:cs="Times New Roman"/>
          <w:sz w:val="24"/>
          <w:szCs w:val="24"/>
        </w:rPr>
      </w:pPr>
      <w:r w:rsidRPr="002D4081">
        <w:rPr>
          <w:rFonts w:ascii="Times New Roman" w:hAnsi="Times New Roman" w:cs="Times New Roman"/>
          <w:sz w:val="24"/>
          <w:szCs w:val="24"/>
        </w:rPr>
        <w:t xml:space="preserve">SILVA, L. G. da; MELLO, E. M. B. Fundamentos de neurociência presentes na inclusão escolar: vivências docentes. </w:t>
      </w:r>
      <w:r w:rsidRPr="002D4081">
        <w:rPr>
          <w:rFonts w:ascii="Times New Roman" w:hAnsi="Times New Roman" w:cs="Times New Roman"/>
          <w:b/>
          <w:bCs/>
          <w:sz w:val="24"/>
          <w:szCs w:val="24"/>
        </w:rPr>
        <w:t>Revista Educação Especial</w:t>
      </w:r>
      <w:r w:rsidRPr="002D4081">
        <w:rPr>
          <w:rFonts w:ascii="Times New Roman" w:hAnsi="Times New Roman" w:cs="Times New Roman"/>
          <w:sz w:val="24"/>
          <w:szCs w:val="24"/>
        </w:rPr>
        <w:t>, 31(62), 759‑776, 2018. https://www.redalyc.org/articulo.oa?id=313158892018759</w:t>
      </w:r>
    </w:p>
    <w:p w14:paraId="7521484B" w14:textId="77777777" w:rsidR="002D4081" w:rsidRPr="002D4081" w:rsidRDefault="002D4081" w:rsidP="002D4081">
      <w:pPr>
        <w:jc w:val="both"/>
        <w:rPr>
          <w:rFonts w:ascii="Times New Roman" w:hAnsi="Times New Roman" w:cs="Times New Roman"/>
          <w:sz w:val="24"/>
          <w:szCs w:val="24"/>
        </w:rPr>
      </w:pPr>
      <w:r w:rsidRPr="002D4081">
        <w:rPr>
          <w:rFonts w:ascii="Times New Roman" w:hAnsi="Times New Roman" w:cs="Times New Roman"/>
          <w:sz w:val="24"/>
          <w:szCs w:val="24"/>
        </w:rPr>
        <w:t xml:space="preserve">TOLENTINO, R. H. B.; TOLENTINO, E. V. D. Da química à técnica: evidências científicas para a escolha do tratamento de TDAH mais adequado. In: </w:t>
      </w:r>
      <w:r w:rsidRPr="002D4081">
        <w:rPr>
          <w:rFonts w:ascii="Times New Roman" w:hAnsi="Times New Roman" w:cs="Times New Roman"/>
          <w:b/>
          <w:bCs/>
          <w:sz w:val="24"/>
          <w:szCs w:val="24"/>
        </w:rPr>
        <w:t>Vigilância do Desenvolvimento Infantil Típico e Neurodiverso</w:t>
      </w:r>
      <w:r w:rsidRPr="002D4081">
        <w:rPr>
          <w:rFonts w:ascii="Times New Roman" w:hAnsi="Times New Roman" w:cs="Times New Roman"/>
          <w:sz w:val="24"/>
          <w:szCs w:val="24"/>
        </w:rPr>
        <w:t xml:space="preserve"> – v. 2, 2024. DOI: 10.37885/231215367.</w:t>
      </w:r>
    </w:p>
    <w:p w14:paraId="15B14C0B" w14:textId="18DF4A54" w:rsidR="002F40AA" w:rsidRDefault="002D4081" w:rsidP="002D4081">
      <w:pPr>
        <w:jc w:val="both"/>
        <w:rPr>
          <w:rFonts w:ascii="Times New Roman" w:hAnsi="Times New Roman" w:cs="Times New Roman"/>
          <w:sz w:val="24"/>
          <w:szCs w:val="24"/>
        </w:rPr>
      </w:pPr>
      <w:r w:rsidRPr="002D4081">
        <w:rPr>
          <w:rFonts w:ascii="Times New Roman" w:hAnsi="Times New Roman" w:cs="Times New Roman"/>
          <w:sz w:val="24"/>
          <w:szCs w:val="24"/>
        </w:rPr>
        <w:t xml:space="preserve">TOLENTINO, R. H. B.; TOLENTINO, E. V. D. Contribuições inovadoras do WhatsApp para auxiliar no diagnóstico de autismo sem deficiência intelectual (TEA1): relato de experiência. </w:t>
      </w:r>
      <w:r w:rsidRPr="002D4081">
        <w:rPr>
          <w:rFonts w:ascii="Times New Roman" w:hAnsi="Times New Roman" w:cs="Times New Roman"/>
          <w:b/>
          <w:bCs/>
          <w:sz w:val="24"/>
          <w:szCs w:val="24"/>
        </w:rPr>
        <w:t>Psicologia: teorias e práticas em pesquisa</w:t>
      </w:r>
      <w:r w:rsidRPr="002D4081">
        <w:rPr>
          <w:rFonts w:ascii="Times New Roman" w:hAnsi="Times New Roman" w:cs="Times New Roman"/>
          <w:sz w:val="24"/>
          <w:szCs w:val="24"/>
        </w:rPr>
        <w:t xml:space="preserve"> – v. 2, 2024. DOI: 10.37885/240316067.</w:t>
      </w:r>
    </w:p>
    <w:p w14:paraId="2DE578CE" w14:textId="77777777" w:rsidR="004916C5" w:rsidRDefault="004916C5" w:rsidP="000331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A4493" w14:textId="77777777" w:rsidR="004916C5" w:rsidRDefault="004916C5" w:rsidP="0003316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916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3316D"/>
    <w:rsid w:val="00045A65"/>
    <w:rsid w:val="00045FB8"/>
    <w:rsid w:val="000B7B15"/>
    <w:rsid w:val="00193BF4"/>
    <w:rsid w:val="002824CD"/>
    <w:rsid w:val="00292396"/>
    <w:rsid w:val="002C29DB"/>
    <w:rsid w:val="002D4081"/>
    <w:rsid w:val="002F40AA"/>
    <w:rsid w:val="00342DF4"/>
    <w:rsid w:val="003668FC"/>
    <w:rsid w:val="003B3E13"/>
    <w:rsid w:val="003C038D"/>
    <w:rsid w:val="004916C5"/>
    <w:rsid w:val="004B6E1F"/>
    <w:rsid w:val="004D1554"/>
    <w:rsid w:val="004D1810"/>
    <w:rsid w:val="005351FE"/>
    <w:rsid w:val="00567584"/>
    <w:rsid w:val="005A554B"/>
    <w:rsid w:val="00615860"/>
    <w:rsid w:val="006438B1"/>
    <w:rsid w:val="00660186"/>
    <w:rsid w:val="0068769D"/>
    <w:rsid w:val="006D36CB"/>
    <w:rsid w:val="00773D54"/>
    <w:rsid w:val="00806044"/>
    <w:rsid w:val="00850BC3"/>
    <w:rsid w:val="0085627F"/>
    <w:rsid w:val="00941F25"/>
    <w:rsid w:val="00950A09"/>
    <w:rsid w:val="009B4014"/>
    <w:rsid w:val="009B5F59"/>
    <w:rsid w:val="00A821A2"/>
    <w:rsid w:val="00AB1BDC"/>
    <w:rsid w:val="00AF387F"/>
    <w:rsid w:val="00B27229"/>
    <w:rsid w:val="00BD0C00"/>
    <w:rsid w:val="00BE1E8E"/>
    <w:rsid w:val="00C537B6"/>
    <w:rsid w:val="00D76CCE"/>
    <w:rsid w:val="00DA48D2"/>
    <w:rsid w:val="00DC79A8"/>
    <w:rsid w:val="00DF34DD"/>
    <w:rsid w:val="00E00FB2"/>
    <w:rsid w:val="00E64BAF"/>
    <w:rsid w:val="00E84EAA"/>
    <w:rsid w:val="00EE4668"/>
    <w:rsid w:val="00FA4CB5"/>
    <w:rsid w:val="00FA56CA"/>
    <w:rsid w:val="00FA73C2"/>
    <w:rsid w:val="00FE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33AD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dice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iperligao">
    <w:name w:val="Hyperlink"/>
    <w:basedOn w:val="Tipodeletrapredefinidodopargrafo"/>
    <w:uiPriority w:val="99"/>
    <w:unhideWhenUsed/>
    <w:rsid w:val="002F40A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F4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maraverneque@gmail.com" TargetMode="External"/><Relationship Id="rId5" Type="http://schemas.openxmlformats.org/officeDocument/2006/relationships/hyperlink" Target="mailto:rbtolentino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1447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Roberto e Mara Tolentino</cp:lastModifiedBy>
  <cp:revision>3</cp:revision>
  <dcterms:created xsi:type="dcterms:W3CDTF">2025-09-26T22:23:00Z</dcterms:created>
  <dcterms:modified xsi:type="dcterms:W3CDTF">2025-09-26T22:26:00Z</dcterms:modified>
</cp:coreProperties>
</file>