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AA" w:rsidRDefault="00C046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2977" w:type="dxa"/>
        <w:tblInd w:w="7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</w:tblGrid>
      <w:tr w:rsidR="00C046AA">
        <w:tc>
          <w:tcPr>
            <w:tcW w:w="2977" w:type="dxa"/>
          </w:tcPr>
          <w:p w:rsidR="00C046AA" w:rsidRDefault="00124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dobe Devanagari" w:eastAsia="Adobe Devanagari" w:hAnsi="Adobe Devanagari" w:cs="Adobe Devanagari"/>
                <w:b/>
                <w:i/>
                <w:color w:val="385623"/>
                <w:sz w:val="24"/>
                <w:szCs w:val="24"/>
              </w:rPr>
            </w:pPr>
            <w:r>
              <w:rPr>
                <w:rFonts w:ascii="Adobe Devanagari" w:eastAsia="Adobe Devanagari" w:hAnsi="Adobe Devanagari" w:cs="Adobe Devanagari"/>
                <w:b/>
                <w:i/>
                <w:color w:val="385623"/>
                <w:sz w:val="24"/>
                <w:szCs w:val="24"/>
              </w:rPr>
              <w:t>Resumo simples</w:t>
            </w:r>
          </w:p>
        </w:tc>
      </w:tr>
    </w:tbl>
    <w:p w:rsidR="00C046AA" w:rsidRDefault="00C04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</w:p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</w:pPr>
      <w:bookmarkStart w:id="0" w:name="_heading=h.gjdgxs" w:colFirst="0" w:colLast="0"/>
      <w:bookmarkEnd w:id="0"/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ATIVIDADE FUNGICIDA DA NANOEMULSÃO DO ÓLEO ESSENCIAL DE </w:t>
      </w:r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 xml:space="preserve">Citrus </w:t>
      </w:r>
      <w:proofErr w:type="spellStart"/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>sinensis</w:t>
      </w:r>
      <w:proofErr w:type="spellEnd"/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(L.) </w:t>
      </w:r>
      <w:proofErr w:type="spellStart"/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>Osbeck</w:t>
      </w:r>
      <w:proofErr w:type="spellEnd"/>
    </w:p>
    <w:p w:rsidR="00C046AA" w:rsidRDefault="00C04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  <w:bookmarkStart w:id="1" w:name="_GoBack"/>
      <w:bookmarkEnd w:id="1"/>
    </w:p>
    <w:p w:rsidR="00C046AA" w:rsidRDefault="00124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João Pedro Mesquita OLIVEIRA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1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 xml:space="preserve">*; </w:t>
      </w:r>
      <w:proofErr w:type="spellStart"/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Iure</w:t>
      </w:r>
      <w:proofErr w:type="spellEnd"/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 xml:space="preserve"> Bernardino SOUSA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2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 Nilton</w:t>
      </w:r>
      <w:proofErr w:type="gramStart"/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 xml:space="preserve">  </w:t>
      </w:r>
      <w:proofErr w:type="gramEnd"/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Silva Costa  MAFRA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3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 Thayane Lopes de  SOUSA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4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 Ana Patrícia Matos  PEREIRA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5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 xml:space="preserve">; </w:t>
      </w:r>
      <w:proofErr w:type="spellStart"/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Thércia</w:t>
      </w:r>
      <w:proofErr w:type="spellEnd"/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 xml:space="preserve">  Gabrielle Teixeira  MARTINS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6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 xml:space="preserve">; Maria </w:t>
      </w:r>
      <w:proofErr w:type="spellStart"/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Giullia</w:t>
      </w:r>
      <w:proofErr w:type="spellEnd"/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 xml:space="preserve"> Alves Carneiro FELIZARDO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7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 xml:space="preserve">; Gustavo Oliveira EVERTON </w:t>
      </w:r>
      <w:r>
        <w:rPr>
          <w:rFonts w:ascii="Adobe Devanagari" w:eastAsia="Adobe Devanagari" w:hAnsi="Adobe Devanagari" w:cs="Adobe Devanagari"/>
          <w:b/>
          <w:i/>
          <w:sz w:val="24"/>
          <w:szCs w:val="24"/>
          <w:vertAlign w:val="superscript"/>
        </w:rPr>
        <w:footnoteReference w:id="8"/>
      </w:r>
      <w:r>
        <w:rPr>
          <w:rFonts w:ascii="Adobe Devanagari" w:eastAsia="Adobe Devanagari" w:hAnsi="Adobe Devanagari" w:cs="Adobe Devanagari"/>
          <w:b/>
          <w:i/>
          <w:sz w:val="24"/>
          <w:szCs w:val="24"/>
        </w:rPr>
        <w:t>;</w:t>
      </w:r>
    </w:p>
    <w:p w:rsidR="00C046AA" w:rsidRDefault="00C04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</w:p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>INTRODUÇÃO:</w:t>
      </w:r>
      <w:r>
        <w:rPr>
          <w:rFonts w:ascii="Adobe Devanagari" w:eastAsia="Adobe Devanagari" w:hAnsi="Adobe Devanagari" w:cs="Adobe Devanagari"/>
          <w:color w:val="000000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Substâncias ativas de origem vegetal, como os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monoterpenos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e suas misturas complexas - os óleos essenciais (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OE’s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) apresentam uma vari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edade de propriedades dentre as quais existem amplas de interesse biológico. Entretanto, algumas limitações relacionadas à estabilidade destas substâncias e suas </w:t>
      </w:r>
      <w:proofErr w:type="gram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misturas</w:t>
      </w:r>
      <w:proofErr w:type="gram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</w:t>
      </w:r>
      <w:proofErr w:type="gram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podem</w:t>
      </w:r>
      <w:proofErr w:type="gram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ser observadas na utilização direta de uma forma geral, como a rápida volatiliz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ação e/ou oxidação dos seus constituintes químicos.</w:t>
      </w:r>
      <w:r>
        <w:rPr>
          <w:rFonts w:ascii="Adobe Devanagari" w:eastAsia="Adobe Devanagari" w:hAnsi="Adobe Devanagari" w:cs="Adobe Devanagari"/>
          <w:color w:val="000000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As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nanoemulsões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são formas farmacêuticas aconselháveis e representam uma alternativa para utilização deste componente oleoso ao contornar suas particularidades e permitir a veiculação de moléculas de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hidr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ossolubilidade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reduzida. Além disto, apresentam um número adicional de vantagens em comparação aos sistemas convencionais relacionadas ao seu pequeno diâmetro de gotícula, como metaestabilidade, necessidade de baixas concentrações de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tensoativos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e diluição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sem perda da sua estrutura inicial.</w:t>
      </w:r>
      <w:r>
        <w:rPr>
          <w:rFonts w:ascii="Adobe Devanagari" w:eastAsia="Adobe Devanagari" w:hAnsi="Adobe Devanagari" w:cs="Adobe Devanagari"/>
          <w:color w:val="000000"/>
        </w:rPr>
        <w:t xml:space="preserve"> 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OBJETIVO: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Avaliar a atividade fungicida da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nanoemulsão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do óleo essencial (OE)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Citrus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sinensis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(L.)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Osbeck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frente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Aspergillus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niger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,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Colletotrichum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gloeosporioides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,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Penicillium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chrysogenum</w:t>
      </w:r>
      <w:proofErr w:type="spellEnd"/>
      <w:proofErr w:type="gram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.;</w:t>
      </w:r>
      <w:proofErr w:type="gramEnd"/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 MATERIAL E MÉTODOS: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Foram coletadas cascas do fruto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C.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sinensis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em São Luís (MA), posteriormente secas, trituradas e moídas. Foram utilizadas 100g das cascas secas para obtenção do OE pelo método de hidrodestilação. A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nanoemulsão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óleo-em-água foi formulada com cada óleo, 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urfactante não iônico (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tween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20) e água. A concentração de óleo (5% v/v) foi fixada para a formulação. As quantidades necessárias de cada constituinte da fase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lastRenderedPageBreak/>
        <w:t>oleosa (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óleo+Tween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20) foram aquecidas a 65 ± 5 °C. A fase aquosa foi aquecida separadamente a 65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± 5 °C, adicionada suavemente e misturada com a fase oleosa, proporcionando uma formulação primária, pelo método de inversão de fases. A homogeneização final foi conseguida utilizando um agitador magnético, no qual a formulação permaneceu em agitação cons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tante a 6000 </w:t>
      </w:r>
      <w:proofErr w:type="gram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rpm</w:t>
      </w:r>
      <w:proofErr w:type="gram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, até atingir a redução da temperatura para 25 ºC ± 2 ºC. A atividade fungicida foi executada segundo as técnicas do CLSI (2020) que padroniza os testes de Diluição em Caldo para determinação da Concentração Inibitória Mínima (CIM) e Concen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tração Fungicida Mínima (CFM). Foram utilizadas suspensões padronizadas de cepas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Aspergillus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niger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(ATCC 6275),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Colletotrichum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gloeosporioides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(ATCC 96723),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Penicillium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chrysogenum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(ATCC 10106)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em Ágar </w:t>
      </w:r>
      <w:proofErr w:type="spellStart"/>
      <w:r>
        <w:rPr>
          <w:rFonts w:ascii="Adobe Devanagari" w:eastAsia="Adobe Devanagari" w:hAnsi="Adobe Devanagari" w:cs="Adobe Devanagari"/>
          <w:sz w:val="28"/>
          <w:szCs w:val="28"/>
        </w:rPr>
        <w:t>Sabouraud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Dextrose e Caldo BHI, RPMI e MH. 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>RESULTADOS: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A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nanoemulsão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possui atividade fungicida frente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a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niger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, C.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gloeosporioides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, P.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chrysogenum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. A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nanoemulsão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foi mais eficiente frente a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P.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chrysogenum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quando comparado a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niger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e C.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gloeosporioides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. O valor da CIM do OE frente às cepas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A.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niger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, C.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gloeosporioides</w:t>
      </w:r>
      <w:proofErr w:type="spellEnd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e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P.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chrysogenum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foram, respectivamente, de 0,25, 0,21 e 0,20 </w:t>
      </w:r>
      <w:proofErr w:type="gram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mg</w:t>
      </w:r>
      <w:proofErr w:type="gram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mL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perscript"/>
        </w:rPr>
        <w:t>-1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. A CFM demonstrou ação fungicida a partir de 0,10 </w:t>
      </w:r>
      <w:proofErr w:type="gram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mg</w:t>
      </w:r>
      <w:proofErr w:type="gram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mL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perscript"/>
        </w:rPr>
        <w:t>-1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frente a </w:t>
      </w:r>
      <w:r>
        <w:rPr>
          <w:rFonts w:ascii="Adobe Devanagari" w:eastAsia="Adobe Devanagari" w:hAnsi="Adobe Devanagari" w:cs="Adobe Devanagari"/>
          <w:i/>
          <w:sz w:val="28"/>
          <w:szCs w:val="28"/>
        </w:rPr>
        <w:t>Penicillium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sp., 0,14 mg mL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perscript"/>
        </w:rPr>
        <w:t>-1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frente a 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C. </w:t>
      </w:r>
      <w:proofErr w:type="spellStart"/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gloeosporioides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, enquanto ação a partir de 0,15 µg mL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perscript"/>
        </w:rPr>
        <w:t>-1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para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A. niger.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>; CONSIDERAÇÕES FINAIS: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Os resultados encontrados </w:t>
      </w:r>
      <w:r>
        <w:rPr>
          <w:rFonts w:ascii="Adobe Devanagari" w:eastAsia="Adobe Devanagari" w:hAnsi="Adobe Devanagari" w:cs="Adobe Devanagari"/>
          <w:sz w:val="28"/>
          <w:szCs w:val="28"/>
        </w:rPr>
        <w:t>demonstraram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-se satisfatórios frente a todos os microrganismos testados. A ação de inibição </w:t>
      </w:r>
      <w:proofErr w:type="spellStart"/>
      <w:r>
        <w:rPr>
          <w:rFonts w:ascii="Adobe Devanagari" w:eastAsia="Adobe Devanagari" w:hAnsi="Adobe Devanagari" w:cs="Adobe Devanagari"/>
          <w:sz w:val="28"/>
          <w:szCs w:val="28"/>
        </w:rPr>
        <w:t>fúngica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está relacionada aos constituintes químicos majoritários presente neste OE, incentivando su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a aplicação e produção como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nanoemulsão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fungicida.</w:t>
      </w:r>
    </w:p>
    <w:p w:rsidR="00C046AA" w:rsidRDefault="00C04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</w:p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PALAVRAS-CHAVE: </w:t>
      </w:r>
      <w:proofErr w:type="spellStart"/>
      <w:r>
        <w:rPr>
          <w:rFonts w:ascii="Adobe Devanagari" w:eastAsia="Adobe Devanagari" w:hAnsi="Adobe Devanagari" w:cs="Adobe Devanagari"/>
          <w:sz w:val="28"/>
          <w:szCs w:val="28"/>
        </w:rPr>
        <w:t>Nanoemulsão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; Fungicida; </w:t>
      </w:r>
      <w:proofErr w:type="spellStart"/>
      <w:r>
        <w:rPr>
          <w:rFonts w:ascii="Adobe Devanagari" w:eastAsia="Adobe Devanagari" w:hAnsi="Adobe Devanagari" w:cs="Adobe Devanagari"/>
          <w:sz w:val="28"/>
          <w:szCs w:val="28"/>
        </w:rPr>
        <w:t>H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idrossolubilidade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;</w:t>
      </w:r>
    </w:p>
    <w:p w:rsidR="00C046AA" w:rsidRDefault="00C04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</w:p>
    <w:sectPr w:rsidR="00C046AA">
      <w:headerReference w:type="default" r:id="rId8"/>
      <w:footerReference w:type="default" r:id="rId9"/>
      <w:pgSz w:w="11906" w:h="16838"/>
      <w:pgMar w:top="1134" w:right="1134" w:bottom="1418" w:left="1134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FE" w:rsidRDefault="00124EFE">
      <w:pPr>
        <w:spacing w:after="0" w:line="240" w:lineRule="auto"/>
      </w:pPr>
      <w:r>
        <w:separator/>
      </w:r>
    </w:p>
  </w:endnote>
  <w:endnote w:type="continuationSeparator" w:id="0">
    <w:p w:rsidR="00124EFE" w:rsidRDefault="0012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AA" w:rsidRDefault="00124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-272565</wp:posOffset>
          </wp:positionV>
          <wp:extent cx="7825740" cy="872490"/>
          <wp:effectExtent l="0" t="0" r="0" b="0"/>
          <wp:wrapSquare wrapText="bothSides" distT="0" distB="0" distL="0" distR="0"/>
          <wp:docPr id="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2150" b="2416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FE" w:rsidRDefault="00124EFE">
      <w:pPr>
        <w:spacing w:after="0" w:line="240" w:lineRule="auto"/>
      </w:pPr>
      <w:r>
        <w:separator/>
      </w:r>
    </w:p>
  </w:footnote>
  <w:footnote w:type="continuationSeparator" w:id="0">
    <w:p w:rsidR="00124EFE" w:rsidRDefault="00124EFE">
      <w:pPr>
        <w:spacing w:after="0" w:line="240" w:lineRule="auto"/>
      </w:pPr>
      <w:r>
        <w:continuationSeparator/>
      </w:r>
    </w:p>
  </w:footnote>
  <w:footnote w:id="1"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>* autor correspondente; Universidade Federal do Maranhão; joao-p01@live.com;</w:t>
      </w:r>
    </w:p>
  </w:footnote>
  <w:footnote w:id="2"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iurebdes@gmail.com;</w:t>
      </w:r>
    </w:p>
  </w:footnote>
  <w:footnote w:id="3"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nilton.mafra@hotmail.com;</w:t>
      </w:r>
    </w:p>
  </w:footnote>
  <w:footnote w:id="4"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thay33@gmail.com;</w:t>
      </w:r>
    </w:p>
  </w:footnote>
  <w:footnote w:id="5"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ap.matos11@hotmail.com;</w:t>
      </w:r>
    </w:p>
  </w:footnote>
  <w:footnote w:id="6"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thercia.martins@hotmail.com;</w:t>
      </w:r>
    </w:p>
  </w:footnote>
  <w:footnote w:id="7"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Giullia.73@hotmail.com;</w:t>
      </w:r>
    </w:p>
  </w:footnote>
  <w:footnote w:id="8">
    <w:p w:rsidR="00C046AA" w:rsidRDefault="00124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dobe Devanagari" w:eastAsia="Adobe Devanagari" w:hAnsi="Adobe Devanagari" w:cs="Adobe Devanagari"/>
          <w:color w:val="000000"/>
          <w:sz w:val="16"/>
          <w:szCs w:val="16"/>
        </w:rPr>
        <w:t xml:space="preserve"> Universidade Federal Do Maranhão; gustavooliveiraeverton@gmail.com;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AA" w:rsidRDefault="00124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-90169</wp:posOffset>
          </wp:positionV>
          <wp:extent cx="7825740" cy="2125345"/>
          <wp:effectExtent l="0" t="0" r="0" b="0"/>
          <wp:wrapSquare wrapText="bothSides" distT="0" distB="0" distL="114300" distR="114300"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102" b="2598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46AA"/>
    <w:rsid w:val="00124EFE"/>
    <w:rsid w:val="00262FF4"/>
    <w:rsid w:val="0082543B"/>
    <w:rsid w:val="00836DE4"/>
    <w:rsid w:val="00C0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7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32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7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32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FxoUle3tvdENt4sA10hW54EFwA==">AMUW2mXsrowWLCBTMH8DYjinrGpQo1Bs3ZzFbG+BFw8eACYMXqmQcKm/18Eg/2iw1kdb/qY8lldl7PP8kHTgGP+iWxWyMy93eSkreEs9ee+dPmKUtfU5IKItr7W6NAd3WmLkjY5jBQlv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 Oliveira</cp:lastModifiedBy>
  <cp:revision>2</cp:revision>
  <dcterms:created xsi:type="dcterms:W3CDTF">2020-11-27T19:16:00Z</dcterms:created>
  <dcterms:modified xsi:type="dcterms:W3CDTF">2020-11-27T19:16:00Z</dcterms:modified>
</cp:coreProperties>
</file>