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A343" w14:textId="77777777" w:rsidR="003649C8" w:rsidRPr="00BE2BC7" w:rsidRDefault="00F65A4D" w:rsidP="003649C8">
      <w:pPr>
        <w:spacing w:line="360" w:lineRule="auto"/>
        <w:jc w:val="center"/>
        <w:rPr>
          <w:rStyle w:val="oypena"/>
          <w:rFonts w:ascii="Times New Roman" w:hAnsi="Times New Roman" w:cs="Times New Roman"/>
          <w:b/>
          <w:bCs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9C8" w:rsidRPr="00BE2BC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67F152F" wp14:editId="145C8FB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9C8" w:rsidRPr="00BE2BC7">
        <w:rPr>
          <w:rFonts w:ascii="Times New Roman" w:hAnsi="Times New Roman" w:cs="Times New Roman"/>
          <w:b/>
          <w:bCs/>
          <w:sz w:val="28"/>
          <w:szCs w:val="28"/>
        </w:rPr>
        <w:t>A IMPORTÂNCIA DO DIAGNÓSTICO PRECOCE DA CRIPTORQUIDIA</w:t>
      </w:r>
    </w:p>
    <w:p w14:paraId="1878059F" w14:textId="71DDE6F6" w:rsidR="0095199E" w:rsidRDefault="003649C8" w:rsidP="003649C8">
      <w:pPr>
        <w:pStyle w:val="cvgsua"/>
        <w:spacing w:before="0" w:beforeAutospacing="0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          Rafaella Francisca Borges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CA40B8">
          <w:rPr>
            <w:rStyle w:val="Hyperlink"/>
            <w:rFonts w:eastAsiaTheme="majorEastAsia"/>
            <w:sz w:val="20"/>
            <w:szCs w:val="20"/>
          </w:rPr>
          <w:t>rafaborges041298@gmail.com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699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331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-0</w:t>
      </w:r>
      <w:r>
        <w:rPr>
          <w:rStyle w:val="oypena"/>
          <w:rFonts w:eastAsiaTheme="majorEastAsia"/>
          <w:color w:val="000000"/>
          <w:sz w:val="20"/>
          <w:szCs w:val="20"/>
        </w:rPr>
        <w:t>5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1107934C" w:rsidR="000B7CCC" w:rsidRDefault="003649C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Gustavo Lustosa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Eloi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de Freitas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CA40B8">
          <w:rPr>
            <w:rStyle w:val="Hyperlink"/>
            <w:rFonts w:eastAsiaTheme="majorEastAsia"/>
            <w:sz w:val="20"/>
            <w:szCs w:val="20"/>
          </w:rPr>
          <w:t>gustavolustosa0@gmail.com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070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935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701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-00)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AAA95E9" w14:textId="58F7B315" w:rsidR="003649C8" w:rsidRDefault="003649C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Luisa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Veras Cordeiro da Cunha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CA40B8">
          <w:rPr>
            <w:rStyle w:val="Hyperlink"/>
            <w:rFonts w:eastAsiaTheme="majorEastAsia"/>
            <w:sz w:val="20"/>
            <w:szCs w:val="20"/>
          </w:rPr>
          <w:t>luisaveras2003@hotmail.com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(702.908.951-03);</w:t>
      </w:r>
    </w:p>
    <w:p w14:paraId="2FC3CCDA" w14:textId="7853731D" w:rsidR="003649C8" w:rsidRDefault="003649C8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Wilson Pereira do Nascimento Júnior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0" w:history="1">
        <w:r w:rsidRPr="00CA40B8">
          <w:rPr>
            <w:rStyle w:val="Hyperlink"/>
            <w:rFonts w:eastAsiaTheme="majorEastAsia"/>
            <w:sz w:val="20"/>
            <w:szCs w:val="20"/>
          </w:rPr>
          <w:t>wpnj1396@gmail.com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845725">
        <w:rPr>
          <w:rStyle w:val="oypena"/>
          <w:rFonts w:eastAsiaTheme="majorEastAsia"/>
          <w:color w:val="000000"/>
          <w:sz w:val="20"/>
          <w:szCs w:val="20"/>
        </w:rPr>
        <w:t>CPF (700.981.051-67);</w:t>
      </w:r>
    </w:p>
    <w:p w14:paraId="34741446" w14:textId="283D0469" w:rsidR="00845725" w:rsidRDefault="00845725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Iasmim Linhares da Silva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CA40B8">
          <w:rPr>
            <w:rStyle w:val="Hyperlink"/>
            <w:rFonts w:eastAsiaTheme="majorEastAsia"/>
            <w:sz w:val="20"/>
            <w:szCs w:val="20"/>
          </w:rPr>
          <w:t>iasmimlinharess@gmail.com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(064.019.661-65);</w:t>
      </w:r>
    </w:p>
    <w:p w14:paraId="1E145041" w14:textId="62560D49" w:rsidR="00C2307E" w:rsidRPr="0095199E" w:rsidRDefault="00845725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Ludmila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Pavlik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Haddad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2" w:history="1">
        <w:r w:rsidRPr="00CA40B8">
          <w:rPr>
            <w:rStyle w:val="Hyperlink"/>
            <w:rFonts w:eastAsiaTheme="majorEastAsia"/>
            <w:sz w:val="20"/>
            <w:szCs w:val="20"/>
          </w:rPr>
          <w:t>ludhaddad@gmail.com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976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097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.0</w:t>
      </w:r>
      <w:r>
        <w:rPr>
          <w:rStyle w:val="oypena"/>
          <w:rFonts w:eastAsiaTheme="majorEastAsia"/>
          <w:color w:val="000000"/>
          <w:sz w:val="20"/>
          <w:szCs w:val="20"/>
        </w:rPr>
        <w:t>61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91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CC71C5D" w14:textId="77777777" w:rsidR="00845725" w:rsidRPr="00845725" w:rsidRDefault="00845725" w:rsidP="00845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72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845725">
        <w:rPr>
          <w:rFonts w:ascii="Times New Roman" w:hAnsi="Times New Roman" w:cs="Times New Roman"/>
          <w:sz w:val="24"/>
          <w:szCs w:val="24"/>
        </w:rPr>
        <w:t xml:space="preserve"> A Criptorquidia é uma condição clínica na qual os testículos não descem adequadamente para a bolsa testicular, uma das mais comuns malformações da genitália masculina na infância, sendo possível uma resolução espontânea até o primeiro ano de vida. Caso não haja uma resolução natural, é indicado a correção cirúrgica (</w:t>
      </w:r>
      <w:proofErr w:type="spellStart"/>
      <w:r w:rsidRPr="00845725">
        <w:rPr>
          <w:rFonts w:ascii="Times New Roman" w:hAnsi="Times New Roman" w:cs="Times New Roman"/>
          <w:sz w:val="24"/>
          <w:szCs w:val="24"/>
        </w:rPr>
        <w:t>orquidopexia</w:t>
      </w:r>
      <w:proofErr w:type="spellEnd"/>
      <w:r w:rsidRPr="00845725">
        <w:rPr>
          <w:rFonts w:ascii="Times New Roman" w:hAnsi="Times New Roman" w:cs="Times New Roman"/>
          <w:sz w:val="24"/>
          <w:szCs w:val="24"/>
        </w:rPr>
        <w:t>) o mais cedo possível, de modo a prevenir complicações a longo prazo como infertilidade, hérnia inguinal, hipogonadismo e câncer de testículo.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84572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845725">
        <w:rPr>
          <w:rFonts w:ascii="Times New Roman" w:hAnsi="Times New Roman" w:cs="Times New Roman"/>
          <w:sz w:val="24"/>
          <w:szCs w:val="24"/>
        </w:rPr>
        <w:t xml:space="preserve"> Analisar a importância do diagnóstico precoce da criptorquidia.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84572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845725">
        <w:rPr>
          <w:rFonts w:ascii="Times New Roman" w:hAnsi="Times New Roman" w:cs="Times New Roman"/>
          <w:sz w:val="24"/>
          <w:szCs w:val="24"/>
        </w:rPr>
        <w:t xml:space="preserve">Trata-se de uma revisão integrativa da literatura que visa responder à pergunta norteadora: “Qual a importância do diagnóstico precoce da criptorquidia?”. Para o levantamento de artigos, realizou-se uma busca na base de dados </w:t>
      </w:r>
      <w:proofErr w:type="spellStart"/>
      <w:r w:rsidRPr="0084572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84572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4572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845725">
        <w:rPr>
          <w:rFonts w:ascii="Times New Roman" w:hAnsi="Times New Roman" w:cs="Times New Roman"/>
          <w:sz w:val="24"/>
          <w:szCs w:val="24"/>
        </w:rPr>
        <w:t xml:space="preserve">, por meio dos descritores em Ciências da Saúde: “Criptorquidia”; “Malformação Testicular” e “Neoplasias Testiculares”. Os critérios de inclusão foram: artigos de revisão e publicados entre 2020 e 2024. Foram selecionados 3 artigos para o presente estudo. 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84572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845725">
        <w:rPr>
          <w:rFonts w:ascii="Times New Roman" w:hAnsi="Times New Roman" w:cs="Times New Roman"/>
          <w:sz w:val="24"/>
          <w:szCs w:val="24"/>
        </w:rPr>
        <w:t xml:space="preserve">Observou-se que após o diagnóstico precoce com identificação histológica e realização da </w:t>
      </w:r>
      <w:proofErr w:type="spellStart"/>
      <w:r w:rsidRPr="00845725">
        <w:rPr>
          <w:rFonts w:ascii="Times New Roman" w:hAnsi="Times New Roman" w:cs="Times New Roman"/>
          <w:sz w:val="24"/>
          <w:szCs w:val="24"/>
        </w:rPr>
        <w:t>orquidopexia</w:t>
      </w:r>
      <w:proofErr w:type="spellEnd"/>
      <w:r w:rsidRPr="00845725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845725">
        <w:rPr>
          <w:rFonts w:ascii="Times New Roman" w:hAnsi="Times New Roman" w:cs="Times New Roman"/>
          <w:sz w:val="24"/>
          <w:szCs w:val="24"/>
        </w:rPr>
        <w:t>orquiectomia</w:t>
      </w:r>
      <w:proofErr w:type="spellEnd"/>
      <w:r w:rsidRPr="00845725">
        <w:rPr>
          <w:rFonts w:ascii="Times New Roman" w:hAnsi="Times New Roman" w:cs="Times New Roman"/>
          <w:sz w:val="24"/>
          <w:szCs w:val="24"/>
        </w:rPr>
        <w:t xml:space="preserve"> dependendo do caso, a sobrevida nos próximos cinco anos (97%) indica um ótimo prognóstico. No entanto, o diagnóstico tardio confere um tratamento mais agressivo com dissecção de linfonodos retroperitoneais, radioterapia e quimioterapia a depender do estadiamento histopatológico e identificação de focos metastáticos. </w:t>
      </w:r>
      <w:r w:rsidRPr="00845725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84572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845725">
        <w:rPr>
          <w:rFonts w:ascii="Times New Roman" w:hAnsi="Times New Roman" w:cs="Times New Roman"/>
          <w:sz w:val="24"/>
          <w:szCs w:val="24"/>
        </w:rPr>
        <w:t>Dessa forma, para se obter uma diminuição da ocorrência dos cânceres de testículo, é de extrema importância para a saúde a pesquisa sobre suas causas e fatores de risco, uma vez que o diagnóstico precoce é fundamental para seu controle. Além disso, ressalta-se a importância da avaliação precoce da criptorquidia feita por um cirurgião pediátrico, sendo a correção cirúrgica necessária para evitar os efeitos nefastos a longo prazo como a infertilidade e o maior risco de câncer.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CC4A2E8" w14:textId="77777777" w:rsidR="00845725" w:rsidRPr="004428B6" w:rsidRDefault="00845725" w:rsidP="00845725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CD0727">
        <w:rPr>
          <w:rFonts w:ascii="Times New Roman" w:hAnsi="Times New Roman" w:cs="Times New Roman"/>
          <w:sz w:val="24"/>
          <w:szCs w:val="24"/>
        </w:rPr>
        <w:t>“Criptorquidia”; “Malformação Testicular”; “Neoplasias Testiculares”.</w:t>
      </w:r>
    </w:p>
    <w:p w14:paraId="70051C97" w14:textId="194EBD66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2C97F9" w14:textId="77777777" w:rsidR="00845725" w:rsidRPr="00CD0727" w:rsidRDefault="00845725" w:rsidP="0084572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A4FD9">
        <w:rPr>
          <w:rFonts w:ascii="Times New Roman" w:hAnsi="Times New Roman" w:cs="Times New Roman"/>
          <w:sz w:val="24"/>
          <w:szCs w:val="24"/>
        </w:rPr>
        <w:t>Referência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0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CRUZ NETO, J. S. </w:t>
      </w:r>
      <w:r w:rsidRPr="00CD072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</w:t>
      </w:r>
      <w:r w:rsidRPr="00CD0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CRIPTORQUIDIA: UMA REVISÃO SISTEMÁTICA DA LITERATURA DE 2002 A 2012. </w:t>
      </w:r>
      <w:r w:rsidRPr="00CD072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de Cultura e Ciência</w:t>
      </w:r>
      <w:r w:rsidRPr="00CD0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12, n. 2, p. 44-65, 2013.</w:t>
      </w:r>
    </w:p>
    <w:p w14:paraId="29CF16FB" w14:textId="77777777" w:rsidR="00845725" w:rsidRPr="006A4FD9" w:rsidRDefault="00845725" w:rsidP="00845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167C4" w14:textId="77777777" w:rsidR="00845725" w:rsidRPr="00CD0727" w:rsidRDefault="00845725" w:rsidP="00845725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A4FD9">
        <w:rPr>
          <w:rFonts w:ascii="Times New Roman" w:hAnsi="Times New Roman" w:cs="Times New Roman"/>
          <w:sz w:val="24"/>
          <w:szCs w:val="24"/>
        </w:rPr>
        <w:t>Referência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D0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Souza, K. W. D., </w:t>
      </w:r>
      <w:r w:rsidRPr="00CD072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et al.</w:t>
      </w:r>
      <w:r w:rsidRPr="00CD0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Estratégias de prevenção para câncer de testículo e pênis: revisão integrativa. </w:t>
      </w:r>
      <w:r w:rsidRPr="00CD072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da Escola de Enfermagem da USP</w:t>
      </w:r>
      <w:r w:rsidRPr="00CD07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45, p. 277-282, 2011.</w:t>
      </w:r>
    </w:p>
    <w:p w14:paraId="18E66FBF" w14:textId="77777777" w:rsidR="00845725" w:rsidRPr="006A4FD9" w:rsidRDefault="00845725" w:rsidP="00845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9A5F0" w14:textId="77777777" w:rsidR="00845725" w:rsidRPr="00CD0727" w:rsidRDefault="00845725" w:rsidP="00845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D9">
        <w:rPr>
          <w:rFonts w:ascii="Times New Roman" w:hAnsi="Times New Roman" w:cs="Times New Roman"/>
          <w:sz w:val="24"/>
          <w:szCs w:val="24"/>
        </w:rPr>
        <w:t>Referência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PORTO,  </w:t>
      </w:r>
      <w:proofErr w:type="spellStart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>Celmo</w:t>
      </w:r>
      <w:proofErr w:type="spellEnd"/>
      <w:proofErr w:type="gramEnd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>Celeno</w:t>
      </w:r>
      <w:proofErr w:type="spellEnd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>Semiologia  Médica</w:t>
      </w:r>
      <w:proofErr w:type="gramEnd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7.ed.  </w:t>
      </w:r>
      <w:proofErr w:type="gramStart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>Rio  de</w:t>
      </w:r>
      <w:proofErr w:type="gramEnd"/>
      <w:r w:rsidRPr="00CD0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Janeiro:  Guanabara  Koogan, 2014. 932p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8C92A3" w14:textId="0A0C86D5" w:rsidR="006A4FD9" w:rsidRPr="005474FB" w:rsidRDefault="006A4FD9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79A7" w14:textId="77777777" w:rsidR="00090A90" w:rsidRDefault="00090A90" w:rsidP="00F65A4D">
      <w:pPr>
        <w:spacing w:after="0" w:line="240" w:lineRule="auto"/>
      </w:pPr>
      <w:r>
        <w:separator/>
      </w:r>
    </w:p>
  </w:endnote>
  <w:endnote w:type="continuationSeparator" w:id="0">
    <w:p w14:paraId="5607FB8D" w14:textId="77777777" w:rsidR="00090A90" w:rsidRDefault="00090A90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A560F" w14:textId="77777777" w:rsidR="00090A90" w:rsidRDefault="00090A90" w:rsidP="00F65A4D">
      <w:pPr>
        <w:spacing w:after="0" w:line="240" w:lineRule="auto"/>
      </w:pPr>
      <w:r>
        <w:separator/>
      </w:r>
    </w:p>
  </w:footnote>
  <w:footnote w:type="continuationSeparator" w:id="0">
    <w:p w14:paraId="7EE8F49B" w14:textId="77777777" w:rsidR="00090A90" w:rsidRDefault="00090A90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90A90"/>
    <w:rsid w:val="000B7CCC"/>
    <w:rsid w:val="000E1963"/>
    <w:rsid w:val="001C18DA"/>
    <w:rsid w:val="0025714E"/>
    <w:rsid w:val="0029122E"/>
    <w:rsid w:val="002B0246"/>
    <w:rsid w:val="003649C8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5725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lustosa0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rafaborges041298@gmail.com" TargetMode="External"/><Relationship Id="rId12" Type="http://schemas.openxmlformats.org/officeDocument/2006/relationships/hyperlink" Target="mailto:ludhaddad@gmail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iasmimlinharess@gmail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wpnj1396@gmail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uisaveras2003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Rafaella Borges</cp:lastModifiedBy>
  <cp:revision>2</cp:revision>
  <dcterms:created xsi:type="dcterms:W3CDTF">2024-08-04T18:23:00Z</dcterms:created>
  <dcterms:modified xsi:type="dcterms:W3CDTF">2024-08-04T18:23:00Z</dcterms:modified>
</cp:coreProperties>
</file>