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5508" w14:textId="56B018BA" w:rsidR="00031663" w:rsidRPr="00031663" w:rsidRDefault="004C2669" w:rsidP="000316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A8E">
        <w:rPr>
          <w:rFonts w:ascii="Times New Roman" w:eastAsia="Times New Roman" w:hAnsi="Times New Roman" w:cs="Times New Roman"/>
          <w:b/>
          <w:bCs/>
          <w:sz w:val="28"/>
          <w:szCs w:val="28"/>
        </w:rPr>
        <w:t>MONITORIZAÇÃO INVASIVA DA PRESSÃO ARTERIAL</w:t>
      </w:r>
      <w:r w:rsidR="00976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SUA </w:t>
      </w:r>
      <w:r w:rsidRPr="002F2A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EFICIÊNCIA </w:t>
      </w:r>
      <w:r w:rsidR="00031663">
        <w:rPr>
          <w:rFonts w:ascii="Times New Roman" w:eastAsia="Times New Roman" w:hAnsi="Times New Roman" w:cs="Times New Roman"/>
          <w:b/>
          <w:bCs/>
          <w:sz w:val="28"/>
          <w:szCs w:val="28"/>
        </w:rPr>
        <w:t>NA INSTABILIDADE HEMODINÂMICA</w:t>
      </w:r>
    </w:p>
    <w:p w14:paraId="0703434B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23393FA2" w14:textId="28CBE90D" w:rsidR="00855E8B" w:rsidRPr="00855E8B" w:rsidRDefault="00F44BDE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Nicoly Dantas Peronico Ferreira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4A196FAD" w14:textId="6E7BE4D1" w:rsidR="00130967" w:rsidRDefault="00130967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Ana Júlia </w:t>
      </w:r>
      <w:r w:rsidR="003875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Oliveira Silva – Centro Universitário de Patos – UNIFIP,</w:t>
      </w:r>
      <w:r w:rsidR="00833A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Patos, Paraíba, Brasil.</w:t>
      </w:r>
    </w:p>
    <w:p w14:paraId="60143B9E" w14:textId="6508E53F" w:rsidR="00833A1B" w:rsidRPr="00855E8B" w:rsidRDefault="00FB0704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Érica Surama Ribeiro César Alves – Centro Universitário de Patos – UNIFIP, Patos, </w:t>
      </w:r>
      <w:r w:rsidR="00FD1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Paraíba, Brasil.</w:t>
      </w:r>
    </w:p>
    <w:p w14:paraId="4DB86FE2" w14:textId="77777777" w:rsidR="00855E8B" w:rsidRPr="00855E8B" w:rsidRDefault="00855E8B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A8FD61" w14:textId="431BDAD2" w:rsidR="00855E8B" w:rsidRPr="00855E8B" w:rsidRDefault="00855E8B" w:rsidP="00855E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EB4B4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Cateterismo periférico, Pressão arterial, Paciente crítico.</w:t>
      </w:r>
    </w:p>
    <w:p w14:paraId="690D48A1" w14:textId="03F7E340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402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Pacientes em cuidados críticos.</w:t>
      </w:r>
    </w:p>
    <w:p w14:paraId="3DA832E3" w14:textId="46DDF2B7" w:rsidR="00855E8B" w:rsidRPr="00FE5878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4BDE" w:rsidRPr="00FE5878">
        <w:rPr>
          <w:rFonts w:ascii="Times New Roman" w:hAnsi="Times New Roman" w:cs="Times New Roman"/>
        </w:rPr>
        <w:t>nicolyferreira@enf.fiponline.edu.br</w:t>
      </w:r>
    </w:p>
    <w:p w14:paraId="78B5059A" w14:textId="77777777" w:rsidR="00855E8B" w:rsidRDefault="00855E8B" w:rsidP="00855E8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191F8CA4" w14:textId="79305726" w:rsidR="00F44BDE" w:rsidRPr="00855E8B" w:rsidRDefault="00F44BDE" w:rsidP="00F44BDE">
      <w:pPr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8EE48A8" w14:textId="4B98F765" w:rsidR="0004133F" w:rsidRPr="0004133F" w:rsidRDefault="0004133F" w:rsidP="0004133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1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aferição da pressão arterial (PA) é uma etapa obrigatória na avaliação hemodinâmica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41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 pacientes, fornecendo informações essenciais sobre o desempenho cardiovascular e 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41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perfusão periférica, desse modo, independentemente da condição clínica, a monitorização deve ser a mais precisa possível. Por esse motivo, a medição invasiva da pressão arterial (PAI), por meio da canulação de uma artéria, é o método mais utilizado para monitorização contínua e análise dos gases sanguíneos em pacientes gravemente enfermos ou submetidos a cirurgias de grande porte (</w:t>
      </w:r>
      <w:r w:rsidR="00A30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Antonelli </w:t>
      </w:r>
      <w:r w:rsidR="00A30AEF" w:rsidRPr="00776CD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A30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2006; Andrews </w:t>
      </w:r>
      <w:r w:rsidR="00A30AEF" w:rsidRPr="00120FD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A30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2006; Lehman </w:t>
      </w:r>
      <w:r w:rsidR="00A30AEF" w:rsidRPr="00120FD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A30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2013</w:t>
      </w:r>
      <w:r w:rsidR="008D1E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041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Kiberengue</w:t>
      </w:r>
      <w:proofErr w:type="spellEnd"/>
      <w:r w:rsidRPr="00041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20FD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041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2018).</w:t>
      </w:r>
    </w:p>
    <w:p w14:paraId="7964C40D" w14:textId="239A9FD3" w:rsidR="00855E8B" w:rsidRDefault="0004133F" w:rsidP="0004133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41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Esse método é comumente utilizado em unidades de terapia intensiva (UTI) para a monitorização hemodinâmica minimamente invasiva. Ele oferece medições precisas e contínuas da PA e da frequência cardíaca, sendo essencial em cenários de alta complexidade. Em contraste com os métodos não invasivos, que podem ser influenciados por fatores externos, como o movimento do paciente ou a baixa perfusão, a PAI fornece dados confiáveis, vitais para o manejo adequado de situações de instabilidade hemodinâmica (</w:t>
      </w:r>
      <w:r w:rsidR="008D1E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Nunes </w:t>
      </w:r>
      <w:r w:rsidR="008D1EB1" w:rsidRPr="00A432D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8D1E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2020;</w:t>
      </w:r>
      <w:r w:rsidR="00444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44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Frezza</w:t>
      </w:r>
      <w:proofErr w:type="spellEnd"/>
      <w:r w:rsidR="00444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4E32" w:rsidRPr="00A432D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444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1998; </w:t>
      </w:r>
      <w:proofErr w:type="spellStart"/>
      <w:r w:rsidR="00444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Lorente</w:t>
      </w:r>
      <w:proofErr w:type="spellEnd"/>
      <w:r w:rsidR="00444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4E32" w:rsidRPr="00A432D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444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2006;</w:t>
      </w:r>
      <w:r w:rsidR="008D1E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41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Cecconi </w:t>
      </w:r>
      <w:r w:rsidRPr="00A432D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041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2014).</w:t>
      </w:r>
    </w:p>
    <w:p w14:paraId="6143A9E2" w14:textId="1E1397C4" w:rsidR="006E5266" w:rsidRDefault="00E54F86" w:rsidP="00E54F8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 entanto</w:t>
      </w:r>
      <w:r w:rsidR="006E5266" w:rsidRPr="006E52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este procedimento</w:t>
      </w:r>
      <w:r w:rsidR="006E5266" w:rsidRPr="006E52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pode ter uma alta taxa de falhas, que podem ser causadas por diversos fatores, como o ponto de punção inadequado ou a variação anatômica da artéria. O método convencional para localizar a artéria radial baseia-se em </w:t>
      </w:r>
      <w:r w:rsidR="006E5266" w:rsidRPr="006E52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referências anatômicas, mas fatores como hipotensão severa, obesidade mórbida, edema e aterosclerose podem dificultar a inserção do dispositivo por meio da palpação arterial. Para aumentar as taxas de sucesso, é preferível o uso da ultrassonografia, que facilita a localização arterial e aumenta as chances de sucesso na primeira tentativa de punção (</w:t>
      </w:r>
      <w:r w:rsidR="003416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Jung </w:t>
      </w:r>
      <w:r w:rsidR="0034166C" w:rsidRPr="008A239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3416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2021; Nakayama </w:t>
      </w:r>
      <w:r w:rsidR="0034166C" w:rsidRPr="008A239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3416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2014; </w:t>
      </w:r>
      <w:r w:rsidR="006E5266" w:rsidRPr="006E52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Shiloh </w:t>
      </w:r>
      <w:r w:rsidR="006E5266" w:rsidRPr="008A239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6E5266" w:rsidRPr="006E52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2011; Shiloh </w:t>
      </w:r>
      <w:r w:rsidR="006E5266" w:rsidRPr="008A239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6E5266" w:rsidRPr="006E52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2020)</w:t>
      </w:r>
      <w:r w:rsidR="00687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9F859F1" w14:textId="77777777" w:rsidR="00C64907" w:rsidRPr="00C64907" w:rsidRDefault="00855E8B" w:rsidP="00C64907">
      <w:pPr>
        <w:pStyle w:val="PargrafodaLista"/>
        <w:numPr>
          <w:ilvl w:val="0"/>
          <w:numId w:val="2"/>
        </w:numPr>
        <w:tabs>
          <w:tab w:val="left" w:pos="709"/>
        </w:tabs>
        <w:spacing w:line="36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387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MÉTODO</w:t>
      </w:r>
    </w:p>
    <w:p w14:paraId="6FEB7B3E" w14:textId="50B64B86" w:rsidR="0068352C" w:rsidRPr="004B10AA" w:rsidRDefault="00D359A6" w:rsidP="0068352C">
      <w:pPr>
        <w:tabs>
          <w:tab w:val="left" w:pos="709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0AA">
        <w:rPr>
          <w:rFonts w:ascii="Times New Roman" w:hAnsi="Times New Roman" w:cs="Times New Roman"/>
          <w:sz w:val="24"/>
          <w:szCs w:val="24"/>
        </w:rPr>
        <w:t>Trata-se de uma revisão de literatura</w:t>
      </w:r>
      <w:r w:rsidR="00A83ACC" w:rsidRPr="004B10AA">
        <w:rPr>
          <w:rFonts w:ascii="Times New Roman" w:hAnsi="Times New Roman" w:cs="Times New Roman"/>
          <w:sz w:val="24"/>
          <w:szCs w:val="24"/>
        </w:rPr>
        <w:t xml:space="preserve"> e p</w:t>
      </w:r>
      <w:r w:rsidR="009D6EA5" w:rsidRPr="004B10AA">
        <w:rPr>
          <w:rFonts w:ascii="Times New Roman" w:hAnsi="Times New Roman" w:cs="Times New Roman"/>
          <w:sz w:val="24"/>
          <w:szCs w:val="24"/>
        </w:rPr>
        <w:t xml:space="preserve">ara a elaboração desta pesquisa, foram percorridas as seguintes etapas: estabelecimento da </w:t>
      </w:r>
      <w:r w:rsidR="00A83ACC" w:rsidRPr="004B10AA">
        <w:rPr>
          <w:rFonts w:ascii="Times New Roman" w:hAnsi="Times New Roman" w:cs="Times New Roman"/>
          <w:sz w:val="24"/>
          <w:szCs w:val="24"/>
        </w:rPr>
        <w:t>questão norteadora</w:t>
      </w:r>
      <w:r w:rsidR="009D6EA5" w:rsidRPr="004B10AA">
        <w:rPr>
          <w:rFonts w:ascii="Times New Roman" w:hAnsi="Times New Roman" w:cs="Times New Roman"/>
          <w:sz w:val="24"/>
          <w:szCs w:val="24"/>
        </w:rPr>
        <w:t xml:space="preserve"> e objetivo da revisão</w:t>
      </w:r>
      <w:r w:rsidR="00A83ACC" w:rsidRPr="004B10AA">
        <w:rPr>
          <w:rFonts w:ascii="Times New Roman" w:hAnsi="Times New Roman" w:cs="Times New Roman"/>
          <w:sz w:val="24"/>
          <w:szCs w:val="24"/>
        </w:rPr>
        <w:t>,</w:t>
      </w:r>
      <w:r w:rsidR="009D6EA5" w:rsidRPr="004B10AA">
        <w:rPr>
          <w:rFonts w:ascii="Times New Roman" w:hAnsi="Times New Roman" w:cs="Times New Roman"/>
          <w:sz w:val="24"/>
          <w:szCs w:val="24"/>
        </w:rPr>
        <w:t xml:space="preserve"> determinação dos critérios de inclusão e exclusão para a seleção da amostra; definição das informações a serem extraídas dos artigos; análise e interpretação dos resultados e discussão. </w:t>
      </w:r>
      <w:r w:rsidR="00A83ACC" w:rsidRPr="004B10AA">
        <w:rPr>
          <w:rFonts w:ascii="Times New Roman" w:hAnsi="Times New Roman" w:cs="Times New Roman"/>
          <w:sz w:val="24"/>
          <w:szCs w:val="24"/>
        </w:rPr>
        <w:t xml:space="preserve">Para contemplar a primeira etapa definiu-se a seguinte questão norteadora: Como a monitorização invasiva da pressão arterial contribui para a tomada de decisões clínicas em pacientes criticamente enfermos? Em seguida foram estabelecidos os critérios de inclusão e exclusão e a seleção da amostra ocorreu no período de </w:t>
      </w:r>
      <w:r w:rsidR="0068352C" w:rsidRPr="004B10AA">
        <w:rPr>
          <w:rFonts w:ascii="Times New Roman" w:hAnsi="Times New Roman" w:cs="Times New Roman"/>
          <w:sz w:val="24"/>
          <w:szCs w:val="24"/>
        </w:rPr>
        <w:t>setembro de 2024. Os critérios de inclusão foram artigos com texto completo, em idioma inglês e português, que retratam a temática do estudo e que fossem originários do período entre 2019 e 2024, e excluídos os que apresentaram textos duplicados, incompletos, ou que fugissem à temática em questão. Para compor a amostra foram utilizadas palavras chave pesquisadas no descritores em Ciências de Saúde (DeCs)  “</w:t>
      </w:r>
      <w:r w:rsidR="0068352C" w:rsidRPr="004B10AA">
        <w:rPr>
          <w:rFonts w:ascii="Times New Roman" w:hAnsi="Times New Roman" w:cs="Times New Roman"/>
          <w:i/>
          <w:iCs/>
          <w:sz w:val="24"/>
          <w:szCs w:val="24"/>
        </w:rPr>
        <w:t>Cateterismo Periférico”, “Pressão Arterial”, “Paciente Crítico”</w:t>
      </w:r>
      <w:r w:rsidR="0068352C" w:rsidRPr="004B10AA">
        <w:rPr>
          <w:rFonts w:ascii="Times New Roman" w:hAnsi="Times New Roman" w:cs="Times New Roman"/>
          <w:sz w:val="24"/>
          <w:szCs w:val="24"/>
        </w:rPr>
        <w:t xml:space="preserve"> utilizando operador booleano “</w:t>
      </w:r>
      <w:r w:rsidR="0068352C" w:rsidRPr="004B10AA">
        <w:rPr>
          <w:rFonts w:ascii="Times New Roman" w:hAnsi="Times New Roman" w:cs="Times New Roman"/>
          <w:i/>
          <w:iCs/>
          <w:sz w:val="24"/>
          <w:szCs w:val="24"/>
        </w:rPr>
        <w:t xml:space="preserve">AND”.  </w:t>
      </w:r>
      <w:r w:rsidR="0068352C" w:rsidRPr="004B10AA">
        <w:rPr>
          <w:rFonts w:ascii="Times New Roman" w:hAnsi="Times New Roman" w:cs="Times New Roman"/>
          <w:sz w:val="24"/>
          <w:szCs w:val="24"/>
        </w:rPr>
        <w:t xml:space="preserve">Foi necessário realizar a pesquisa na Biblioteca Virtual em Saúde (BVS) e a base de dado selecionada </w:t>
      </w:r>
      <w:proofErr w:type="spellStart"/>
      <w:r w:rsidR="0068352C" w:rsidRPr="004B10AA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="0068352C" w:rsidRPr="004B10AA">
        <w:rPr>
          <w:rFonts w:ascii="Times New Roman" w:hAnsi="Times New Roman" w:cs="Times New Roman"/>
          <w:sz w:val="24"/>
          <w:szCs w:val="24"/>
        </w:rPr>
        <w:t>. Após a aplicação da questão norteadora, foram selecionados 9 artigos por apresentarem maior relevância e profundidade para discutir a eficácia desse método no manejo dessa condição complexa. As informações extraídas abordaram tanto a eficácia quanto os cuidados mediante a potenciais complicações.</w:t>
      </w:r>
    </w:p>
    <w:p w14:paraId="35DB324E" w14:textId="2C77AB12" w:rsidR="00855E8B" w:rsidRDefault="007F06B4" w:rsidP="0068352C">
      <w:pPr>
        <w:tabs>
          <w:tab w:val="left" w:pos="709"/>
        </w:tabs>
        <w:spacing w:line="36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157" w:rsidRPr="006C0157">
        <w:rPr>
          <w:rFonts w:ascii="Times New Roman" w:hAnsi="Times New Roman" w:cs="Times New Roman"/>
          <w:b/>
          <w:bCs/>
          <w:sz w:val="24"/>
          <w:szCs w:val="24"/>
        </w:rPr>
        <w:t>RESULTADOS E DISCUSSÕES</w:t>
      </w:r>
    </w:p>
    <w:p w14:paraId="74C837A6" w14:textId="090B15D4" w:rsidR="00633AB0" w:rsidRDefault="00214EB9" w:rsidP="001E73A2">
      <w:pPr>
        <w:tabs>
          <w:tab w:val="left" w:pos="709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EB9">
        <w:rPr>
          <w:rFonts w:ascii="Times New Roman" w:hAnsi="Times New Roman" w:cs="Times New Roman"/>
          <w:sz w:val="24"/>
          <w:szCs w:val="24"/>
        </w:rPr>
        <w:t xml:space="preserve">Pacientes </w:t>
      </w:r>
      <w:r w:rsidR="004B580A">
        <w:rPr>
          <w:rFonts w:ascii="Times New Roman" w:hAnsi="Times New Roman" w:cs="Times New Roman"/>
          <w:sz w:val="24"/>
          <w:szCs w:val="24"/>
        </w:rPr>
        <w:t xml:space="preserve">submetidos </w:t>
      </w:r>
      <w:r w:rsidR="006C1BB4">
        <w:rPr>
          <w:rFonts w:ascii="Times New Roman" w:hAnsi="Times New Roman" w:cs="Times New Roman"/>
          <w:sz w:val="24"/>
          <w:szCs w:val="24"/>
        </w:rPr>
        <w:t xml:space="preserve">a internação em UTI geralmente sofrem </w:t>
      </w:r>
      <w:r w:rsidR="00AC5F71">
        <w:rPr>
          <w:rFonts w:ascii="Times New Roman" w:hAnsi="Times New Roman" w:cs="Times New Roman"/>
          <w:sz w:val="24"/>
          <w:szCs w:val="24"/>
        </w:rPr>
        <w:t>ou estão sob risco de falência orgânica de órgãos, podendo ser única ou múltipla</w:t>
      </w:r>
      <w:r w:rsidR="00B96A01">
        <w:rPr>
          <w:rFonts w:ascii="Times New Roman" w:hAnsi="Times New Roman" w:cs="Times New Roman"/>
          <w:sz w:val="24"/>
          <w:szCs w:val="24"/>
        </w:rPr>
        <w:t xml:space="preserve">. A instabilidade </w:t>
      </w:r>
      <w:r w:rsidR="000E5469">
        <w:rPr>
          <w:rFonts w:ascii="Times New Roman" w:hAnsi="Times New Roman" w:cs="Times New Roman"/>
          <w:sz w:val="24"/>
          <w:szCs w:val="24"/>
        </w:rPr>
        <w:t>hemodinâmica</w:t>
      </w:r>
      <w:r w:rsidR="00B96A01">
        <w:rPr>
          <w:rFonts w:ascii="Times New Roman" w:hAnsi="Times New Roman" w:cs="Times New Roman"/>
          <w:sz w:val="24"/>
          <w:szCs w:val="24"/>
        </w:rPr>
        <w:t xml:space="preserve"> causa descompasso entre a oferta </w:t>
      </w:r>
      <w:r w:rsidR="00AC7945">
        <w:rPr>
          <w:rFonts w:ascii="Times New Roman" w:hAnsi="Times New Roman" w:cs="Times New Roman"/>
          <w:sz w:val="24"/>
          <w:szCs w:val="24"/>
        </w:rPr>
        <w:t>e a demanda de oxigênio</w:t>
      </w:r>
      <w:r w:rsidR="000E5469">
        <w:rPr>
          <w:rFonts w:ascii="Times New Roman" w:hAnsi="Times New Roman" w:cs="Times New Roman"/>
          <w:sz w:val="24"/>
          <w:szCs w:val="24"/>
        </w:rPr>
        <w:t xml:space="preserve">, no qual é um fator contribuinte </w:t>
      </w:r>
      <w:r w:rsidR="00E90297">
        <w:rPr>
          <w:rFonts w:ascii="Times New Roman" w:hAnsi="Times New Roman" w:cs="Times New Roman"/>
          <w:sz w:val="24"/>
          <w:szCs w:val="24"/>
        </w:rPr>
        <w:t>para a falência de órgãos</w:t>
      </w:r>
      <w:r w:rsidR="00F03FDD">
        <w:rPr>
          <w:rFonts w:ascii="Times New Roman" w:hAnsi="Times New Roman" w:cs="Times New Roman"/>
          <w:sz w:val="24"/>
          <w:szCs w:val="24"/>
        </w:rPr>
        <w:t xml:space="preserve">. Alterações no volume </w:t>
      </w:r>
      <w:r w:rsidR="003A3EAD">
        <w:rPr>
          <w:rFonts w:ascii="Times New Roman" w:hAnsi="Times New Roman" w:cs="Times New Roman"/>
          <w:sz w:val="24"/>
          <w:szCs w:val="24"/>
        </w:rPr>
        <w:t xml:space="preserve">circulante, </w:t>
      </w:r>
      <w:r w:rsidR="008B320F">
        <w:rPr>
          <w:rFonts w:ascii="Times New Roman" w:hAnsi="Times New Roman" w:cs="Times New Roman"/>
          <w:sz w:val="24"/>
          <w:szCs w:val="24"/>
        </w:rPr>
        <w:t>função cardíaca ou tônus muscular são a base da instabilidade hemodinâmica</w:t>
      </w:r>
      <w:r w:rsidR="00813F2B">
        <w:rPr>
          <w:rFonts w:ascii="Times New Roman" w:hAnsi="Times New Roman" w:cs="Times New Roman"/>
          <w:sz w:val="24"/>
          <w:szCs w:val="24"/>
        </w:rPr>
        <w:t xml:space="preserve">, desse modo </w:t>
      </w:r>
      <w:r w:rsidR="001A6A3A">
        <w:rPr>
          <w:rFonts w:ascii="Times New Roman" w:hAnsi="Times New Roman" w:cs="Times New Roman"/>
          <w:sz w:val="24"/>
          <w:szCs w:val="24"/>
        </w:rPr>
        <w:t>pacientes críticos requerem um monitoramento contínuo e fidedigno</w:t>
      </w:r>
      <w:r w:rsidR="008B320F">
        <w:rPr>
          <w:rFonts w:ascii="Times New Roman" w:hAnsi="Times New Roman" w:cs="Times New Roman"/>
          <w:sz w:val="24"/>
          <w:szCs w:val="24"/>
        </w:rPr>
        <w:t xml:space="preserve"> </w:t>
      </w:r>
      <w:r w:rsidR="00633A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3AB0">
        <w:rPr>
          <w:rFonts w:ascii="Times New Roman" w:hAnsi="Times New Roman" w:cs="Times New Roman"/>
          <w:sz w:val="24"/>
          <w:szCs w:val="24"/>
        </w:rPr>
        <w:t>Teboul</w:t>
      </w:r>
      <w:proofErr w:type="spellEnd"/>
      <w:r w:rsidR="00633AB0">
        <w:rPr>
          <w:rFonts w:ascii="Times New Roman" w:hAnsi="Times New Roman" w:cs="Times New Roman"/>
          <w:sz w:val="24"/>
          <w:szCs w:val="24"/>
        </w:rPr>
        <w:t xml:space="preserve"> </w:t>
      </w:r>
      <w:r w:rsidR="00633AB0" w:rsidRPr="008A239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B55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33AB0">
        <w:rPr>
          <w:rFonts w:ascii="Times New Roman" w:hAnsi="Times New Roman" w:cs="Times New Roman"/>
          <w:sz w:val="24"/>
          <w:szCs w:val="24"/>
        </w:rPr>
        <w:t xml:space="preserve">, </w:t>
      </w:r>
      <w:r w:rsidR="008376C7">
        <w:rPr>
          <w:rFonts w:ascii="Times New Roman" w:hAnsi="Times New Roman" w:cs="Times New Roman"/>
          <w:sz w:val="24"/>
          <w:szCs w:val="24"/>
        </w:rPr>
        <w:t>2016</w:t>
      </w:r>
      <w:r w:rsidR="00455983">
        <w:rPr>
          <w:rFonts w:ascii="Times New Roman" w:hAnsi="Times New Roman" w:cs="Times New Roman"/>
          <w:sz w:val="24"/>
          <w:szCs w:val="24"/>
        </w:rPr>
        <w:t xml:space="preserve">; Zhou </w:t>
      </w:r>
      <w:r w:rsidR="00455983" w:rsidRPr="00BB557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B55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55983">
        <w:rPr>
          <w:rFonts w:ascii="Times New Roman" w:hAnsi="Times New Roman" w:cs="Times New Roman"/>
          <w:sz w:val="24"/>
          <w:szCs w:val="24"/>
        </w:rPr>
        <w:t>, 2021</w:t>
      </w:r>
      <w:r w:rsidR="008376C7">
        <w:rPr>
          <w:rFonts w:ascii="Times New Roman" w:hAnsi="Times New Roman" w:cs="Times New Roman"/>
          <w:sz w:val="24"/>
          <w:szCs w:val="24"/>
        </w:rPr>
        <w:t>).</w:t>
      </w:r>
    </w:p>
    <w:p w14:paraId="51B736FB" w14:textId="0951136E" w:rsidR="00FF684E" w:rsidRDefault="008C337E" w:rsidP="001E73A2">
      <w:pPr>
        <w:tabs>
          <w:tab w:val="left" w:pos="709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nível adequado </w:t>
      </w:r>
      <w:r w:rsidR="00A94F2E">
        <w:rPr>
          <w:rFonts w:ascii="Times New Roman" w:hAnsi="Times New Roman" w:cs="Times New Roman"/>
          <w:sz w:val="24"/>
          <w:szCs w:val="24"/>
        </w:rPr>
        <w:t xml:space="preserve">é aquele que proporciona ao sistema circulatório e </w:t>
      </w:r>
      <w:r w:rsidR="00EF0E5D">
        <w:rPr>
          <w:rFonts w:ascii="Times New Roman" w:hAnsi="Times New Roman" w:cs="Times New Roman"/>
          <w:sz w:val="24"/>
          <w:szCs w:val="24"/>
        </w:rPr>
        <w:t>perfusão</w:t>
      </w:r>
      <w:r w:rsidR="00A94F2E">
        <w:rPr>
          <w:rFonts w:ascii="Times New Roman" w:hAnsi="Times New Roman" w:cs="Times New Roman"/>
          <w:sz w:val="24"/>
          <w:szCs w:val="24"/>
        </w:rPr>
        <w:t xml:space="preserve"> adequada aos órgãos e tecidos vitais</w:t>
      </w:r>
      <w:r w:rsidR="009D6788">
        <w:rPr>
          <w:rFonts w:ascii="Times New Roman" w:hAnsi="Times New Roman" w:cs="Times New Roman"/>
          <w:sz w:val="24"/>
          <w:szCs w:val="24"/>
        </w:rPr>
        <w:t xml:space="preserve">, esses parâmetros são </w:t>
      </w:r>
      <w:r w:rsidR="0039183D">
        <w:rPr>
          <w:rFonts w:ascii="Times New Roman" w:hAnsi="Times New Roman" w:cs="Times New Roman"/>
          <w:sz w:val="24"/>
          <w:szCs w:val="24"/>
        </w:rPr>
        <w:t xml:space="preserve">regulados localmente, nos órgãos, por meio </w:t>
      </w:r>
      <w:r w:rsidR="00A061A6">
        <w:rPr>
          <w:rFonts w:ascii="Times New Roman" w:hAnsi="Times New Roman" w:cs="Times New Roman"/>
          <w:sz w:val="24"/>
          <w:szCs w:val="24"/>
        </w:rPr>
        <w:t xml:space="preserve">da alteração da resistência vascular. Portanto o monitoramento contínuo da </w:t>
      </w:r>
      <w:r w:rsidR="00EF0E5D">
        <w:rPr>
          <w:rFonts w:ascii="Times New Roman" w:hAnsi="Times New Roman" w:cs="Times New Roman"/>
          <w:sz w:val="24"/>
          <w:szCs w:val="24"/>
        </w:rPr>
        <w:t>microcirculação</w:t>
      </w:r>
      <w:r w:rsidR="00A061A6">
        <w:rPr>
          <w:rFonts w:ascii="Times New Roman" w:hAnsi="Times New Roman" w:cs="Times New Roman"/>
          <w:sz w:val="24"/>
          <w:szCs w:val="24"/>
        </w:rPr>
        <w:t xml:space="preserve"> </w:t>
      </w:r>
      <w:r w:rsidR="00C15D5F">
        <w:rPr>
          <w:rFonts w:ascii="Times New Roman" w:hAnsi="Times New Roman" w:cs="Times New Roman"/>
          <w:sz w:val="24"/>
          <w:szCs w:val="24"/>
        </w:rPr>
        <w:t>é um elemento indispensável para a determinação ideal da PA, em que deve ser ajustada de a</w:t>
      </w:r>
      <w:r w:rsidR="00A7316F">
        <w:rPr>
          <w:rFonts w:ascii="Times New Roman" w:hAnsi="Times New Roman" w:cs="Times New Roman"/>
          <w:sz w:val="24"/>
          <w:szCs w:val="24"/>
        </w:rPr>
        <w:t xml:space="preserve">cordo com a </w:t>
      </w:r>
      <w:r w:rsidR="00EF0E5D">
        <w:rPr>
          <w:rFonts w:ascii="Times New Roman" w:hAnsi="Times New Roman" w:cs="Times New Roman"/>
          <w:sz w:val="24"/>
          <w:szCs w:val="24"/>
        </w:rPr>
        <w:t>situação</w:t>
      </w:r>
      <w:r w:rsidR="00A7316F">
        <w:rPr>
          <w:rFonts w:ascii="Times New Roman" w:hAnsi="Times New Roman" w:cs="Times New Roman"/>
          <w:sz w:val="24"/>
          <w:szCs w:val="24"/>
        </w:rPr>
        <w:t xml:space="preserve"> clinica de cada paciente, levando em </w:t>
      </w:r>
      <w:r w:rsidR="00EF0E5D">
        <w:rPr>
          <w:rFonts w:ascii="Times New Roman" w:hAnsi="Times New Roman" w:cs="Times New Roman"/>
          <w:sz w:val="24"/>
          <w:szCs w:val="24"/>
        </w:rPr>
        <w:t>consideração</w:t>
      </w:r>
      <w:r w:rsidR="00A7316F">
        <w:rPr>
          <w:rFonts w:ascii="Times New Roman" w:hAnsi="Times New Roman" w:cs="Times New Roman"/>
          <w:sz w:val="24"/>
          <w:szCs w:val="24"/>
        </w:rPr>
        <w:t xml:space="preserve"> </w:t>
      </w:r>
      <w:r w:rsidR="00D21554">
        <w:rPr>
          <w:rFonts w:ascii="Times New Roman" w:hAnsi="Times New Roman" w:cs="Times New Roman"/>
          <w:sz w:val="24"/>
          <w:szCs w:val="24"/>
        </w:rPr>
        <w:t xml:space="preserve">comorbidades, procedimentos </w:t>
      </w:r>
      <w:r w:rsidR="00EF0E5D">
        <w:rPr>
          <w:rFonts w:ascii="Times New Roman" w:hAnsi="Times New Roman" w:cs="Times New Roman"/>
          <w:sz w:val="24"/>
          <w:szCs w:val="24"/>
        </w:rPr>
        <w:t>cirúrgicos</w:t>
      </w:r>
      <w:r w:rsidR="00D21554">
        <w:rPr>
          <w:rFonts w:ascii="Times New Roman" w:hAnsi="Times New Roman" w:cs="Times New Roman"/>
          <w:sz w:val="24"/>
          <w:szCs w:val="24"/>
        </w:rPr>
        <w:t xml:space="preserve"> </w:t>
      </w:r>
      <w:r w:rsidR="00C64224">
        <w:rPr>
          <w:rFonts w:ascii="Times New Roman" w:hAnsi="Times New Roman" w:cs="Times New Roman"/>
          <w:sz w:val="24"/>
          <w:szCs w:val="24"/>
        </w:rPr>
        <w:t>a serem realizados ou já realizados (</w:t>
      </w:r>
      <w:proofErr w:type="spellStart"/>
      <w:r w:rsidR="00FF684E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="00FF684E">
        <w:rPr>
          <w:rFonts w:ascii="Times New Roman" w:hAnsi="Times New Roman" w:cs="Times New Roman"/>
          <w:sz w:val="24"/>
          <w:szCs w:val="24"/>
        </w:rPr>
        <w:t xml:space="preserve"> </w:t>
      </w:r>
      <w:r w:rsidR="00FF684E" w:rsidRPr="00BB557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B557A">
        <w:rPr>
          <w:rFonts w:ascii="Times New Roman" w:hAnsi="Times New Roman" w:cs="Times New Roman"/>
          <w:sz w:val="24"/>
          <w:szCs w:val="24"/>
        </w:rPr>
        <w:t>.</w:t>
      </w:r>
      <w:r w:rsidR="00FF684E">
        <w:rPr>
          <w:rFonts w:ascii="Times New Roman" w:hAnsi="Times New Roman" w:cs="Times New Roman"/>
          <w:sz w:val="24"/>
          <w:szCs w:val="24"/>
        </w:rPr>
        <w:t>, 2021).</w:t>
      </w:r>
    </w:p>
    <w:p w14:paraId="2F91FD5F" w14:textId="067EA14C" w:rsidR="00C95BDF" w:rsidRDefault="00C95BDF" w:rsidP="001E73A2">
      <w:pPr>
        <w:tabs>
          <w:tab w:val="left" w:pos="709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 a detecção oportuna </w:t>
      </w:r>
      <w:r w:rsidR="000A5C8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precisa da hipotensão </w:t>
      </w:r>
      <w:r w:rsidR="00FB5EA0">
        <w:rPr>
          <w:rFonts w:ascii="Times New Roman" w:hAnsi="Times New Roman" w:cs="Times New Roman"/>
          <w:sz w:val="24"/>
          <w:szCs w:val="24"/>
        </w:rPr>
        <w:t>é de grande importância</w:t>
      </w:r>
      <w:r w:rsidR="00A8088A">
        <w:rPr>
          <w:rFonts w:ascii="Times New Roman" w:hAnsi="Times New Roman" w:cs="Times New Roman"/>
          <w:sz w:val="24"/>
          <w:szCs w:val="24"/>
        </w:rPr>
        <w:t xml:space="preserve"> por esta atrelada a </w:t>
      </w:r>
      <w:r w:rsidR="002A7EEB">
        <w:rPr>
          <w:rFonts w:ascii="Times New Roman" w:hAnsi="Times New Roman" w:cs="Times New Roman"/>
          <w:sz w:val="24"/>
          <w:szCs w:val="24"/>
        </w:rPr>
        <w:t>perfusão</w:t>
      </w:r>
      <w:r w:rsidR="00A8088A">
        <w:rPr>
          <w:rFonts w:ascii="Times New Roman" w:hAnsi="Times New Roman" w:cs="Times New Roman"/>
          <w:sz w:val="24"/>
          <w:szCs w:val="24"/>
        </w:rPr>
        <w:t xml:space="preserve"> </w:t>
      </w:r>
      <w:r w:rsidR="002A7EEB">
        <w:rPr>
          <w:rFonts w:ascii="Times New Roman" w:hAnsi="Times New Roman" w:cs="Times New Roman"/>
          <w:sz w:val="24"/>
          <w:szCs w:val="24"/>
        </w:rPr>
        <w:t xml:space="preserve">orgânica prejudicada, especialmente do cérebro, coração e rim, em que períodos de </w:t>
      </w:r>
      <w:r w:rsidR="009A4A1B">
        <w:rPr>
          <w:rFonts w:ascii="Times New Roman" w:hAnsi="Times New Roman" w:cs="Times New Roman"/>
          <w:sz w:val="24"/>
          <w:szCs w:val="24"/>
        </w:rPr>
        <w:t>PA baixa  podem resultar em disfunção ou falência orgânica</w:t>
      </w:r>
      <w:r w:rsidR="005D68D7">
        <w:rPr>
          <w:rFonts w:ascii="Times New Roman" w:hAnsi="Times New Roman" w:cs="Times New Roman"/>
          <w:sz w:val="24"/>
          <w:szCs w:val="24"/>
        </w:rPr>
        <w:t xml:space="preserve">. Além disso </w:t>
      </w:r>
      <w:r w:rsidR="00FC3C7E">
        <w:rPr>
          <w:rFonts w:ascii="Times New Roman" w:hAnsi="Times New Roman" w:cs="Times New Roman"/>
          <w:sz w:val="24"/>
          <w:szCs w:val="24"/>
        </w:rPr>
        <w:t xml:space="preserve">a hipotensão faz parte de alerta precoce </w:t>
      </w:r>
      <w:r w:rsidR="006A67B0">
        <w:rPr>
          <w:rFonts w:ascii="Times New Roman" w:hAnsi="Times New Roman" w:cs="Times New Roman"/>
          <w:sz w:val="24"/>
          <w:szCs w:val="24"/>
        </w:rPr>
        <w:t xml:space="preserve">para pacientes com risco de choque séptico, sendo vista como substituta da </w:t>
      </w:r>
      <w:r w:rsidR="00686636">
        <w:rPr>
          <w:rFonts w:ascii="Times New Roman" w:hAnsi="Times New Roman" w:cs="Times New Roman"/>
          <w:sz w:val="24"/>
          <w:szCs w:val="24"/>
        </w:rPr>
        <w:t xml:space="preserve">hipoperfusão por ser resultante </w:t>
      </w:r>
      <w:r w:rsidR="001B6425">
        <w:rPr>
          <w:rFonts w:ascii="Times New Roman" w:hAnsi="Times New Roman" w:cs="Times New Roman"/>
          <w:sz w:val="24"/>
          <w:szCs w:val="24"/>
        </w:rPr>
        <w:t>da falta de entrega de oxigênio necessitando assim de tratamento imediato</w:t>
      </w:r>
      <w:r w:rsidR="00BB0994">
        <w:rPr>
          <w:rFonts w:ascii="Times New Roman" w:hAnsi="Times New Roman" w:cs="Times New Roman"/>
          <w:sz w:val="24"/>
          <w:szCs w:val="24"/>
        </w:rPr>
        <w:t xml:space="preserve">. No entanto, há pacientes que a hipotensão não é </w:t>
      </w:r>
      <w:r w:rsidR="003D7812">
        <w:rPr>
          <w:rFonts w:ascii="Times New Roman" w:hAnsi="Times New Roman" w:cs="Times New Roman"/>
          <w:sz w:val="24"/>
          <w:szCs w:val="24"/>
        </w:rPr>
        <w:t>detectada, em especial pacientes jovens submetidos a esse procedimento</w:t>
      </w:r>
      <w:r w:rsidR="00D3461C">
        <w:rPr>
          <w:rFonts w:ascii="Times New Roman" w:hAnsi="Times New Roman" w:cs="Times New Roman"/>
          <w:sz w:val="24"/>
          <w:szCs w:val="24"/>
        </w:rPr>
        <w:t xml:space="preserve">, em que compensam a falta de oxigênio </w:t>
      </w:r>
      <w:r w:rsidR="0021416C">
        <w:rPr>
          <w:rFonts w:ascii="Times New Roman" w:hAnsi="Times New Roman" w:cs="Times New Roman"/>
          <w:sz w:val="24"/>
          <w:szCs w:val="24"/>
        </w:rPr>
        <w:t>“permanecendo” estáveis</w:t>
      </w:r>
      <w:r w:rsidR="00EE60B2">
        <w:rPr>
          <w:rFonts w:ascii="Times New Roman" w:hAnsi="Times New Roman" w:cs="Times New Roman"/>
          <w:sz w:val="24"/>
          <w:szCs w:val="24"/>
        </w:rPr>
        <w:t xml:space="preserve"> </w:t>
      </w:r>
      <w:r w:rsidR="002A2EF3">
        <w:rPr>
          <w:rFonts w:ascii="Times New Roman" w:hAnsi="Times New Roman" w:cs="Times New Roman"/>
          <w:sz w:val="24"/>
          <w:szCs w:val="24"/>
        </w:rPr>
        <w:t>(</w:t>
      </w:r>
      <w:r w:rsidR="00D54547">
        <w:rPr>
          <w:rFonts w:ascii="Times New Roman" w:hAnsi="Times New Roman" w:cs="Times New Roman"/>
          <w:sz w:val="24"/>
          <w:szCs w:val="24"/>
        </w:rPr>
        <w:t xml:space="preserve">Jones </w:t>
      </w:r>
      <w:r w:rsidR="00D54547" w:rsidRPr="00BB557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B557A">
        <w:rPr>
          <w:rFonts w:ascii="Times New Roman" w:hAnsi="Times New Roman" w:cs="Times New Roman"/>
          <w:sz w:val="24"/>
          <w:szCs w:val="24"/>
        </w:rPr>
        <w:t>.</w:t>
      </w:r>
      <w:r w:rsidR="00D54547">
        <w:rPr>
          <w:rFonts w:ascii="Times New Roman" w:hAnsi="Times New Roman" w:cs="Times New Roman"/>
          <w:sz w:val="24"/>
          <w:szCs w:val="24"/>
        </w:rPr>
        <w:t xml:space="preserve">, </w:t>
      </w:r>
      <w:r w:rsidR="0011178F">
        <w:rPr>
          <w:rFonts w:ascii="Times New Roman" w:hAnsi="Times New Roman" w:cs="Times New Roman"/>
          <w:sz w:val="24"/>
          <w:szCs w:val="24"/>
        </w:rPr>
        <w:t xml:space="preserve">2011; </w:t>
      </w:r>
      <w:proofErr w:type="spellStart"/>
      <w:r w:rsidR="0011178F">
        <w:rPr>
          <w:rFonts w:ascii="Times New Roman" w:hAnsi="Times New Roman" w:cs="Times New Roman"/>
          <w:sz w:val="24"/>
          <w:szCs w:val="24"/>
        </w:rPr>
        <w:t>Ahuja</w:t>
      </w:r>
      <w:proofErr w:type="spellEnd"/>
      <w:r w:rsidR="0011178F">
        <w:rPr>
          <w:rFonts w:ascii="Times New Roman" w:hAnsi="Times New Roman" w:cs="Times New Roman"/>
          <w:sz w:val="24"/>
          <w:szCs w:val="24"/>
        </w:rPr>
        <w:t xml:space="preserve"> </w:t>
      </w:r>
      <w:r w:rsidR="0011178F" w:rsidRPr="00BB557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0E2F27">
        <w:rPr>
          <w:rFonts w:ascii="Times New Roman" w:hAnsi="Times New Roman" w:cs="Times New Roman"/>
          <w:sz w:val="24"/>
          <w:szCs w:val="24"/>
        </w:rPr>
        <w:t>.</w:t>
      </w:r>
      <w:r w:rsidR="0011178F">
        <w:rPr>
          <w:rFonts w:ascii="Times New Roman" w:hAnsi="Times New Roman" w:cs="Times New Roman"/>
          <w:sz w:val="24"/>
          <w:szCs w:val="24"/>
        </w:rPr>
        <w:t xml:space="preserve">, 2019; </w:t>
      </w:r>
      <w:r w:rsidR="00C04200">
        <w:rPr>
          <w:rFonts w:ascii="Times New Roman" w:hAnsi="Times New Roman" w:cs="Times New Roman"/>
          <w:sz w:val="24"/>
          <w:szCs w:val="24"/>
        </w:rPr>
        <w:t xml:space="preserve">Rhodes </w:t>
      </w:r>
      <w:r w:rsidR="00C04200" w:rsidRPr="000E2F2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0E2F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04200">
        <w:rPr>
          <w:rFonts w:ascii="Times New Roman" w:hAnsi="Times New Roman" w:cs="Times New Roman"/>
          <w:sz w:val="24"/>
          <w:szCs w:val="24"/>
        </w:rPr>
        <w:t>, 2017</w:t>
      </w:r>
      <w:r w:rsidR="005757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7576E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  <w:r w:rsidR="0057576E">
        <w:rPr>
          <w:rFonts w:ascii="Times New Roman" w:hAnsi="Times New Roman" w:cs="Times New Roman"/>
          <w:sz w:val="24"/>
          <w:szCs w:val="24"/>
        </w:rPr>
        <w:t xml:space="preserve"> </w:t>
      </w:r>
      <w:r w:rsidR="0057576E" w:rsidRPr="000E2F2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0E2F27">
        <w:rPr>
          <w:rFonts w:ascii="Times New Roman" w:hAnsi="Times New Roman" w:cs="Times New Roman"/>
          <w:sz w:val="24"/>
          <w:szCs w:val="24"/>
        </w:rPr>
        <w:t>.</w:t>
      </w:r>
      <w:r w:rsidR="0057576E">
        <w:rPr>
          <w:rFonts w:ascii="Times New Roman" w:hAnsi="Times New Roman" w:cs="Times New Roman"/>
          <w:sz w:val="24"/>
          <w:szCs w:val="24"/>
        </w:rPr>
        <w:t xml:space="preserve">, 2017; </w:t>
      </w:r>
      <w:r w:rsidR="007966B5">
        <w:rPr>
          <w:rFonts w:ascii="Times New Roman" w:hAnsi="Times New Roman" w:cs="Times New Roman"/>
          <w:sz w:val="24"/>
          <w:szCs w:val="24"/>
        </w:rPr>
        <w:t>Chatterjee, 2010).</w:t>
      </w:r>
    </w:p>
    <w:p w14:paraId="6A3AFC50" w14:textId="71BF786A" w:rsidR="00A23467" w:rsidRDefault="00EA2769" w:rsidP="001324B9">
      <w:pPr>
        <w:tabs>
          <w:tab w:val="left" w:pos="709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compreensão </w:t>
      </w:r>
      <w:r w:rsidR="00C345EE">
        <w:rPr>
          <w:rFonts w:ascii="Times New Roman" w:hAnsi="Times New Roman" w:cs="Times New Roman"/>
          <w:sz w:val="24"/>
          <w:szCs w:val="24"/>
        </w:rPr>
        <w:t xml:space="preserve">do gradiente de pressão arterial central e periférica tem implicações importantes </w:t>
      </w:r>
      <w:r w:rsidR="006F641A">
        <w:rPr>
          <w:rFonts w:ascii="Times New Roman" w:hAnsi="Times New Roman" w:cs="Times New Roman"/>
          <w:sz w:val="24"/>
          <w:szCs w:val="24"/>
        </w:rPr>
        <w:t xml:space="preserve">no manejo de pacientes críticos, onde a pressão sistólica em pacientes saudáveis </w:t>
      </w:r>
      <w:r w:rsidR="00344D16">
        <w:rPr>
          <w:rFonts w:ascii="Times New Roman" w:hAnsi="Times New Roman" w:cs="Times New Roman"/>
          <w:sz w:val="24"/>
          <w:szCs w:val="24"/>
        </w:rPr>
        <w:t>é maior em artérias periféricas do que em artérias centrais</w:t>
      </w:r>
      <w:r w:rsidR="00693390">
        <w:rPr>
          <w:rFonts w:ascii="Times New Roman" w:hAnsi="Times New Roman" w:cs="Times New Roman"/>
          <w:sz w:val="24"/>
          <w:szCs w:val="24"/>
        </w:rPr>
        <w:t xml:space="preserve">, enquanto </w:t>
      </w:r>
      <w:r w:rsidR="00A70F37">
        <w:rPr>
          <w:rFonts w:ascii="Times New Roman" w:hAnsi="Times New Roman" w:cs="Times New Roman"/>
          <w:sz w:val="24"/>
          <w:szCs w:val="24"/>
        </w:rPr>
        <w:t xml:space="preserve">PA média e diastólica permanecem constante mediante a PAI. </w:t>
      </w:r>
      <w:r w:rsidR="00263FFF">
        <w:rPr>
          <w:rFonts w:ascii="Times New Roman" w:hAnsi="Times New Roman" w:cs="Times New Roman"/>
          <w:sz w:val="24"/>
          <w:szCs w:val="24"/>
        </w:rPr>
        <w:t xml:space="preserve">No entanto, em pacientes </w:t>
      </w:r>
      <w:r w:rsidR="007D2B9B">
        <w:rPr>
          <w:rFonts w:ascii="Times New Roman" w:hAnsi="Times New Roman" w:cs="Times New Roman"/>
          <w:sz w:val="24"/>
          <w:szCs w:val="24"/>
        </w:rPr>
        <w:t>críticos a</w:t>
      </w:r>
      <w:r w:rsidR="00263FFF">
        <w:rPr>
          <w:rFonts w:ascii="Times New Roman" w:hAnsi="Times New Roman" w:cs="Times New Roman"/>
          <w:sz w:val="24"/>
          <w:szCs w:val="24"/>
        </w:rPr>
        <w:t>nalisa-se alterações nos gradientes de pressão sistólica</w:t>
      </w:r>
      <w:r w:rsidR="00C5112C">
        <w:rPr>
          <w:rFonts w:ascii="Times New Roman" w:hAnsi="Times New Roman" w:cs="Times New Roman"/>
          <w:sz w:val="24"/>
          <w:szCs w:val="24"/>
        </w:rPr>
        <w:t xml:space="preserve">, caracterizada por uma pressão central mais alta que a </w:t>
      </w:r>
      <w:r w:rsidR="006806E7">
        <w:rPr>
          <w:rFonts w:ascii="Times New Roman" w:hAnsi="Times New Roman" w:cs="Times New Roman"/>
          <w:sz w:val="24"/>
          <w:szCs w:val="24"/>
        </w:rPr>
        <w:t>pressão periférica</w:t>
      </w:r>
      <w:r w:rsidR="00F801B3">
        <w:rPr>
          <w:rFonts w:ascii="Times New Roman" w:hAnsi="Times New Roman" w:cs="Times New Roman"/>
          <w:sz w:val="24"/>
          <w:szCs w:val="24"/>
        </w:rPr>
        <w:t xml:space="preserve">, onde os principais fatores de risco se caracterizam </w:t>
      </w:r>
      <w:r w:rsidR="00FC5331">
        <w:rPr>
          <w:rFonts w:ascii="Times New Roman" w:hAnsi="Times New Roman" w:cs="Times New Roman"/>
          <w:sz w:val="24"/>
          <w:szCs w:val="24"/>
        </w:rPr>
        <w:t xml:space="preserve">pelo pequeno diâmetro arterial causado por </w:t>
      </w:r>
      <w:r w:rsidR="000C6C28">
        <w:rPr>
          <w:rFonts w:ascii="Times New Roman" w:hAnsi="Times New Roman" w:cs="Times New Roman"/>
          <w:sz w:val="24"/>
          <w:szCs w:val="24"/>
        </w:rPr>
        <w:t xml:space="preserve">medicamentos vasoativos, </w:t>
      </w:r>
      <w:r w:rsidR="00362755">
        <w:rPr>
          <w:rFonts w:ascii="Times New Roman" w:hAnsi="Times New Roman" w:cs="Times New Roman"/>
          <w:sz w:val="24"/>
          <w:szCs w:val="24"/>
        </w:rPr>
        <w:t xml:space="preserve">diminuição da elasticidade vascular </w:t>
      </w:r>
      <w:r w:rsidR="00126FE2">
        <w:rPr>
          <w:rFonts w:ascii="Times New Roman" w:hAnsi="Times New Roman" w:cs="Times New Roman"/>
          <w:sz w:val="24"/>
          <w:szCs w:val="24"/>
        </w:rPr>
        <w:t>associada ao envelhecimento</w:t>
      </w:r>
      <w:r w:rsidR="00C958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5887">
        <w:rPr>
          <w:rFonts w:ascii="Times New Roman" w:hAnsi="Times New Roman" w:cs="Times New Roman"/>
          <w:sz w:val="24"/>
          <w:szCs w:val="24"/>
        </w:rPr>
        <w:t>Kroeker</w:t>
      </w:r>
      <w:proofErr w:type="spellEnd"/>
      <w:r w:rsidR="00C95887">
        <w:rPr>
          <w:rFonts w:ascii="Times New Roman" w:hAnsi="Times New Roman" w:cs="Times New Roman"/>
          <w:sz w:val="24"/>
          <w:szCs w:val="24"/>
        </w:rPr>
        <w:t xml:space="preserve"> </w:t>
      </w:r>
      <w:r w:rsidR="00C95887" w:rsidRPr="00581CA0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581CA0">
        <w:rPr>
          <w:rFonts w:ascii="Times New Roman" w:hAnsi="Times New Roman" w:cs="Times New Roman"/>
          <w:sz w:val="24"/>
          <w:szCs w:val="24"/>
        </w:rPr>
        <w:t>.</w:t>
      </w:r>
      <w:r w:rsidR="00C95887">
        <w:rPr>
          <w:rFonts w:ascii="Times New Roman" w:hAnsi="Times New Roman" w:cs="Times New Roman"/>
          <w:sz w:val="24"/>
          <w:szCs w:val="24"/>
        </w:rPr>
        <w:t xml:space="preserve">, </w:t>
      </w:r>
      <w:r w:rsidR="00FE1735">
        <w:rPr>
          <w:rFonts w:ascii="Times New Roman" w:hAnsi="Times New Roman" w:cs="Times New Roman"/>
          <w:sz w:val="24"/>
          <w:szCs w:val="24"/>
        </w:rPr>
        <w:t xml:space="preserve">1955; </w:t>
      </w:r>
      <w:proofErr w:type="spellStart"/>
      <w:r w:rsidR="0005217B">
        <w:rPr>
          <w:rFonts w:ascii="Times New Roman" w:hAnsi="Times New Roman" w:cs="Times New Roman"/>
          <w:sz w:val="24"/>
          <w:szCs w:val="24"/>
        </w:rPr>
        <w:t>Ohte</w:t>
      </w:r>
      <w:proofErr w:type="spellEnd"/>
      <w:r w:rsidR="0005217B">
        <w:rPr>
          <w:rFonts w:ascii="Times New Roman" w:hAnsi="Times New Roman" w:cs="Times New Roman"/>
          <w:sz w:val="24"/>
          <w:szCs w:val="24"/>
        </w:rPr>
        <w:t xml:space="preserve"> </w:t>
      </w:r>
      <w:r w:rsidR="0005217B" w:rsidRPr="00581CA0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581CA0">
        <w:rPr>
          <w:rFonts w:ascii="Times New Roman" w:hAnsi="Times New Roman" w:cs="Times New Roman"/>
          <w:sz w:val="24"/>
          <w:szCs w:val="24"/>
        </w:rPr>
        <w:t>.</w:t>
      </w:r>
      <w:r w:rsidR="0005217B">
        <w:rPr>
          <w:rFonts w:ascii="Times New Roman" w:hAnsi="Times New Roman" w:cs="Times New Roman"/>
          <w:sz w:val="24"/>
          <w:szCs w:val="24"/>
        </w:rPr>
        <w:t xml:space="preserve">, 2007; </w:t>
      </w:r>
      <w:proofErr w:type="spellStart"/>
      <w:r w:rsidR="00322BD5">
        <w:rPr>
          <w:rFonts w:ascii="Times New Roman" w:hAnsi="Times New Roman" w:cs="Times New Roman"/>
          <w:sz w:val="24"/>
          <w:szCs w:val="24"/>
        </w:rPr>
        <w:t>Bouchard-Dechêne</w:t>
      </w:r>
      <w:proofErr w:type="spellEnd"/>
      <w:r w:rsidR="00322BD5">
        <w:rPr>
          <w:rFonts w:ascii="Times New Roman" w:hAnsi="Times New Roman" w:cs="Times New Roman"/>
          <w:sz w:val="24"/>
          <w:szCs w:val="24"/>
        </w:rPr>
        <w:t xml:space="preserve"> </w:t>
      </w:r>
      <w:r w:rsidR="00322BD5" w:rsidRPr="00581CA0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581CA0">
        <w:rPr>
          <w:rFonts w:ascii="Times New Roman" w:hAnsi="Times New Roman" w:cs="Times New Roman"/>
          <w:sz w:val="24"/>
          <w:szCs w:val="24"/>
        </w:rPr>
        <w:t>.</w:t>
      </w:r>
      <w:r w:rsidR="00322BD5">
        <w:rPr>
          <w:rFonts w:ascii="Times New Roman" w:hAnsi="Times New Roman" w:cs="Times New Roman"/>
          <w:sz w:val="24"/>
          <w:szCs w:val="24"/>
        </w:rPr>
        <w:t>, 2021).</w:t>
      </w:r>
    </w:p>
    <w:p w14:paraId="375CB424" w14:textId="5CA61AAC" w:rsidR="003E1523" w:rsidRDefault="00A9507C" w:rsidP="003E1523">
      <w:pPr>
        <w:tabs>
          <w:tab w:val="left" w:pos="709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suma, as indicações para PAI </w:t>
      </w:r>
      <w:r w:rsidR="008C4767">
        <w:rPr>
          <w:rFonts w:ascii="Times New Roman" w:hAnsi="Times New Roman" w:cs="Times New Roman"/>
          <w:sz w:val="24"/>
          <w:szCs w:val="24"/>
        </w:rPr>
        <w:t xml:space="preserve">envolvem instabilidade </w:t>
      </w:r>
      <w:r w:rsidR="00C416C7">
        <w:rPr>
          <w:rFonts w:ascii="Times New Roman" w:hAnsi="Times New Roman" w:cs="Times New Roman"/>
          <w:sz w:val="24"/>
          <w:szCs w:val="24"/>
        </w:rPr>
        <w:t>hemodinâmica</w:t>
      </w:r>
      <w:r w:rsidR="008C4767">
        <w:rPr>
          <w:rFonts w:ascii="Times New Roman" w:hAnsi="Times New Roman" w:cs="Times New Roman"/>
          <w:sz w:val="24"/>
          <w:szCs w:val="24"/>
        </w:rPr>
        <w:t xml:space="preserve">, cirurgias de grande porte, uso de drogas vasoativas </w:t>
      </w:r>
      <w:r w:rsidR="00EA51C0">
        <w:rPr>
          <w:rFonts w:ascii="Times New Roman" w:hAnsi="Times New Roman" w:cs="Times New Roman"/>
          <w:sz w:val="24"/>
          <w:szCs w:val="24"/>
        </w:rPr>
        <w:t xml:space="preserve">e queda ou aumento brusco da PA, </w:t>
      </w:r>
      <w:r w:rsidR="003E60F9">
        <w:rPr>
          <w:rFonts w:ascii="Times New Roman" w:hAnsi="Times New Roman" w:cs="Times New Roman"/>
          <w:sz w:val="24"/>
          <w:szCs w:val="24"/>
        </w:rPr>
        <w:t xml:space="preserve">visto que </w:t>
      </w:r>
      <w:r w:rsidR="00C416C7">
        <w:rPr>
          <w:rFonts w:ascii="Times New Roman" w:hAnsi="Times New Roman" w:cs="Times New Roman"/>
          <w:sz w:val="24"/>
          <w:szCs w:val="24"/>
        </w:rPr>
        <w:t>permite a medida sistólica após sistólica, mesmo com a utilização de drogas vasoativas ou aumento abrupto do volume sanguíneo ou tônus arterial</w:t>
      </w:r>
      <w:r w:rsidR="00E50510">
        <w:rPr>
          <w:rFonts w:ascii="Times New Roman" w:hAnsi="Times New Roman" w:cs="Times New Roman"/>
          <w:sz w:val="24"/>
          <w:szCs w:val="24"/>
        </w:rPr>
        <w:t xml:space="preserve">, dado que as informações oferecidas </w:t>
      </w:r>
      <w:r w:rsidR="00F305FB">
        <w:rPr>
          <w:rFonts w:ascii="Times New Roman" w:hAnsi="Times New Roman" w:cs="Times New Roman"/>
          <w:sz w:val="24"/>
          <w:szCs w:val="24"/>
        </w:rPr>
        <w:t xml:space="preserve">pela medida em intervalos da PA </w:t>
      </w:r>
      <w:r w:rsidR="000B3F22">
        <w:rPr>
          <w:rFonts w:ascii="Times New Roman" w:hAnsi="Times New Roman" w:cs="Times New Roman"/>
          <w:sz w:val="24"/>
          <w:szCs w:val="24"/>
        </w:rPr>
        <w:t xml:space="preserve">não são seguras, devido ao paciente apresentar mudanças repentinas </w:t>
      </w:r>
      <w:r w:rsidR="006D03F8">
        <w:rPr>
          <w:rFonts w:ascii="Times New Roman" w:hAnsi="Times New Roman" w:cs="Times New Roman"/>
          <w:sz w:val="24"/>
          <w:szCs w:val="24"/>
        </w:rPr>
        <w:t>no seu estado hemodinâmico e não poderem ser notadas</w:t>
      </w:r>
      <w:r w:rsidR="00C05ACF">
        <w:rPr>
          <w:rFonts w:ascii="Times New Roman" w:hAnsi="Times New Roman" w:cs="Times New Roman"/>
          <w:sz w:val="24"/>
          <w:szCs w:val="24"/>
        </w:rPr>
        <w:t xml:space="preserve">. </w:t>
      </w:r>
      <w:r w:rsidR="00F57B70">
        <w:rPr>
          <w:rFonts w:ascii="Times New Roman" w:hAnsi="Times New Roman" w:cs="Times New Roman"/>
          <w:sz w:val="24"/>
          <w:szCs w:val="24"/>
        </w:rPr>
        <w:t>Com isso, as informações</w:t>
      </w:r>
      <w:r w:rsidR="00126CAB">
        <w:rPr>
          <w:rFonts w:ascii="Times New Roman" w:hAnsi="Times New Roman" w:cs="Times New Roman"/>
          <w:sz w:val="24"/>
          <w:szCs w:val="24"/>
        </w:rPr>
        <w:t xml:space="preserve"> </w:t>
      </w:r>
      <w:r w:rsidR="00F57B70">
        <w:rPr>
          <w:rFonts w:ascii="Times New Roman" w:hAnsi="Times New Roman" w:cs="Times New Roman"/>
          <w:sz w:val="24"/>
          <w:szCs w:val="24"/>
        </w:rPr>
        <w:t xml:space="preserve">oferecidas pelo monitoramento invasivo torna eficaz </w:t>
      </w:r>
      <w:r w:rsidR="00721436">
        <w:rPr>
          <w:rFonts w:ascii="Times New Roman" w:hAnsi="Times New Roman" w:cs="Times New Roman"/>
          <w:sz w:val="24"/>
          <w:szCs w:val="24"/>
        </w:rPr>
        <w:t xml:space="preserve">o </w:t>
      </w:r>
      <w:r w:rsidR="00721436">
        <w:rPr>
          <w:rFonts w:ascii="Times New Roman" w:hAnsi="Times New Roman" w:cs="Times New Roman"/>
          <w:sz w:val="24"/>
          <w:szCs w:val="24"/>
        </w:rPr>
        <w:lastRenderedPageBreak/>
        <w:t xml:space="preserve">acompanhamento da equipe de enfermagem em relação ao estado do paciente </w:t>
      </w:r>
      <w:r w:rsidR="00BE7419">
        <w:rPr>
          <w:rFonts w:ascii="Times New Roman" w:hAnsi="Times New Roman" w:cs="Times New Roman"/>
          <w:sz w:val="24"/>
          <w:szCs w:val="24"/>
        </w:rPr>
        <w:t xml:space="preserve">(Zhou </w:t>
      </w:r>
      <w:r w:rsidR="00BE7419" w:rsidRPr="00581CA0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581CA0">
        <w:rPr>
          <w:rFonts w:ascii="Times New Roman" w:hAnsi="Times New Roman" w:cs="Times New Roman"/>
          <w:sz w:val="24"/>
          <w:szCs w:val="24"/>
        </w:rPr>
        <w:t>.</w:t>
      </w:r>
      <w:r w:rsidR="00BE7419">
        <w:rPr>
          <w:rFonts w:ascii="Times New Roman" w:hAnsi="Times New Roman" w:cs="Times New Roman"/>
          <w:sz w:val="24"/>
          <w:szCs w:val="24"/>
        </w:rPr>
        <w:t xml:space="preserve">, 2021; </w:t>
      </w:r>
      <w:r w:rsidR="003E1523">
        <w:rPr>
          <w:rFonts w:ascii="Times New Roman" w:hAnsi="Times New Roman" w:cs="Times New Roman"/>
          <w:sz w:val="24"/>
          <w:szCs w:val="24"/>
        </w:rPr>
        <w:t xml:space="preserve">Azevedo </w:t>
      </w:r>
      <w:r w:rsidR="003E1523" w:rsidRPr="007317AB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7317AB">
        <w:rPr>
          <w:rFonts w:ascii="Times New Roman" w:hAnsi="Times New Roman" w:cs="Times New Roman"/>
          <w:sz w:val="24"/>
          <w:szCs w:val="24"/>
        </w:rPr>
        <w:t>.</w:t>
      </w:r>
      <w:r w:rsidR="003E1523">
        <w:rPr>
          <w:rFonts w:ascii="Times New Roman" w:hAnsi="Times New Roman" w:cs="Times New Roman"/>
          <w:sz w:val="24"/>
          <w:szCs w:val="24"/>
        </w:rPr>
        <w:t>, 20</w:t>
      </w:r>
      <w:r w:rsidR="007317AB">
        <w:rPr>
          <w:rFonts w:ascii="Times New Roman" w:hAnsi="Times New Roman" w:cs="Times New Roman"/>
          <w:sz w:val="24"/>
          <w:szCs w:val="24"/>
        </w:rPr>
        <w:t>2</w:t>
      </w:r>
      <w:r w:rsidR="003E1523">
        <w:rPr>
          <w:rFonts w:ascii="Times New Roman" w:hAnsi="Times New Roman" w:cs="Times New Roman"/>
          <w:sz w:val="24"/>
          <w:szCs w:val="24"/>
        </w:rPr>
        <w:t xml:space="preserve">1; Reis </w:t>
      </w:r>
      <w:r w:rsidR="003E1523" w:rsidRPr="00E5077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E5077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E1523">
        <w:rPr>
          <w:rFonts w:ascii="Times New Roman" w:hAnsi="Times New Roman" w:cs="Times New Roman"/>
          <w:sz w:val="24"/>
          <w:szCs w:val="24"/>
        </w:rPr>
        <w:t>, 2021)</w:t>
      </w:r>
    </w:p>
    <w:p w14:paraId="7D265278" w14:textId="47959DE8" w:rsidR="003E1523" w:rsidRPr="002E6A99" w:rsidRDefault="00855E8B" w:rsidP="002E6A99">
      <w:pPr>
        <w:pStyle w:val="PargrafodaLista"/>
        <w:numPr>
          <w:ilvl w:val="0"/>
          <w:numId w:val="2"/>
        </w:numPr>
        <w:tabs>
          <w:tab w:val="left" w:pos="709"/>
        </w:tabs>
        <w:spacing w:line="360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A99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CONCLUSÃO</w:t>
      </w:r>
    </w:p>
    <w:p w14:paraId="61726A81" w14:textId="73221256" w:rsidR="00934DD0" w:rsidRPr="003E1523" w:rsidRDefault="00CB6231" w:rsidP="003E1523">
      <w:pPr>
        <w:tabs>
          <w:tab w:val="left" w:pos="709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23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Em síntese, a monitorização invasiva da pressão arterial é uma ferramenta valiosa no cuidado de pacientes críticos, permitindo uma vigilância contínua e precisa das condições hemodinâmicas. No entanto, seu uso exige uma equipe bem treinada, protocolos rígidos de inserção e manutenção do cateter, e uma avaliação criteriosa da necessidade em cada caso clínico, para garantir que os benefícios superem os potenciais risco.</w:t>
      </w:r>
    </w:p>
    <w:p w14:paraId="371D6B26" w14:textId="662F2F1E" w:rsidR="001365DA" w:rsidRDefault="00855E8B" w:rsidP="008041F9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  <w:r w:rsidR="008041F9" w:rsidRPr="008041F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21CBB2F9" w14:textId="613A05EA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PEREIRA, V. H. et al. </w:t>
      </w:r>
      <w:proofErr w:type="spellStart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Prevention</w:t>
      </w:r>
      <w:proofErr w:type="spellEnd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control</w:t>
      </w:r>
      <w:proofErr w:type="spellEnd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infection</w:t>
      </w:r>
      <w:proofErr w:type="spellEnd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related</w:t>
      </w:r>
      <w:proofErr w:type="spellEnd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peripheral</w:t>
      </w:r>
      <w:proofErr w:type="spellEnd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arterial </w:t>
      </w:r>
      <w:proofErr w:type="spellStart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catheter</w:t>
      </w:r>
      <w:proofErr w:type="spellEnd"/>
      <w:r w:rsidR="005E27C9"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management.</w:t>
      </w: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Texto &amp; Contexto - Enfermagem, v. 33, 2024. Disponível em: &lt;</w:t>
      </w:r>
      <w:hyperlink r:id="rId7" w:history="1"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https://doi.org/10.1590/1980-265X-TCE-2023-0208en</w:t>
        </w:r>
      </w:hyperlink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&gt;</w:t>
      </w:r>
    </w:p>
    <w:p w14:paraId="1E9DCAB5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67649D6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HASEGAWA, D. M. D. et al.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Comparison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Central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Peripheral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Arterial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Blood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Pressure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Gradients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in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Critically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Ill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Patients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: A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Systematic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Review and Meta-Analysis.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Critical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Care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Explorations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, 6(6):p e1096, 2024. Disponível em: &lt;</w:t>
      </w:r>
      <w:hyperlink r:id="rId8" w:history="1"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https://journals.lww.com/ccejournal/fulltext/2024/06000/comparison_of_central_and_peripheral_arterial.3.aspx</w:t>
        </w:r>
      </w:hyperlink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&gt;</w:t>
      </w:r>
    </w:p>
    <w:p w14:paraId="22FB668B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199A722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LIN HOU, M. D. et al.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Comparison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Single-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operator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Laser-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assisted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Ultrasound-guided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Radial Arterial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Cannulation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in Young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Children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with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Traditional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Ultrasound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Guidance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: A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Randomized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Clinical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Trial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Anesthesiology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, v. 138, p. 497–507. Disponível em: &lt;</w:t>
      </w:r>
      <w:hyperlink r:id="rId9" w:history="1"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https://doi.org/10.1097/ALN.0000000000004534</w:t>
        </w:r>
      </w:hyperlink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&gt;</w:t>
      </w:r>
    </w:p>
    <w:p w14:paraId="1EAD8584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1E7DB58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NUNES, R. S. et al. Cateterização da artéria radial dorsal para monitorização invasiva de pressão arterial. Revista Brasileira de Terapia Intensiva, v. 32, p. 153–155, 2020. Disponível em: &lt;</w:t>
      </w:r>
      <w:hyperlink r:id="rId10" w:history="1"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https://doi.org/10.5935/0103-507X.20200022</w:t>
        </w:r>
      </w:hyperlink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&gt;</w:t>
      </w:r>
    </w:p>
    <w:p w14:paraId="36D66FE6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B8F957C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ROMAGNOLI, S. et al.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Accuracy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invasive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arterial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pressure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monitoring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in cardiovascular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patients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: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an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observational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study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Critical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Care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, v. 18, n. 6, 2014. Disponível em: &lt;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begin"/>
      </w: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instrText>HYPERLINK "https://ccforum.biomedcentral.com/articles/10.1186/s13054-014-0644-4" \l "citeas"</w:instrText>
      </w: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separate"/>
      </w: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Accuracy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of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invasive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arterial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pressure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monitoring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in cardiovascular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patients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: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an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observational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study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|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Critical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Care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 xml:space="preserve"> | Full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eastAsia="pt-BR"/>
          <w14:ligatures w14:val="none"/>
        </w:rPr>
        <w:t>Text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end"/>
      </w: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&gt;</w:t>
      </w:r>
    </w:p>
    <w:p w14:paraId="2E66991A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10C593B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KAUFMANN, T. et al. Non-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invasive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oscillometric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versus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invasive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arterial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blood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pressure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measurements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in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critically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ill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patients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: A post hoc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analysis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prospective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observational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study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Journal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Critical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Care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, v. 57, p. 118–123, 2020. Disponível em: &lt;</w:t>
      </w:r>
      <w:hyperlink r:id="rId11" w:history="1"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Non-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invasive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oscillometric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versus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invasive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arterial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blood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pressure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measurements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in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critically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ill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patients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: A post hoc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analysis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of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a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prospective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observational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study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-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ScienceDirect</w:t>
        </w:r>
        <w:proofErr w:type="spellEnd"/>
      </w:hyperlink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&gt;</w:t>
      </w:r>
    </w:p>
    <w:p w14:paraId="41C7FDA8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05AEBFA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CARVALHO, O. C.; PINHEIRO, F. A. Monitorização invasiva da pressão arterial: competências do profissional enfermeiro.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Brazilian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Journal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Development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, v. 8, n. 7, p. 51445-51460, 2022. Disponível em: &lt;</w:t>
      </w:r>
      <w:hyperlink r:id="rId12" w:history="1"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Vista do Monitorização invasiva da pressão </w:t>
        </w:r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lastRenderedPageBreak/>
          <w:t xml:space="preserve">arterial: competências do profissional enfermeiro /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Invasive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blood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pressure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monitoring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: skills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of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</w:t>
        </w:r>
        <w:proofErr w:type="spellStart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the</w:t>
        </w:r>
        <w:proofErr w:type="spellEnd"/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 xml:space="preserve"> professional nurse</w:t>
        </w:r>
      </w:hyperlink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&gt;</w:t>
      </w:r>
    </w:p>
    <w:p w14:paraId="2B1B9669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C6603A6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HASEGAWA, D. et al.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Comparison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Central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Peripheral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Arterial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Blood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Pressure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Gradients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in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Critically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Ill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Patients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: A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Systematic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Review and Meta-Analysis.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Critical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Care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Explorations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, v. 6, n. 6, p. 1096, 2024. Disponível em: &lt;</w:t>
      </w:r>
      <w:hyperlink r:id="rId13" w:history="1"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10.1097/CCE.0000000000001096</w:t>
        </w:r>
      </w:hyperlink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&gt; </w:t>
      </w:r>
    </w:p>
    <w:p w14:paraId="50A6D869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BC91D92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MEIDERT, A. S. et al.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Oscillometric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versus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invasive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blood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pressure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measurement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in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patients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with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shock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: a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prospective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observational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study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in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emergency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department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Journal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Clinical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Monitoring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Computing</w:t>
      </w:r>
      <w:proofErr w:type="spellEnd"/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, v. 35(2), p. 387-393, 2021. Disponível em: &lt;</w:t>
      </w:r>
      <w:hyperlink r:id="rId14" w:history="1">
        <w:r w:rsidRPr="00447E68">
          <w:rPr>
            <w:rFonts w:ascii="Times New Roman" w:eastAsiaTheme="minorEastAsia" w:hAnsi="Times New Roman" w:cs="Times New Roman"/>
            <w:color w:val="000000" w:themeColor="text1"/>
            <w:kern w:val="0"/>
            <w:sz w:val="24"/>
            <w:szCs w:val="24"/>
            <w:u w:val="single"/>
            <w:lang w:eastAsia="pt-BR"/>
            <w14:ligatures w14:val="none"/>
          </w:rPr>
          <w:t>10.1007/s10877-020-00482-2</w:t>
        </w:r>
      </w:hyperlink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&gt;</w:t>
      </w:r>
    </w:p>
    <w:p w14:paraId="5D803351" w14:textId="77777777" w:rsidR="00FD27D2" w:rsidRPr="00447E68" w:rsidRDefault="00FD27D2" w:rsidP="00FD27D2">
      <w:pPr>
        <w:spacing w:after="0" w:line="240" w:lineRule="auto"/>
        <w:divId w:val="1634479530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47E6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‌</w:t>
      </w:r>
    </w:p>
    <w:p w14:paraId="24870137" w14:textId="77777777" w:rsidR="00E50774" w:rsidRPr="000D4AC9" w:rsidRDefault="00E50774" w:rsidP="008041F9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sectPr w:rsidR="00E50774" w:rsidRPr="000D4AC9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73311" w14:textId="77777777" w:rsidR="005E7809" w:rsidRDefault="005E7809" w:rsidP="003C5788">
      <w:pPr>
        <w:spacing w:after="0" w:line="240" w:lineRule="auto"/>
      </w:pPr>
      <w:r>
        <w:separator/>
      </w:r>
    </w:p>
  </w:endnote>
  <w:endnote w:type="continuationSeparator" w:id="0">
    <w:p w14:paraId="2D43EBD0" w14:textId="77777777" w:rsidR="005E7809" w:rsidRDefault="005E7809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65EA4" w14:textId="77777777" w:rsidR="005E7809" w:rsidRDefault="005E7809" w:rsidP="003C5788">
      <w:pPr>
        <w:spacing w:after="0" w:line="240" w:lineRule="auto"/>
      </w:pPr>
      <w:r>
        <w:separator/>
      </w:r>
    </w:p>
  </w:footnote>
  <w:footnote w:type="continuationSeparator" w:id="0">
    <w:p w14:paraId="3A924294" w14:textId="77777777" w:rsidR="005E7809" w:rsidRDefault="005E7809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B6535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E93CF2" wp14:editId="55D4088C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7731">
    <w:abstractNumId w:val="1"/>
  </w:num>
  <w:num w:numId="2" w16cid:durableId="1573275171">
    <w:abstractNumId w:val="2"/>
  </w:num>
  <w:num w:numId="3" w16cid:durableId="9888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103A4"/>
    <w:rsid w:val="00021E27"/>
    <w:rsid w:val="000220CA"/>
    <w:rsid w:val="00031663"/>
    <w:rsid w:val="00031785"/>
    <w:rsid w:val="0004133F"/>
    <w:rsid w:val="0005217B"/>
    <w:rsid w:val="00097D73"/>
    <w:rsid w:val="000A5976"/>
    <w:rsid w:val="000A5C8A"/>
    <w:rsid w:val="000A6679"/>
    <w:rsid w:val="000B3F22"/>
    <w:rsid w:val="000C6C28"/>
    <w:rsid w:val="000D4AC9"/>
    <w:rsid w:val="000E2F27"/>
    <w:rsid w:val="000E5469"/>
    <w:rsid w:val="00106CC8"/>
    <w:rsid w:val="0011178F"/>
    <w:rsid w:val="00120FD1"/>
    <w:rsid w:val="00126CAB"/>
    <w:rsid w:val="00126FE2"/>
    <w:rsid w:val="00130967"/>
    <w:rsid w:val="001324B9"/>
    <w:rsid w:val="001365DA"/>
    <w:rsid w:val="00137DB2"/>
    <w:rsid w:val="00190062"/>
    <w:rsid w:val="001907C7"/>
    <w:rsid w:val="001A6A3A"/>
    <w:rsid w:val="001B14EF"/>
    <w:rsid w:val="001B6425"/>
    <w:rsid w:val="001E73A2"/>
    <w:rsid w:val="001F75C8"/>
    <w:rsid w:val="0021416C"/>
    <w:rsid w:val="00214EB9"/>
    <w:rsid w:val="0022067F"/>
    <w:rsid w:val="00240280"/>
    <w:rsid w:val="00263FFF"/>
    <w:rsid w:val="00291C70"/>
    <w:rsid w:val="002950AF"/>
    <w:rsid w:val="002A2EF3"/>
    <w:rsid w:val="002A7EEB"/>
    <w:rsid w:val="002B276F"/>
    <w:rsid w:val="002C00A0"/>
    <w:rsid w:val="002C6261"/>
    <w:rsid w:val="002E1A88"/>
    <w:rsid w:val="002E58D1"/>
    <w:rsid w:val="002E6A99"/>
    <w:rsid w:val="002F2A8E"/>
    <w:rsid w:val="00322BD5"/>
    <w:rsid w:val="0034166C"/>
    <w:rsid w:val="00344D16"/>
    <w:rsid w:val="003539E4"/>
    <w:rsid w:val="00354D4A"/>
    <w:rsid w:val="00362755"/>
    <w:rsid w:val="00387530"/>
    <w:rsid w:val="0039183D"/>
    <w:rsid w:val="003A1198"/>
    <w:rsid w:val="003A3EAD"/>
    <w:rsid w:val="003A649F"/>
    <w:rsid w:val="003B1E32"/>
    <w:rsid w:val="003C5788"/>
    <w:rsid w:val="003C73E0"/>
    <w:rsid w:val="003D7812"/>
    <w:rsid w:val="003E069E"/>
    <w:rsid w:val="003E1523"/>
    <w:rsid w:val="003E60F9"/>
    <w:rsid w:val="003F0CFC"/>
    <w:rsid w:val="00444E32"/>
    <w:rsid w:val="00447E68"/>
    <w:rsid w:val="00450656"/>
    <w:rsid w:val="00452293"/>
    <w:rsid w:val="00455983"/>
    <w:rsid w:val="004600D6"/>
    <w:rsid w:val="004A5A3B"/>
    <w:rsid w:val="004B10AA"/>
    <w:rsid w:val="004B580A"/>
    <w:rsid w:val="004C2669"/>
    <w:rsid w:val="004D0AF3"/>
    <w:rsid w:val="004D2C4D"/>
    <w:rsid w:val="004D566A"/>
    <w:rsid w:val="004D5FDE"/>
    <w:rsid w:val="004F1F1E"/>
    <w:rsid w:val="005277F7"/>
    <w:rsid w:val="00527B0A"/>
    <w:rsid w:val="0057576E"/>
    <w:rsid w:val="00581CA0"/>
    <w:rsid w:val="005858F2"/>
    <w:rsid w:val="005B06DC"/>
    <w:rsid w:val="005D68D7"/>
    <w:rsid w:val="005E27C9"/>
    <w:rsid w:val="005E7809"/>
    <w:rsid w:val="005F7FAC"/>
    <w:rsid w:val="00613648"/>
    <w:rsid w:val="00615A15"/>
    <w:rsid w:val="00633AB0"/>
    <w:rsid w:val="006806E7"/>
    <w:rsid w:val="0068352C"/>
    <w:rsid w:val="00686636"/>
    <w:rsid w:val="0068766E"/>
    <w:rsid w:val="006930C0"/>
    <w:rsid w:val="00693390"/>
    <w:rsid w:val="006A2F67"/>
    <w:rsid w:val="006A67B0"/>
    <w:rsid w:val="006A732B"/>
    <w:rsid w:val="006B0A5A"/>
    <w:rsid w:val="006C0157"/>
    <w:rsid w:val="006C1BB4"/>
    <w:rsid w:val="006D03F8"/>
    <w:rsid w:val="006D5626"/>
    <w:rsid w:val="006E5266"/>
    <w:rsid w:val="006F641A"/>
    <w:rsid w:val="007033F1"/>
    <w:rsid w:val="007108F7"/>
    <w:rsid w:val="00710D8A"/>
    <w:rsid w:val="00712F20"/>
    <w:rsid w:val="00721436"/>
    <w:rsid w:val="007317AB"/>
    <w:rsid w:val="007641DE"/>
    <w:rsid w:val="00766A8E"/>
    <w:rsid w:val="00776CD8"/>
    <w:rsid w:val="00780C9A"/>
    <w:rsid w:val="007966B5"/>
    <w:rsid w:val="007D2B9B"/>
    <w:rsid w:val="007E7547"/>
    <w:rsid w:val="007F06B4"/>
    <w:rsid w:val="00800387"/>
    <w:rsid w:val="008041F9"/>
    <w:rsid w:val="00813F2B"/>
    <w:rsid w:val="00833A1B"/>
    <w:rsid w:val="00834622"/>
    <w:rsid w:val="008376C7"/>
    <w:rsid w:val="00855E8B"/>
    <w:rsid w:val="008A2395"/>
    <w:rsid w:val="008B320F"/>
    <w:rsid w:val="008C337E"/>
    <w:rsid w:val="008C4767"/>
    <w:rsid w:val="008D1EB1"/>
    <w:rsid w:val="008F11A2"/>
    <w:rsid w:val="009054F5"/>
    <w:rsid w:val="00915E40"/>
    <w:rsid w:val="00934DD0"/>
    <w:rsid w:val="00976E91"/>
    <w:rsid w:val="009778EA"/>
    <w:rsid w:val="0098456A"/>
    <w:rsid w:val="009A4A1B"/>
    <w:rsid w:val="009C2ECA"/>
    <w:rsid w:val="009D6788"/>
    <w:rsid w:val="009D6EA5"/>
    <w:rsid w:val="00A00B83"/>
    <w:rsid w:val="00A061A6"/>
    <w:rsid w:val="00A22316"/>
    <w:rsid w:val="00A23467"/>
    <w:rsid w:val="00A27F10"/>
    <w:rsid w:val="00A30AEF"/>
    <w:rsid w:val="00A432D3"/>
    <w:rsid w:val="00A70F37"/>
    <w:rsid w:val="00A7316F"/>
    <w:rsid w:val="00A8088A"/>
    <w:rsid w:val="00A822BF"/>
    <w:rsid w:val="00A83341"/>
    <w:rsid w:val="00A83ACC"/>
    <w:rsid w:val="00A942FC"/>
    <w:rsid w:val="00A94F2E"/>
    <w:rsid w:val="00A9507C"/>
    <w:rsid w:val="00AB0C71"/>
    <w:rsid w:val="00AC5F71"/>
    <w:rsid w:val="00AC7945"/>
    <w:rsid w:val="00B14E5E"/>
    <w:rsid w:val="00B22DF6"/>
    <w:rsid w:val="00B56900"/>
    <w:rsid w:val="00B709B2"/>
    <w:rsid w:val="00B96503"/>
    <w:rsid w:val="00B96A01"/>
    <w:rsid w:val="00BB0994"/>
    <w:rsid w:val="00BB557A"/>
    <w:rsid w:val="00BE7419"/>
    <w:rsid w:val="00C04200"/>
    <w:rsid w:val="00C05ACF"/>
    <w:rsid w:val="00C14056"/>
    <w:rsid w:val="00C15D5F"/>
    <w:rsid w:val="00C345EE"/>
    <w:rsid w:val="00C416C7"/>
    <w:rsid w:val="00C5112C"/>
    <w:rsid w:val="00C51617"/>
    <w:rsid w:val="00C6219B"/>
    <w:rsid w:val="00C64224"/>
    <w:rsid w:val="00C64907"/>
    <w:rsid w:val="00C67AA7"/>
    <w:rsid w:val="00C80964"/>
    <w:rsid w:val="00C95520"/>
    <w:rsid w:val="00C95887"/>
    <w:rsid w:val="00C95BDF"/>
    <w:rsid w:val="00CA437E"/>
    <w:rsid w:val="00CB6231"/>
    <w:rsid w:val="00CD6A89"/>
    <w:rsid w:val="00CF474C"/>
    <w:rsid w:val="00CF4AC1"/>
    <w:rsid w:val="00D11B8D"/>
    <w:rsid w:val="00D21554"/>
    <w:rsid w:val="00D3461C"/>
    <w:rsid w:val="00D359A6"/>
    <w:rsid w:val="00D54547"/>
    <w:rsid w:val="00D66A6A"/>
    <w:rsid w:val="00DA1724"/>
    <w:rsid w:val="00DC0649"/>
    <w:rsid w:val="00DC5E42"/>
    <w:rsid w:val="00DC7341"/>
    <w:rsid w:val="00E014A4"/>
    <w:rsid w:val="00E06B77"/>
    <w:rsid w:val="00E14998"/>
    <w:rsid w:val="00E2606B"/>
    <w:rsid w:val="00E31976"/>
    <w:rsid w:val="00E47789"/>
    <w:rsid w:val="00E50510"/>
    <w:rsid w:val="00E50774"/>
    <w:rsid w:val="00E54F86"/>
    <w:rsid w:val="00E65927"/>
    <w:rsid w:val="00E73E42"/>
    <w:rsid w:val="00E90297"/>
    <w:rsid w:val="00EA2769"/>
    <w:rsid w:val="00EA4A7E"/>
    <w:rsid w:val="00EA51C0"/>
    <w:rsid w:val="00EB4B48"/>
    <w:rsid w:val="00EE60B2"/>
    <w:rsid w:val="00EF0E5D"/>
    <w:rsid w:val="00F03FDD"/>
    <w:rsid w:val="00F06F14"/>
    <w:rsid w:val="00F10A71"/>
    <w:rsid w:val="00F26ED2"/>
    <w:rsid w:val="00F305FB"/>
    <w:rsid w:val="00F335F6"/>
    <w:rsid w:val="00F44BDE"/>
    <w:rsid w:val="00F57B70"/>
    <w:rsid w:val="00F64B56"/>
    <w:rsid w:val="00F801B3"/>
    <w:rsid w:val="00F95D46"/>
    <w:rsid w:val="00FA5495"/>
    <w:rsid w:val="00FB0704"/>
    <w:rsid w:val="00FB5EA0"/>
    <w:rsid w:val="00FC3C7E"/>
    <w:rsid w:val="00FC5331"/>
    <w:rsid w:val="00FD1483"/>
    <w:rsid w:val="00FD1D9C"/>
    <w:rsid w:val="00FD27D2"/>
    <w:rsid w:val="00FE1735"/>
    <w:rsid w:val="00FE5878"/>
    <w:rsid w:val="00FE635E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59378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paragraph" w:customStyle="1" w:styleId="p1">
    <w:name w:val="p1"/>
    <w:basedOn w:val="Normal"/>
    <w:rsid w:val="00FD27D2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pt-BR"/>
      <w14:ligatures w14:val="none"/>
    </w:rPr>
  </w:style>
  <w:style w:type="paragraph" w:customStyle="1" w:styleId="p2">
    <w:name w:val="p2"/>
    <w:basedOn w:val="Normal"/>
    <w:rsid w:val="00FD27D2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pt-BR"/>
      <w14:ligatures w14:val="none"/>
    </w:rPr>
  </w:style>
  <w:style w:type="character" w:customStyle="1" w:styleId="s1">
    <w:name w:val="s1"/>
    <w:basedOn w:val="Fontepargpadro"/>
    <w:rsid w:val="00FD27D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ontepargpadro"/>
    <w:rsid w:val="00FD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lww.com/ccejournal/fulltext/2024/06000/comparison_of_central_and_peripheral_arterial.3.aspx" TargetMode="External" /><Relationship Id="rId13" Type="http://schemas.openxmlformats.org/officeDocument/2006/relationships/hyperlink" Target="https://doi.org/10.1097%2FCCE.0000000000001096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doi.org/10.1590/1980-265X-TCE-2023-0208en" TargetMode="External" /><Relationship Id="rId12" Type="http://schemas.openxmlformats.org/officeDocument/2006/relationships/hyperlink" Target="https://ojs.brazilianjournals.com.br/ojs/index.php/BRJD/article/view/50301/pdf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sciencedirect.com/science/article/pii/S0883944119319410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hyperlink" Target="https://doi.org/10.5935/0103-507X.20200022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oi.org/10.1097/ALN.0000000000004534" TargetMode="External" /><Relationship Id="rId14" Type="http://schemas.openxmlformats.org/officeDocument/2006/relationships/hyperlink" Target="https://doi.org/10.1007%2Fs10877-020-00482-2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Nicoly Dantas</cp:lastModifiedBy>
  <cp:revision>3</cp:revision>
  <dcterms:created xsi:type="dcterms:W3CDTF">2024-10-05T23:52:00Z</dcterms:created>
  <dcterms:modified xsi:type="dcterms:W3CDTF">2024-10-06T00:01:00Z</dcterms:modified>
</cp:coreProperties>
</file>