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RESUMO EXPANDIDO EPCA 2024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NARRATIVAS DE VIOLÊNCIAS EM VIDEOGAMES: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REFLEXÕES SOBRE OS JOGOS GRAND THEFT AUTO  E CALL OF DUTY: MOBILE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João Vitor Santos Uchôa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Thais Vitória Borges de Souza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Alda Cristina Silva da Costa³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RESUMO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analisa o crescimento dos videogames como forma de entretenimento, focando na presença de narrativas violentas em jogos populares como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Grand Theft Auto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Call of Duty: Mobile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Essas narrativas exploram dinâmicas de poder, conflito e sobrevivência. A pesquisa examina gameplays, vídeos de lançamento e propagandas, onde a violência é um tema central que contribui para a popularidade dos jogos, intensificada pela imersão proporcionada ao jogador. A projeção de comportamentos violentos nos jogos levanta questões sobre sua construção, manipulação e possíveis influências no comportamento real dos jogadores. O estudo propõe uma reflexão sobre como esses jogos moldam percepções e valores em uma sociedade cada vez mais imersa em experiências virtuais, destacando a complexidade cultural e social dessas narrativas violentas.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Palavras-chave: </w:t>
      </w:r>
      <w:r w:rsidDel="00000000" w:rsidR="00000000" w:rsidRPr="00000000">
        <w:rPr>
          <w:rFonts w:ascii="Arial" w:cs="Arial" w:eastAsia="Arial" w:hAnsi="Arial"/>
          <w:rtl w:val="0"/>
        </w:rPr>
        <w:t xml:space="preserve">Violência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Narrativa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Jogos eletrônicos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Entretenimento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videogames têm expandido sua ação e sedução do público no universo do lazer e entretenimento online, consolidando-se como uma das mídias digitais mais populares. Como produtos tecnológicos que processam informações e integram a cultura de massa (Braga Jr., 2021), os jogos virtuais exploram possibilidades além do físico e tátil, tornando-se cada vez mais imersivos com o avanço das atualizações. Entre as várias questões que envolvem o mundo dos videogames, a violência ocupa um lugar central na criação de suas narrativas, sendo um dos temas que geram mais lucro para a indústria, presente em jogos de diversas categorias e faixas etárias.</w:t>
      </w:r>
    </w:p>
    <w:p w:rsidR="00000000" w:rsidDel="00000000" w:rsidP="00000000" w:rsidRDefault="00000000" w:rsidRPr="00000000" w14:paraId="0000001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narrativas violentas, frequentemente baseadas em dinâmicas de poder, conflito e sobrevivência, remetem tanto às estruturas tradicionais da mitologia e literatura quanto a aproximações com a realidade, sempre permeadas por elementos ficcionais ou fantasiosos. Jogos como a franquia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Grand Theft Auto,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amplamente distribuído para consoles como PlayStation 2, computadores, entre outros,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Call of Duty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este último expandido para dispositivos móveis em sua versão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expandiu sua jogabilidade dos consoles e computadores para os celulares, em uma versão compacta e mais acessível, são exemplos de títulos que fazem uso extensivo de discursos violentos em suas gameplays. Esses jogos se tornaram fenômenos culturais por sua grande circulação e forte apelo ao público.</w:t>
      </w:r>
    </w:p>
    <w:p w:rsidR="00000000" w:rsidDel="00000000" w:rsidP="00000000" w:rsidRDefault="00000000" w:rsidRPr="00000000" w14:paraId="0000001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campo da comunicação, Morin (1962) levanta a hipótese da projeção, sugerindo que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mass media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incluindo a indústria de videogames — oferecem personagens e atitudes que podem se tornar modelos imitáveis pelos jogadores. Com base nessa ideia, este artigo busca identificar como as narrativas de violência estruturam esses jogos e o potencial que eles têm de influenciar a relação dos jogadores com a realidade, seja despertando, reproduzindo ou até mesmo reprimindo atitudes violentas.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este artigo, serão analisados os dois jogos mencionados: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Grand Theft Auto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Call of Duty: Mobile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Embora pertençam a categorias e tenham classificações diferentes, ambos compartilham a violência como elemento central de suas narrativas. O método adotado para a construção deste artigo envolverá a análise de conteúdo, incluindo gameplays, vídeos de lançamento e propagandas, nas quais as mensagens são construídas e apresentadas com um caráter violento. Essa abordagem permitirá examinar como a violência é representada e utilizada para atrair e engajar o público.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Entendemos as narrativas de violência, conforme Costa (2017; 2018), como relatos, representações ou construções de histórias que envolvem a presença de atos violentos, conflitos, agressões físicas ou psicológicas, e dinâmicas de poder em que há a intenção de causar dano a indivíduos, grupos ou entidades. Essas narrativas podem ser apresentadas de diversas formas, como em textos, filmes, videogames ou outros meios de comunicação, e frequentemente refletem questões sociais, culturais e históricas relacionadas à violência.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Essas narrativas não se limitam à descrição de atos violentos, mas também exploram suas causas, consequências e impactos emocionais e morais. Em muitas vezes, as narrativas de violência servem como metáforas para conflitos sociais ou questões éticas mais amplas, sendo usadas para provocar reflexões sobre a condição humana, a justiça, o poder e a sobrevivência. Além disso, essas narrativas podem adotar diferentes níveis de realismo, variando entre representações ficcionais, fantasiosas ou simuladas, e retratos mais realistas e contemporâneos da violência presente no mundo real.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OS JOGOS E AS EXPERIÊNCIAS IMERSIVAS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entrar no universo dos jogos online, é possível encontrar uma ampla variedade de gêneros, que vão desde as propostas mais criativas e fantásticas até aquelas que se aproximam ao máximo da realidade, como nos jogos de simulação. Assim, classificamos os jogos escolhidos dentro de nichos específicos dos videogames: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Call of Duty: Mobile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(CoD) pertence ao gênero FPS (First-Person Shooter), ou tiro em primeira pessoa, um subgênero dos jogos de ação e tiro, enquanto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Grand Theft Auto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(GTA) é categorizado como um jogo de ação-aventura.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8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Ambos os jogos são considerados fenômenos entre os consumidores de videogames, atraindo ainda mais jogadores por suas inovações ao apresentar conteúdos de ação que envolvem e proporcionam uma experiência altamente imersiva. 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Call of Duty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(CoD), o jogador assume o controle de um personagem em uma equipe de combate que enfrenta forças inimigas, controladas por outros jogadores, em cenários de guerra e destruição. A agilidade e a estratégia são fundamentais para o sucesso nesse ambiente competitivo.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o jogo Grand Theft Auto, em específico no jogo GTA V, quinto jogo da franquia, o jogador assume o controle de um personagem que acaba de sair da prisão e inicia a sua jornada para se tornar um gangster na cidade de Los Santos,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história essa inspirada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inicialmente na cidade de Los Angeles,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conflitos com gangues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rivais pelo controle do tráfico, prostituição, entre outros temas sensíveis e relacionados ao meio.</w:t>
      </w:r>
    </w:p>
    <w:p w:rsidR="00000000" w:rsidDel="00000000" w:rsidP="00000000" w:rsidRDefault="00000000" w:rsidRPr="00000000" w14:paraId="0000001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Esses conteúdos sensíveis, como temáticas de guerra ou criminalidade nos centros urbanos, formam o eixo central das narrativas desses jogos, reconhecidos tanto pela jogabilidade quanto pela representação desses temas.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Grand Theft Auto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Call of Duty: Mobile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exploram a violência de formas distintas, o que contribui para seu enorme sucesso em downloads e vendas. Essa violência não se limita às interações no jogo ou às diversas maneiras de jogar, mas é também mercantilizada por seus desenvolvedores, que criam novos conteúdos exclusivos, como armas personalizadas, skins (equipamentos visuais), roupas, carros, entre outros, para tornar a experiência mais atrativa e diferenciada.</w:t>
      </w:r>
    </w:p>
    <w:p w:rsidR="00000000" w:rsidDel="00000000" w:rsidP="00000000" w:rsidRDefault="00000000" w:rsidRPr="00000000" w14:paraId="0000002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anúncios e vídeos promocionais desses jogos também são impregnados de narrativas violentas, com cenas de explosões de bases inimigas, incursões militares, rivalidades entre gangues, tráfico de drogas e simulações de assassinatos com armas personalizadas. Esses elementos ajudam a construir um contexto que, embora fictício, remete a situações reais de violência e conflito que a humanidade já presenciou em momentos sombrios de sua história.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CONSIDERAÇÕES FINAIS 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narrativas violentas presentes em videogames, como explorado nesta proposta, apontam para uma dimensão que transcende o simples entretenimento, gerando reflexões sobre os possíveis impactos na relação dos jogadores com a realidade. Jogos como Grand Theft Auto e Call of Duty: Mobile incorporam violência como um elemento central de suas histórias, o que levanta questões sobre a normalização de temas sensíveis como criminalidade e guerra. Ao analisarmos esses jogos, observamos que a violência não apenas molda a jogabilidade e a experiência do jogador, mas também se transforma em um produto comercial, transformando-o em um sucesso. </w:t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fascínio por essas narrativas está, muitas vezes, atrelado ao desejo de imersão e à busca por experiências que desafiam o jogador a sobreviver em ambientes hostis, fazendo da violência,</w:t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22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 mecanismo de proteção cultural que visa satisfazer nossa própria natureza ao simular (como simulacro) a violência. Uma simulação real e ao mesmo tempo irreal pelo qual tiramos sua razão de ser: o prazer em agir de forma violenta sem receber os dividendos e suas consequências. (Braga Jr. 2021, p. 55)</w:t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Embora não haja uma resposta definitiva sobre a relação direta entre o consumo de jogos violentos e o comportamento agressivo, é inegável que esses produtos midiáticos moldam percepções, fornecendo um espaço onde os jogadores experimentam e até "brincam" com dinâmicas de poder e conflito.</w:t>
      </w:r>
    </w:p>
    <w:p w:rsidR="00000000" w:rsidDel="00000000" w:rsidP="00000000" w:rsidRDefault="00000000" w:rsidRPr="00000000" w14:paraId="0000002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disso, o estudo da violência nos videogames exige uma análise cuidadosa não apenas do conteúdo explícito das narrativas, mas também dos mecanismos culturais e sociais que reforçam ou desafiam essas representações. Reconhecendo a complexidade dessas interações, este trabalho busca contribuir para a compreensão de como os videogames, enquanto fenômeno cultural, podem influenciar comportamentos e valores, especialmente em uma sociedade cada vez mais imersa em experiências virtuais.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REFERÊNCIAS BIBLIOGRÁFICAS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BRAGA JUNIOR, Amaro Xavier.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Estética de Violência nos Jogos Eletrônicos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n. 32, p. 35-49, 2021.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https://revista.fumec.br/index.php/mediacao/article/view/8048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2 out. 2024.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Alda Cristina. COSTA, Alda Cristina et al. Narrativas jornalísticas e representações sociais da violência na Amazônia urbana. In: MARTINS, Filipe (org.). Trajetos da narratividade: ensaios sobre narrativa, média e cognição. Porto: Faculdade de Letras da Universidade do Porto, 2017. p. 95-106.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Alda Cristina et al. Medo e violência no espaço midiático: reflexões sobre as narrativas jornalísticas paraenses. In: COSTA, Alda Cristina; AMORIM, Célia Regina Trindade Chagas Amorim; CASTRO, Marina Ramos Neves de Castro (org.). Comunicação e pesquisa na Amazônia: perspectivas e práticas. Belém: PPGCom/UFPA, 2018. p. 108-131.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MORIN, Edgar.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Cultura de Massas no Século XX - Neurose.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1962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15" w:firstLine="0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Graduando do curso de Comunicação Social - Jornalismo da Faculdade de Comunicação da Universidade Federal do Pará. Email: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joaovitorsuchoa@gmail.com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 do curso de Ciências Sociais da Faculdade de Ciências Sociais da Universidade Federal do Pará. Email: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thaisborges.csri@gmail.com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Docente do Programa de Pós Graduação em Comunicação, Cultura e Amazônia ( PPGCOM - UFPA ) e da Faculdade de Comunicação, Universidade Federal do Pará. Email: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aldacristinacosta@gmail.com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040" cy="1080135"/>
          <wp:effectExtent b="0" l="0" r="0" t="0"/>
          <wp:docPr descr="Cabeçalho_ModeloArtigo_Prancheta 1.jpg" id="1" name="image1.jpg"/>
          <a:graphic>
            <a:graphicData uri="http://schemas.openxmlformats.org/drawingml/2006/picture">
              <pic:pic>
                <pic:nvPicPr>
                  <pic:cNvPr descr="Cabeçalho_ModeloArtigo_Prancheta 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13" w:right="62" w:hanging="213"/>
      <w:jc w:val="center"/>
    </w:pPr>
    <w:rPr>
      <w:rFonts w:ascii="Arial Narrow" w:cs="Arial Narrow" w:eastAsia="Arial Narrow" w:hAnsi="Arial Narrow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revista.fumec.br/index.php/mediacao/article/view/804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joaovitorsuchoa@gmail.com" TargetMode="External"/><Relationship Id="rId2" Type="http://schemas.openxmlformats.org/officeDocument/2006/relationships/hyperlink" Target="mailto:thaisborges.csri@gmail.com" TargetMode="External"/><Relationship Id="rId3" Type="http://schemas.openxmlformats.org/officeDocument/2006/relationships/hyperlink" Target="mailto:aldacristinacost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0x01010065A529ADCD4D7541AB86B5A45FD3FA75</vt:lpwstr>
  </property>
</Properties>
</file>