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ff0000"/>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-1066162</wp:posOffset>
            </wp:positionH>
            <wp:positionV relativeFrom="paragraph">
              <wp:posOffset>-753704</wp:posOffset>
            </wp:positionV>
            <wp:extent cx="7530353" cy="1035685"/>
            <wp:effectExtent b="0" l="0" r="0" t="0"/>
            <wp:wrapNone/>
            <wp:docPr id="4" name="image1.png"/>
            <a:graphic>
              <a:graphicData uri="http://schemas.openxmlformats.org/drawingml/2006/picture">
                <pic:pic>
                  <pic:nvPicPr>
                    <pic:cNvPr id="0" name="image1.png"/>
                    <pic:cNvPicPr preferRelativeResize="0"/>
                  </pic:nvPicPr>
                  <pic:blipFill>
                    <a:blip r:embed="rId7"/>
                    <a:srcRect b="28376" l="0" r="0" t="28901"/>
                    <a:stretch>
                      <a:fillRect/>
                    </a:stretch>
                  </pic:blipFill>
                  <pic:spPr>
                    <a:xfrm>
                      <a:off x="0" y="0"/>
                      <a:ext cx="7530353" cy="1035685"/>
                    </a:xfrm>
                    <a:prstGeom prst="rect"/>
                    <a:ln/>
                  </pic:spPr>
                </pic:pic>
              </a:graphicData>
            </a:graphic>
          </wp:anchor>
        </w:drawing>
      </w:r>
    </w:p>
    <w:p w:rsidR="00000000" w:rsidDel="00000000" w:rsidP="00000000" w:rsidRDefault="00000000" w:rsidRPr="00000000" w14:paraId="00000002">
      <w:pPr>
        <w:spacing w:line="276" w:lineRule="auto"/>
        <w:ind w:right="-427"/>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spacing w:line="276" w:lineRule="auto"/>
        <w:ind w:right="-427"/>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GOLD-DOPED TiO₂: A PROMISING APPROACH FOR REDUCING TOXICITY AND ENHANCING NEUROPROTECTION ALS MODELS </w:t>
      </w:r>
    </w:p>
    <w:p w:rsidR="00000000" w:rsidDel="00000000" w:rsidP="00000000" w:rsidRDefault="00000000" w:rsidRPr="00000000" w14:paraId="00000004">
      <w:pPr>
        <w:ind w:right="-427"/>
        <w:rPr>
          <w:rFonts w:ascii="Arial" w:cs="Arial" w:eastAsia="Arial" w:hAnsi="Arial"/>
          <w:b w:val="1"/>
          <w:color w:val="000000"/>
          <w:sz w:val="20"/>
          <w:szCs w:val="20"/>
        </w:rPr>
      </w:pPr>
      <w:r w:rsidDel="00000000" w:rsidR="00000000" w:rsidRPr="00000000">
        <w:rPr>
          <w:rFonts w:ascii="Arial" w:cs="Arial" w:eastAsia="Arial" w:hAnsi="Arial"/>
          <w:b w:val="1"/>
          <w:sz w:val="20"/>
          <w:szCs w:val="20"/>
          <w:u w:val="single"/>
          <w:rtl w:val="0"/>
        </w:rPr>
        <w:t xml:space="preserve">Auana Raiana da S. Andrade</w:t>
      </w:r>
      <w:r w:rsidDel="00000000" w:rsidR="00000000" w:rsidRPr="00000000">
        <w:rPr>
          <w:rFonts w:ascii="Arial" w:cs="Arial" w:eastAsia="Arial" w:hAnsi="Arial"/>
          <w:b w:val="1"/>
          <w:color w:val="000000"/>
          <w:sz w:val="20"/>
          <w:szCs w:val="20"/>
          <w:rtl w:val="0"/>
        </w:rPr>
        <w:t xml:space="preserve"> (G)</w:t>
      </w:r>
      <w:r w:rsidDel="00000000" w:rsidR="00000000" w:rsidRPr="00000000">
        <w:rPr>
          <w:rFonts w:ascii="Arial" w:cs="Arial" w:eastAsia="Arial" w:hAnsi="Arial"/>
          <w:b w:val="1"/>
          <w:color w:val="000000"/>
          <w:sz w:val="20"/>
          <w:szCs w:val="20"/>
          <w:vertAlign w:val="superscript"/>
          <w:rtl w:val="0"/>
        </w:rPr>
        <w:t xml:space="preserve">1</w:t>
      </w:r>
      <w:r w:rsidDel="00000000" w:rsidR="00000000" w:rsidRPr="00000000">
        <w:rPr>
          <w:rFonts w:ascii="Arial" w:cs="Arial" w:eastAsia="Arial" w:hAnsi="Arial"/>
          <w:b w:val="1"/>
          <w:sz w:val="20"/>
          <w:szCs w:val="20"/>
          <w:vertAlign w:val="superscript"/>
          <w:rtl w:val="0"/>
        </w:rPr>
        <w:t xml:space="preserve"> </w:t>
      </w:r>
      <w:r w:rsidDel="00000000" w:rsidR="00000000" w:rsidRPr="00000000">
        <w:rPr>
          <w:rFonts w:ascii="Arial" w:cs="Arial" w:eastAsia="Arial" w:hAnsi="Arial"/>
          <w:b w:val="1"/>
          <w:sz w:val="20"/>
          <w:szCs w:val="20"/>
          <w:rtl w:val="0"/>
        </w:rPr>
        <w:t xml:space="preserve">, Jerusa M. de Oliveira</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Res</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color w:val="000000"/>
          <w:sz w:val="20"/>
          <w:szCs w:val="20"/>
          <w:vertAlign w:val="superscript"/>
          <w:rtl w:val="0"/>
        </w:rPr>
        <w:t xml:space="preserve">1,2</w:t>
      </w:r>
      <w:r w:rsidDel="00000000" w:rsidR="00000000" w:rsidRPr="00000000">
        <w:rPr>
          <w:rFonts w:ascii="Arial" w:cs="Arial" w:eastAsia="Arial" w:hAnsi="Arial"/>
          <w:b w:val="1"/>
          <w:sz w:val="20"/>
          <w:szCs w:val="20"/>
          <w:rtl w:val="0"/>
        </w:rPr>
        <w:t xml:space="preserve">, Amanda I. dos S. Barbosa (PG)</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b w:val="1"/>
          <w:sz w:val="20"/>
          <w:szCs w:val="20"/>
          <w:u w:val="single"/>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Anielle Christine A. SiIva</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Prof)</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sz w:val="20"/>
          <w:szCs w:val="20"/>
          <w:vertAlign w:val="superscript"/>
          <w:rtl w:val="0"/>
        </w:rPr>
        <w:t xml:space="preserve"> </w:t>
      </w:r>
      <w:r w:rsidDel="00000000" w:rsidR="00000000" w:rsidRPr="00000000">
        <w:rPr>
          <w:rFonts w:ascii="Arial" w:cs="Arial" w:eastAsia="Arial" w:hAnsi="Arial"/>
          <w:b w:val="1"/>
          <w:sz w:val="20"/>
          <w:szCs w:val="20"/>
          <w:rtl w:val="0"/>
        </w:rPr>
        <w:t xml:space="preserve">Lucas Anhezini</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Prof</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tl w:val="0"/>
        </w:rPr>
      </w:r>
    </w:p>
    <w:p w:rsidR="00000000" w:rsidDel="00000000" w:rsidP="00000000" w:rsidRDefault="00000000" w:rsidRPr="00000000" w14:paraId="00000005">
      <w:pPr>
        <w:spacing w:after="120" w:lineRule="auto"/>
        <w:ind w:right="-427"/>
        <w:rPr>
          <w:rFonts w:ascii="Arial" w:cs="Arial" w:eastAsia="Arial" w:hAnsi="Arial"/>
          <w:color w:val="000000"/>
          <w:sz w:val="20"/>
          <w:szCs w:val="20"/>
        </w:rPr>
      </w:pPr>
      <w:hyperlink r:id="rId8">
        <w:r w:rsidDel="00000000" w:rsidR="00000000" w:rsidRPr="00000000">
          <w:rPr>
            <w:rFonts w:ascii="Arial" w:cs="Arial" w:eastAsia="Arial" w:hAnsi="Arial"/>
            <w:b w:val="1"/>
            <w:color w:val="467886"/>
            <w:sz w:val="20"/>
            <w:szCs w:val="20"/>
            <w:u w:val="single"/>
            <w:rtl w:val="0"/>
          </w:rPr>
          <w:t xml:space="preserve">auana.andrade@icbs.ufal.br</w:t>
        </w:r>
      </w:hyperlink>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06">
      <w:pPr>
        <w:spacing w:after="120" w:lineRule="auto"/>
        <w:ind w:right="-427"/>
        <w:jc w:val="both"/>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vertAlign w:val="superscript"/>
          <w:rtl w:val="0"/>
        </w:rPr>
        <w:t xml:space="preserve">1</w:t>
      </w:r>
      <w:r w:rsidDel="00000000" w:rsidR="00000000" w:rsidRPr="00000000">
        <w:rPr>
          <w:rFonts w:ascii="Arial" w:cs="Arial" w:eastAsia="Arial" w:hAnsi="Arial"/>
          <w:i w:val="1"/>
          <w:sz w:val="18"/>
          <w:szCs w:val="18"/>
          <w:rtl w:val="0"/>
        </w:rPr>
        <w:t xml:space="preserve">Laboratório de Análise in vivo da toxicidade e Doenças Neurodegenerativas - Instituto de Ciências Biológicas e da Saúde, Maceió, AL</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sz w:val="18"/>
          <w:szCs w:val="18"/>
          <w:vertAlign w:val="superscript"/>
          <w:rtl w:val="0"/>
        </w:rPr>
        <w:t xml:space="preserve">2</w:t>
      </w:r>
      <w:r w:rsidDel="00000000" w:rsidR="00000000" w:rsidRPr="00000000">
        <w:rPr>
          <w:rFonts w:ascii="Arial" w:cs="Arial" w:eastAsia="Arial" w:hAnsi="Arial"/>
          <w:i w:val="1"/>
          <w:color w:val="000000"/>
          <w:sz w:val="18"/>
          <w:szCs w:val="18"/>
          <w:rtl w:val="0"/>
        </w:rPr>
        <w:t xml:space="preserve">Laboratório de Novos Materiais Nanoestruturados e Funcionais - Instituto de Física, Universidade Federal de Alagoas, Maceió, AL</w:t>
      </w:r>
    </w:p>
    <w:p w:rsidR="00000000" w:rsidDel="00000000" w:rsidP="00000000" w:rsidRDefault="00000000" w:rsidRPr="00000000" w14:paraId="00000007">
      <w:pPr>
        <w:ind w:right="-427"/>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Keywords: Drosophila melanogaster, TDP43, Nanocrystals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5671820" cy="284480"/>
                <wp:effectExtent b="0" l="0" r="0" t="0"/>
                <wp:wrapNone/>
                <wp:docPr id="3" name=""/>
                <a:graphic>
                  <a:graphicData uri="http://schemas.microsoft.com/office/word/2010/wordprocessingShape">
                    <wps:wsp>
                      <wps:cNvSpPr/>
                      <wps:cNvPr id="2" name="Shape 2"/>
                      <wps:spPr>
                        <a:xfrm>
                          <a:off x="2522790" y="3650460"/>
                          <a:ext cx="5646420" cy="259080"/>
                        </a:xfrm>
                        <a:prstGeom prst="rect">
                          <a:avLst/>
                        </a:prstGeom>
                        <a:solidFill>
                          <a:srgbClr val="D45516"/>
                        </a:solidFill>
                        <a:ln cap="flat" cmpd="sng" w="25400">
                          <a:solidFill>
                            <a:srgbClr val="D4551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5671820" cy="284480"/>
                <wp:effectExtent b="0" l="0" r="0" t="0"/>
                <wp:wrapNone/>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71820" cy="284480"/>
                        </a:xfrm>
                        <a:prstGeom prst="rect"/>
                        <a:ln/>
                      </pic:spPr>
                    </pic:pic>
                  </a:graphicData>
                </a:graphic>
              </wp:anchor>
            </w:drawing>
          </mc:Fallback>
        </mc:AlternateContent>
      </w:r>
    </w:p>
    <w:p w:rsidR="00000000" w:rsidDel="00000000" w:rsidP="00000000" w:rsidRDefault="00000000" w:rsidRPr="00000000" w14:paraId="00000008">
      <w:pPr>
        <w:jc w:val="center"/>
        <w:rPr>
          <w:rFonts w:ascii="Arial" w:cs="Arial" w:eastAsia="Arial" w:hAnsi="Arial"/>
          <w:b w:val="1"/>
          <w:color w:val="f8f8f8"/>
          <w:sz w:val="24"/>
          <w:szCs w:val="24"/>
        </w:rPr>
      </w:pPr>
      <w:r w:rsidDel="00000000" w:rsidR="00000000" w:rsidRPr="00000000">
        <w:rPr>
          <w:rFonts w:ascii="Arial" w:cs="Arial" w:eastAsia="Arial" w:hAnsi="Arial"/>
          <w:b w:val="1"/>
          <w:color w:val="f8f8f8"/>
          <w:sz w:val="24"/>
          <w:szCs w:val="24"/>
          <w:rtl w:val="0"/>
        </w:rPr>
        <w:t xml:space="preserve">ABSTRACT</w:t>
      </w:r>
    </w:p>
    <w:p w:rsidR="00000000" w:rsidDel="00000000" w:rsidP="00000000" w:rsidRDefault="00000000" w:rsidRPr="00000000" w14:paraId="00000009">
      <w:pPr>
        <w:ind w:right="-42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Amyotrophic Lateral Sclerosis (ALS) is a fatal neurodegenerative disease characterized by the progressive degeneration of motor neurons. The presence of mutations in the T DP-43 protein promotes its abnormal aggregation in nerve cells, causing neuromuscular dysfunction and subsequent motor deficits. In the context of the search for therapies, gold nanoparticles (AuNPs) have been investigated due to their anti-inflammatory and neuroprotective potential, modulating apoptotic pathways. Gold doped titanium dioxide (TiO₂:Au) exhibits thermal stability and catalytic activity, making it of great interest in pharmaceutical and industrial fields. This study aimed to evaluate the biocompatibility of TiO2:Au in </w:t>
      </w:r>
      <w:r w:rsidDel="00000000" w:rsidR="00000000" w:rsidRPr="00000000">
        <w:rPr>
          <w:rFonts w:ascii="Arial" w:cs="Arial" w:eastAsia="Arial" w:hAnsi="Arial"/>
          <w:i w:val="1"/>
          <w:sz w:val="20"/>
          <w:szCs w:val="20"/>
          <w:rtl w:val="0"/>
        </w:rPr>
        <w:t xml:space="preserve">Drosophila melanogaster</w:t>
      </w:r>
      <w:r w:rsidDel="00000000" w:rsidR="00000000" w:rsidRPr="00000000">
        <w:rPr>
          <w:rFonts w:ascii="Arial" w:cs="Arial" w:eastAsia="Arial" w:hAnsi="Arial"/>
          <w:sz w:val="20"/>
          <w:szCs w:val="20"/>
          <w:rtl w:val="0"/>
        </w:rPr>
        <w:t xml:space="preserve">, a widely used model due to its short lifespan, ease of manipulation and genomic similarity to humans. Additionally, the impact of gold doped TiO₂ was investigated in a transgenic model expressing mutated human TDP-43 protein. Gold doped TiO₂ nanocrystals were synthesized, incorporated into Drosophila standard  medium, and administered orally. Larval and pupal lethality indices were evaluated to assess the toxicity associated with pure and gold-doped TiO₂. T</w:t>
      </w:r>
      <w:r w:rsidDel="00000000" w:rsidR="00000000" w:rsidRPr="00000000">
        <w:rPr>
          <w:rFonts w:ascii="Arial" w:cs="Arial" w:eastAsia="Arial" w:hAnsi="Arial"/>
          <w:sz w:val="20"/>
          <w:szCs w:val="20"/>
          <w:rtl w:val="0"/>
        </w:rPr>
        <w:t xml:space="preserve">Our results indicated that pure TiO₂ exhibited significant toxicity, whereas doping with gold substantially reduced this toxicity, suggesting a modulatory role of Au in enhancing biocompatibility. Utilizing the UAS-GAL4 expression system, we expressed the mutated TDP-43 in specific tissues, including motor neurons and ocular tissue, allowing us to assess the impact on larval motility and ocular neurodegeneration. Notably, necrotic lesions were observed in the ocular tissue of animals treated with pure TiO₂, correlating with reduced larval motility. In contrast, treatment with gold-doped TiO₂ resulted in marked improvements in ocular health and larval motility, with treated larvae exhibiting significant recovery compared to the control group exposed solely to the standard medium containing the mutated TDP-43 protein. These findings underscore the neuroprotective potential of gold-doped TiO₂ nanocrystals, which not only reduce degenerative effects associated with pure TiO₂ but also enhance locomotor activity in a model of ALS. This study suggests that gold-doped TiO₂ could represent a promising avenue for therapeutic strategies in ALS, providing both neuroprotective effects and mitigating the inherent toxicity of pure TiO₂.</w:t>
      </w:r>
    </w:p>
    <w:sectPr>
      <w:footerReference r:id="rId10" w:type="default"/>
      <w:pgSz w:h="16838" w:w="11906" w:orient="portrait"/>
      <w:pgMar w:bottom="426" w:top="1134" w:left="1701" w:right="1701" w:header="708" w:footer="4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3rd Brazil-France Symposium on Medicinal Chemistry: Advances in Drug Design and Discovery. Maceió-AL,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riasouza12@seue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I+tke/orNhnxOlA3Qj0MOwemg==">CgMxLjA4AGonChRzdWdnZXN0LjRtZHF0OWF1dDR6MRIPSmVydXNhIE9saXZlaXJhaicKFHN1Z2dlc3QuZmh3Z2w0ZmowcW01Eg9KZXJ1c2EgT2xpdmVpcmFqJwoUc3VnZ2VzdC5mamd2eGtjcXA1MmcSD0plcnVzYSBPbGl2ZWlyYWonChRzdWdnZXN0LnJrenQ5aDh5dWl6ZBIPSmVydXNhIE9saXZlaXJhaicKFHN1Z2dlc3QuZmoxa3Mxc205bDJ6Eg9KZXJ1c2EgT2xpdmVpcmFyITEtTE1sQ3RKSkJYWGhhUHFJcThpbW5wc0REanhtYzc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