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2" w:rsidRDefault="00052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372" w:rsidRDefault="00052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372" w:rsidRDefault="00867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AUMENTO DA PROBABILIDADE DE ACOMETIMENTO ÓSSEO EM PACIENTES IDOSOS</w:t>
      </w:r>
    </w:p>
    <w:p w:rsidR="00052372" w:rsidRDefault="00052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372" w:rsidRDefault="00867C87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Fabiano Veloso Falcão Júnior; Lucas Soares Guimarães; João Paulo Rezende </w:t>
      </w:r>
      <w:r w:rsidR="00EE43AC">
        <w:rPr>
          <w:rFonts w:ascii="Times New Roman" w:hAnsi="Times New Roman" w:cs="Times New Roman"/>
          <w:sz w:val="24"/>
          <w:szCs w:val="24"/>
        </w:rPr>
        <w:t xml:space="preserve">Silva, Andrey Sady de Souza </w:t>
      </w:r>
      <w:r w:rsidR="005F7E2A">
        <w:rPr>
          <w:rFonts w:ascii="Times New Roman" w:hAnsi="Times New Roman" w:cs="Times New Roman"/>
          <w:sz w:val="24"/>
          <w:szCs w:val="24"/>
        </w:rPr>
        <w:t>Almeida, Pollyana Cavalcante.</w:t>
      </w:r>
    </w:p>
    <w:p w:rsidR="00052372" w:rsidRDefault="0005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372" w:rsidRDefault="00867C8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:rsidR="00052372" w:rsidRDefault="00867C8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:rsidR="00052372" w:rsidRDefault="00867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EE43AC" w:rsidRDefault="00EE4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EE43AC" w:rsidRDefault="005F7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Doecente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Curso de Medicina da FAHESP/IESVAP</w:t>
      </w:r>
    </w:p>
    <w:p w:rsidR="00EE43AC" w:rsidRDefault="00EE43AC">
      <w:pPr>
        <w:spacing w:after="0" w:line="240" w:lineRule="auto"/>
        <w:jc w:val="center"/>
      </w:pPr>
    </w:p>
    <w:p w:rsidR="00052372" w:rsidRDefault="0005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372" w:rsidRDefault="00052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372" w:rsidRDefault="0086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Hodiernamente, a população brasileira tem envelhecido com velocidade. É estimado que dos 29.374 milhões dos habitantes do país 14.8% sejam pessoas acima dos 60 anos. No contexto, os acometimentos ósseos nessa faixa etária supraescrita, monitorado por DMO (Densidade mineral óssea) com o uso da densitometria óssea por absorciometria, </w:t>
      </w:r>
    </w:p>
    <w:p w:rsidR="00052372" w:rsidRDefault="0005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72" w:rsidRDefault="00867C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>Correlacionar acidentes ósseos em pacientes com idade avançada e com maior sua sugestividade a doenças nessas estruturas.</w:t>
      </w:r>
    </w:p>
    <w:p w:rsidR="00052372" w:rsidRDefault="00052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372" w:rsidRDefault="00867C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>
        <w:rPr>
          <w:rFonts w:ascii="Times New Roman" w:hAnsi="Times New Roman" w:cs="Times New Roman"/>
          <w:sz w:val="24"/>
          <w:szCs w:val="24"/>
        </w:rPr>
        <w:t>A princípio foi realizado a busca do tema e o objetivo de tal revisão, posteriormente foi feita a analise bibliográfica de tal acometimento na qual utilizou-se dos núcleos dados: pubmed, scielo e bimeri, utilizamos das palavras chaves referidas a baixo (Fratura Espontânea; Saúde do Idoso; Fraturas Osteoporóticas) com o escopo de entender as principais causas do acometimento ósseo no idoso como também analisar uma das principais causas do impasse, a osteoporose. Referimos também sobre os cuidados com a saúde do idoso nesse âmbito, porém apenas para fins profiláticos.</w:t>
      </w:r>
    </w:p>
    <w:p w:rsidR="00052372" w:rsidRDefault="00052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F1" w:rsidRPr="00ED7BF1" w:rsidRDefault="0086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Unitermos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41E8">
        <w:rPr>
          <w:rFonts w:ascii="Times New Roman" w:hAnsi="Times New Roman" w:cs="Times New Roman"/>
          <w:sz w:val="24"/>
          <w:szCs w:val="24"/>
        </w:rPr>
        <w:t>Fraturas Espontâneas</w:t>
      </w:r>
      <w:r>
        <w:rPr>
          <w:rFonts w:ascii="Times New Roman" w:hAnsi="Times New Roman" w:cs="Times New Roman"/>
          <w:sz w:val="24"/>
          <w:szCs w:val="24"/>
        </w:rPr>
        <w:t xml:space="preserve">; Saúde do Idoso; Fraturas </w:t>
      </w:r>
      <w:proofErr w:type="gramStart"/>
      <w:r>
        <w:rPr>
          <w:rFonts w:ascii="Times New Roman" w:hAnsi="Times New Roman" w:cs="Times New Roman"/>
          <w:sz w:val="24"/>
          <w:szCs w:val="24"/>
        </w:rPr>
        <w:t>Osteoporóticas</w:t>
      </w:r>
      <w:proofErr w:type="gramEnd"/>
    </w:p>
    <w:p w:rsidR="00052372" w:rsidRDefault="00052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2A" w:rsidRPr="005F7E2A" w:rsidRDefault="00867C87" w:rsidP="005F7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ou Análise Crítica:</w:t>
      </w:r>
      <w:r w:rsidR="00BB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390" w:rsidRPr="00A710C4">
        <w:rPr>
          <w:rFonts w:ascii="Times New Roman" w:hAnsi="Times New Roman" w:cs="Times New Roman"/>
          <w:sz w:val="24"/>
          <w:szCs w:val="24"/>
        </w:rPr>
        <w:t>O acometimento ósseo em pacientes idosos provoca grande preocupação e ônus ao Sistema Único de Saúde (SUS),</w:t>
      </w:r>
      <w:r w:rsidR="00BB6390">
        <w:rPr>
          <w:rFonts w:ascii="Times New Roman" w:hAnsi="Times New Roman" w:cs="Times New Roman"/>
          <w:sz w:val="24"/>
          <w:szCs w:val="24"/>
        </w:rPr>
        <w:t xml:space="preserve"> </w:t>
      </w:r>
      <w:r w:rsidR="00BB6390" w:rsidRPr="00A710C4">
        <w:rPr>
          <w:rFonts w:ascii="Times New Roman" w:hAnsi="Times New Roman" w:cs="Times New Roman"/>
          <w:sz w:val="24"/>
          <w:szCs w:val="24"/>
        </w:rPr>
        <w:t xml:space="preserve">visto o grande número de pessoas de essa faixa etária </w:t>
      </w:r>
      <w:proofErr w:type="gramStart"/>
      <w:r w:rsidR="00BB6390" w:rsidRPr="00A710C4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BB6390" w:rsidRPr="00A710C4">
        <w:rPr>
          <w:rFonts w:ascii="Times New Roman" w:hAnsi="Times New Roman" w:cs="Times New Roman"/>
          <w:sz w:val="24"/>
          <w:szCs w:val="24"/>
        </w:rPr>
        <w:t xml:space="preserve"> acometidas. Dentre as patologias destacamos a Osteoporose e a</w:t>
      </w:r>
      <w:r w:rsidR="00BB6390">
        <w:rPr>
          <w:rFonts w:ascii="Times New Roman" w:hAnsi="Times New Roman" w:cs="Times New Roman"/>
          <w:sz w:val="24"/>
          <w:szCs w:val="24"/>
        </w:rPr>
        <w:t xml:space="preserve"> </w:t>
      </w:r>
      <w:r w:rsidR="00BB6390" w:rsidRPr="00A710C4">
        <w:rPr>
          <w:rFonts w:ascii="Times New Roman" w:hAnsi="Times New Roman" w:cs="Times New Roman"/>
          <w:sz w:val="24"/>
          <w:szCs w:val="24"/>
        </w:rPr>
        <w:t>hipovitaminose D. Na osteoporose, uma doença multifatorial, o paciente está sujeito a sofrer quedas e fraturas, e consequentemente provocando uma incapacidade funcional e, por conseguinte, toda a qualidade de vida. A sintomatologia</w:t>
      </w:r>
      <w:r w:rsidR="00BB6390">
        <w:rPr>
          <w:rFonts w:ascii="Times New Roman" w:hAnsi="Times New Roman" w:cs="Times New Roman"/>
          <w:sz w:val="24"/>
          <w:szCs w:val="24"/>
        </w:rPr>
        <w:t xml:space="preserve"> da osteoporo</w:t>
      </w:r>
      <w:r w:rsidR="00BB6390" w:rsidRPr="00A710C4">
        <w:rPr>
          <w:rFonts w:ascii="Times New Roman" w:hAnsi="Times New Roman" w:cs="Times New Roman"/>
          <w:sz w:val="24"/>
          <w:szCs w:val="24"/>
        </w:rPr>
        <w:t>se primária apresenta um</w:t>
      </w:r>
      <w:r w:rsidR="00BB6390">
        <w:rPr>
          <w:rFonts w:ascii="Times New Roman" w:hAnsi="Times New Roman" w:cs="Times New Roman"/>
          <w:sz w:val="24"/>
          <w:szCs w:val="24"/>
        </w:rPr>
        <w:t xml:space="preserve"> quadro característico de densi</w:t>
      </w:r>
      <w:r w:rsidR="00BB6390" w:rsidRPr="00A710C4">
        <w:rPr>
          <w:rFonts w:ascii="Times New Roman" w:hAnsi="Times New Roman" w:cs="Times New Roman"/>
          <w:sz w:val="24"/>
          <w:szCs w:val="24"/>
        </w:rPr>
        <w:t>dade mineral óssea (DMO), muito baixa e fraturas resultantes de fragilidade. Já a vitamina D, importante tanto para a calcemia quanto para a fosfatemia, apresenta-se</w:t>
      </w:r>
      <w:r w:rsidR="00BB6390">
        <w:rPr>
          <w:rFonts w:ascii="Times New Roman" w:hAnsi="Times New Roman" w:cs="Times New Roman"/>
          <w:sz w:val="24"/>
          <w:szCs w:val="24"/>
        </w:rPr>
        <w:t xml:space="preserve"> </w:t>
      </w:r>
      <w:r w:rsidR="00BB6390" w:rsidRPr="00A710C4">
        <w:rPr>
          <w:rFonts w:ascii="Times New Roman" w:hAnsi="Times New Roman" w:cs="Times New Roman"/>
          <w:sz w:val="24"/>
          <w:szCs w:val="24"/>
        </w:rPr>
        <w:t>em níveis abaixo dos considerados como referência na hipovitaminose D. Desta forma, a prevenção, o diagnóstico precoce</w:t>
      </w:r>
      <w:r w:rsidR="00BB6390">
        <w:rPr>
          <w:rFonts w:ascii="Times New Roman" w:hAnsi="Times New Roman" w:cs="Times New Roman"/>
          <w:sz w:val="24"/>
          <w:szCs w:val="24"/>
        </w:rPr>
        <w:t xml:space="preserve"> </w:t>
      </w:r>
      <w:r w:rsidR="00BB6390" w:rsidRPr="00A710C4">
        <w:rPr>
          <w:rFonts w:ascii="Times New Roman" w:hAnsi="Times New Roman" w:cs="Times New Roman"/>
          <w:sz w:val="24"/>
          <w:szCs w:val="24"/>
        </w:rPr>
        <w:t>e o tratamento correto, apresentam-se como formas eficazes na redução do acometimento ósseo e na redução da osteopor</w:t>
      </w:r>
      <w:r w:rsidR="00BB6390">
        <w:rPr>
          <w:rFonts w:ascii="Times New Roman" w:hAnsi="Times New Roman" w:cs="Times New Roman"/>
          <w:sz w:val="24"/>
          <w:szCs w:val="24"/>
        </w:rPr>
        <w:t>o</w:t>
      </w:r>
      <w:r w:rsidR="00BB6390" w:rsidRPr="00A710C4">
        <w:rPr>
          <w:rFonts w:ascii="Times New Roman" w:hAnsi="Times New Roman" w:cs="Times New Roman"/>
          <w:sz w:val="24"/>
          <w:szCs w:val="24"/>
        </w:rPr>
        <w:t>se</w:t>
      </w:r>
      <w:r w:rsidR="00BB6390">
        <w:rPr>
          <w:rFonts w:ascii="Times New Roman" w:hAnsi="Times New Roman" w:cs="Times New Roman"/>
          <w:sz w:val="24"/>
          <w:szCs w:val="24"/>
        </w:rPr>
        <w:t xml:space="preserve"> </w:t>
      </w:r>
      <w:r w:rsidR="00BB6390" w:rsidRPr="00A710C4">
        <w:rPr>
          <w:rFonts w:ascii="Times New Roman" w:hAnsi="Times New Roman" w:cs="Times New Roman"/>
          <w:sz w:val="24"/>
          <w:szCs w:val="24"/>
        </w:rPr>
        <w:t xml:space="preserve">e da hipovitaminose D. </w:t>
      </w:r>
    </w:p>
    <w:p w:rsidR="00052372" w:rsidRDefault="0005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2A" w:rsidRDefault="00867C87" w:rsidP="005F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5F7E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7E2A">
        <w:rPr>
          <w:rFonts w:ascii="Times New Roman" w:hAnsi="Times New Roman" w:cs="Times New Roman"/>
          <w:sz w:val="24"/>
          <w:szCs w:val="24"/>
        </w:rPr>
        <w:t>conclui-se que a população idosa está mais pré-disposta a osteoporose. A osteopastia mais comum nessa faixa etária,</w:t>
      </w:r>
      <w:proofErr w:type="gramStart"/>
      <w:r w:rsidR="005F7E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F7E2A">
        <w:rPr>
          <w:rFonts w:ascii="Times New Roman" w:hAnsi="Times New Roman" w:cs="Times New Roman"/>
          <w:sz w:val="24"/>
          <w:szCs w:val="24"/>
        </w:rPr>
        <w:t xml:space="preserve">esta patologia consiste na baixa da atividade osteoblastica e como consequência corrobora para uma redução do acumulo de osteoide. Contudo o que leva a tal condição é o aumento da atividade dos osteoclastos, como em idades avançadas ocorre uma queda na produção dos hormônios do crescimento somada à menopausa e à deterioração das funções anabólicas proteicas ocorre </w:t>
      </w:r>
      <w:proofErr w:type="gramStart"/>
      <w:r w:rsidR="005F7E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F7E2A">
        <w:rPr>
          <w:rFonts w:ascii="Times New Roman" w:hAnsi="Times New Roman" w:cs="Times New Roman"/>
          <w:sz w:val="24"/>
          <w:szCs w:val="24"/>
        </w:rPr>
        <w:t xml:space="preserve"> impossibilidade do depósito necessário da matriz óssea, ademais, níveis baixos de vitamina D colaboram para a má absorção do cálcio aumentando a ocorrência de ossos frágeis e quebradiços   </w:t>
      </w: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</w:p>
    <w:p w:rsidR="0001695E" w:rsidRPr="0001695E" w:rsidRDefault="0001695E" w:rsidP="005F7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REFERENCIAS:</w:t>
      </w:r>
      <w:bookmarkStart w:id="0" w:name="_GoBack"/>
      <w:bookmarkEnd w:id="0"/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  <w:r w:rsidRPr="00A710C4">
        <w:rPr>
          <w:rFonts w:ascii="Times New Roman" w:hAnsi="Times New Roman" w:cs="Times New Roman"/>
          <w:sz w:val="24"/>
          <w:szCs w:val="24"/>
        </w:rPr>
        <w:t xml:space="preserve">BAGUR, Alicia. Baja massa óssea, osteoporoses primaria y secundaria en mujeres premenopáusicas. </w:t>
      </w:r>
      <w:r w:rsidRPr="00A710C4">
        <w:rPr>
          <w:rFonts w:ascii="Times New Roman" w:hAnsi="Times New Roman" w:cs="Times New Roman"/>
          <w:b/>
          <w:sz w:val="24"/>
          <w:szCs w:val="24"/>
        </w:rPr>
        <w:t>Acta bioquímica clínica latinoamericana</w:t>
      </w:r>
      <w:r w:rsidRPr="00A710C4">
        <w:rPr>
          <w:rFonts w:ascii="Times New Roman" w:hAnsi="Times New Roman" w:cs="Times New Roman"/>
          <w:sz w:val="24"/>
          <w:szCs w:val="24"/>
        </w:rPr>
        <w:t>, v. 51, n. 2, p. 221-226, 2017.</w:t>
      </w: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  <w:r w:rsidRPr="000B5930">
        <w:rPr>
          <w:rFonts w:ascii="Times New Roman" w:hAnsi="Times New Roman" w:cs="Times New Roman"/>
          <w:sz w:val="24"/>
          <w:szCs w:val="24"/>
        </w:rPr>
        <w:t xml:space="preserve">CAMARA, Milena Barbosa </w:t>
      </w:r>
      <w:proofErr w:type="gramStart"/>
      <w:r w:rsidRPr="000B593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B5930">
        <w:rPr>
          <w:rFonts w:ascii="Times New Roman" w:hAnsi="Times New Roman" w:cs="Times New Roman"/>
          <w:sz w:val="24"/>
          <w:szCs w:val="24"/>
        </w:rPr>
        <w:t xml:space="preserve"> al. Associação entre desmineralização óssea, atividade física e padrões antropométricos. </w:t>
      </w:r>
      <w:r w:rsidRPr="000B5930">
        <w:rPr>
          <w:rFonts w:ascii="Times New Roman" w:hAnsi="Times New Roman" w:cs="Times New Roman"/>
          <w:b/>
          <w:sz w:val="24"/>
          <w:szCs w:val="24"/>
        </w:rPr>
        <w:t>Motricidade</w:t>
      </w:r>
      <w:r w:rsidRPr="000B5930">
        <w:rPr>
          <w:rFonts w:ascii="Times New Roman" w:hAnsi="Times New Roman" w:cs="Times New Roman"/>
          <w:sz w:val="24"/>
          <w:szCs w:val="24"/>
        </w:rPr>
        <w:t>, v. 12, n. 3, p. 45-55, 2016.</w:t>
      </w: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  <w:r w:rsidRPr="00674978">
        <w:rPr>
          <w:rFonts w:ascii="Times New Roman" w:hAnsi="Times New Roman" w:cs="Times New Roman"/>
          <w:sz w:val="24"/>
          <w:szCs w:val="24"/>
        </w:rPr>
        <w:t xml:space="preserve">MENDOZA, Beatriz; RONCO, Álvaro L. Estacionalidad de </w:t>
      </w:r>
      <w:proofErr w:type="gramStart"/>
      <w:r w:rsidRPr="0067497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74978">
        <w:rPr>
          <w:rFonts w:ascii="Times New Roman" w:hAnsi="Times New Roman" w:cs="Times New Roman"/>
          <w:sz w:val="24"/>
          <w:szCs w:val="24"/>
        </w:rPr>
        <w:t xml:space="preserve"> vitamina D plasmática: su importancia en la clínica y en la salud. </w:t>
      </w:r>
      <w:r w:rsidRPr="00674978">
        <w:rPr>
          <w:rFonts w:ascii="Times New Roman" w:hAnsi="Times New Roman" w:cs="Times New Roman"/>
          <w:b/>
          <w:sz w:val="24"/>
          <w:szCs w:val="24"/>
        </w:rPr>
        <w:t xml:space="preserve">Revista Médica </w:t>
      </w:r>
      <w:proofErr w:type="gramStart"/>
      <w:r w:rsidRPr="00674978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Pr="00674978">
        <w:rPr>
          <w:rFonts w:ascii="Times New Roman" w:hAnsi="Times New Roman" w:cs="Times New Roman"/>
          <w:b/>
          <w:sz w:val="24"/>
          <w:szCs w:val="24"/>
        </w:rPr>
        <w:t xml:space="preserve"> Uruguay</w:t>
      </w:r>
      <w:r w:rsidRPr="00674978">
        <w:rPr>
          <w:rFonts w:ascii="Times New Roman" w:hAnsi="Times New Roman" w:cs="Times New Roman"/>
          <w:sz w:val="24"/>
          <w:szCs w:val="24"/>
        </w:rPr>
        <w:t>, v. 32, n. 2, p. 80-86, 2016.</w:t>
      </w: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  <w:r w:rsidRPr="000B5930">
        <w:rPr>
          <w:rFonts w:ascii="Times New Roman" w:hAnsi="Times New Roman" w:cs="Times New Roman"/>
          <w:sz w:val="24"/>
          <w:szCs w:val="24"/>
        </w:rPr>
        <w:t xml:space="preserve">RODRIGUES, Iara Guimarães; BARROS, Marilisa Berti de Azevedo. Osteoporose autorreferida em população idosa: pesquisa de base populacional no </w:t>
      </w:r>
      <w:r>
        <w:rPr>
          <w:rFonts w:ascii="Times New Roman" w:hAnsi="Times New Roman" w:cs="Times New Roman"/>
          <w:sz w:val="24"/>
          <w:szCs w:val="24"/>
        </w:rPr>
        <w:t>município de Campinas</w:t>
      </w:r>
      <w:r w:rsidRPr="000B5930">
        <w:rPr>
          <w:rFonts w:ascii="Times New Roman" w:hAnsi="Times New Roman" w:cs="Times New Roman"/>
          <w:sz w:val="24"/>
          <w:szCs w:val="24"/>
        </w:rPr>
        <w:t xml:space="preserve">. </w:t>
      </w:r>
      <w:r w:rsidRPr="000B5930">
        <w:rPr>
          <w:rFonts w:ascii="Times New Roman" w:hAnsi="Times New Roman" w:cs="Times New Roman"/>
          <w:b/>
          <w:sz w:val="24"/>
          <w:szCs w:val="24"/>
        </w:rPr>
        <w:t>Revista Brasileira de Epidemiologia</w:t>
      </w:r>
      <w:r w:rsidRPr="000B5930">
        <w:rPr>
          <w:rFonts w:ascii="Times New Roman" w:hAnsi="Times New Roman" w:cs="Times New Roman"/>
          <w:sz w:val="24"/>
          <w:szCs w:val="24"/>
        </w:rPr>
        <w:t>, v. 19, p. 294-306, 2016.</w:t>
      </w: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  <w:r w:rsidRPr="00C13861">
        <w:rPr>
          <w:rFonts w:ascii="Times New Roman" w:hAnsi="Times New Roman" w:cs="Times New Roman"/>
          <w:sz w:val="24"/>
          <w:szCs w:val="24"/>
        </w:rPr>
        <w:t xml:space="preserve">UNNANUNTANA, Aasis; CHOTIYARNWONG, Pojchong. Prevalence of osteoporosis and hypovitaminosis d at Siriraj metabolic bone disease clinic. </w:t>
      </w:r>
      <w:r w:rsidRPr="00C13861">
        <w:rPr>
          <w:rFonts w:ascii="Times New Roman" w:hAnsi="Times New Roman" w:cs="Times New Roman"/>
          <w:b/>
          <w:sz w:val="24"/>
          <w:szCs w:val="24"/>
        </w:rPr>
        <w:t>Acta ortopedica brasileira</w:t>
      </w:r>
      <w:r w:rsidRPr="00C13861">
        <w:rPr>
          <w:rFonts w:ascii="Times New Roman" w:hAnsi="Times New Roman" w:cs="Times New Roman"/>
          <w:sz w:val="24"/>
          <w:szCs w:val="24"/>
        </w:rPr>
        <w:t>, v. 25, n. 6, p. 262-265, 2017.</w:t>
      </w:r>
    </w:p>
    <w:p w:rsidR="005F7E2A" w:rsidRP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  <w:r w:rsidRPr="005F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HALL, John Edward; GUYTON, Arthur C. </w:t>
      </w:r>
      <w:proofErr w:type="spellStart"/>
      <w:r w:rsidRPr="005F7E2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Guyton</w:t>
      </w:r>
      <w:proofErr w:type="spellEnd"/>
      <w:r w:rsidRPr="005F7E2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Hall tratado de fisiologia médica.</w:t>
      </w:r>
      <w:r w:rsidRPr="005F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13. </w:t>
      </w:r>
      <w:proofErr w:type="gramStart"/>
      <w:r w:rsidRPr="005F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ed.</w:t>
      </w:r>
      <w:proofErr w:type="gramEnd"/>
      <w:r w:rsidRPr="005F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Rio de Janeiro: </w:t>
      </w:r>
      <w:proofErr w:type="spellStart"/>
      <w:r w:rsidRPr="005F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Elsevier</w:t>
      </w:r>
      <w:proofErr w:type="spellEnd"/>
      <w:r w:rsidRPr="005F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</w:t>
      </w:r>
    </w:p>
    <w:p w:rsidR="005F7E2A" w:rsidRPr="00A710C4" w:rsidRDefault="005F7E2A" w:rsidP="005F7E2A">
      <w:pPr>
        <w:rPr>
          <w:rFonts w:ascii="Times New Roman" w:hAnsi="Times New Roman" w:cs="Times New Roman"/>
          <w:sz w:val="24"/>
          <w:szCs w:val="24"/>
        </w:rPr>
      </w:pPr>
    </w:p>
    <w:p w:rsidR="005F7E2A" w:rsidRDefault="005F7E2A" w:rsidP="005F7E2A">
      <w:pPr>
        <w:rPr>
          <w:rFonts w:ascii="Times New Roman" w:hAnsi="Times New Roman" w:cs="Times New Roman"/>
          <w:sz w:val="24"/>
          <w:szCs w:val="24"/>
        </w:rPr>
      </w:pPr>
    </w:p>
    <w:p w:rsidR="00052372" w:rsidRDefault="00052372" w:rsidP="005F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72" w:rsidRDefault="00052372"/>
    <w:p w:rsidR="00052372" w:rsidRDefault="00867C87">
      <w:r>
        <w:rPr>
          <w:noProof/>
          <w:lang w:eastAsia="pt-BR"/>
        </w:rPr>
        <w:drawing>
          <wp:inline distT="0" distB="0" distL="0" distR="0">
            <wp:extent cx="14605" cy="14605"/>
            <wp:effectExtent l="0" t="0" r="0" b="0"/>
            <wp:docPr id="1" name="Objeto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2372" w:rsidRDefault="00052372"/>
    <w:p w:rsidR="00052372" w:rsidRDefault="00052372"/>
    <w:p w:rsidR="00052372" w:rsidRDefault="00052372">
      <w:pPr>
        <w:jc w:val="center"/>
      </w:pPr>
    </w:p>
    <w:p w:rsidR="00052372" w:rsidRDefault="00052372"/>
    <w:p w:rsidR="00052372" w:rsidRDefault="00052372"/>
    <w:p w:rsidR="00052372" w:rsidRDefault="00052372"/>
    <w:p w:rsidR="00052372" w:rsidRDefault="00052372"/>
    <w:p w:rsidR="00052372" w:rsidRDefault="00052372"/>
    <w:p w:rsidR="00052372" w:rsidRDefault="00052372">
      <w:pPr>
        <w:rPr>
          <w:rFonts w:ascii="Times New Roman" w:hAnsi="Times New Roman" w:cs="Times New Roman"/>
          <w:sz w:val="24"/>
          <w:szCs w:val="24"/>
        </w:rPr>
      </w:pPr>
    </w:p>
    <w:p w:rsidR="00ED7BF1" w:rsidRDefault="00ED7BF1">
      <w:pPr>
        <w:rPr>
          <w:rFonts w:ascii="Times New Roman" w:hAnsi="Times New Roman" w:cs="Times New Roman"/>
          <w:sz w:val="24"/>
          <w:szCs w:val="24"/>
        </w:rPr>
      </w:pPr>
    </w:p>
    <w:p w:rsidR="00AF29A8" w:rsidRDefault="00AF29A8"/>
    <w:sectPr w:rsidR="00AF29A8">
      <w:headerReference w:type="default" r:id="rId8"/>
      <w:pgSz w:w="11906" w:h="16838"/>
      <w:pgMar w:top="1134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B9" w:rsidRDefault="00E059B9">
      <w:pPr>
        <w:spacing w:after="0" w:line="240" w:lineRule="auto"/>
      </w:pPr>
      <w:r>
        <w:separator/>
      </w:r>
    </w:p>
  </w:endnote>
  <w:endnote w:type="continuationSeparator" w:id="0">
    <w:p w:rsidR="00E059B9" w:rsidRDefault="00E0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B9" w:rsidRDefault="00E059B9">
      <w:pPr>
        <w:spacing w:after="0" w:line="240" w:lineRule="auto"/>
      </w:pPr>
      <w:r>
        <w:separator/>
      </w:r>
    </w:p>
  </w:footnote>
  <w:footnote w:type="continuationSeparator" w:id="0">
    <w:p w:rsidR="00E059B9" w:rsidRDefault="00E0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E2" w:rsidRDefault="005837E2">
    <w:pPr>
      <w:pStyle w:val="Cabealho"/>
      <w:jc w:val="center"/>
    </w:pPr>
    <w:r>
      <w:rPr>
        <w:noProof/>
        <w:lang w:eastAsia="pt-BR"/>
      </w:rPr>
      <w:drawing>
        <wp:inline distT="0" distB="9525" distL="0" distR="0">
          <wp:extent cx="1847850" cy="9239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72"/>
    <w:rsid w:val="0001695E"/>
    <w:rsid w:val="00052372"/>
    <w:rsid w:val="0031630B"/>
    <w:rsid w:val="003641E8"/>
    <w:rsid w:val="0058189B"/>
    <w:rsid w:val="005837E2"/>
    <w:rsid w:val="005F7E2A"/>
    <w:rsid w:val="00867C87"/>
    <w:rsid w:val="00AF29A8"/>
    <w:rsid w:val="00BB6390"/>
    <w:rsid w:val="00C02CE2"/>
    <w:rsid w:val="00C47ABD"/>
    <w:rsid w:val="00CE687B"/>
    <w:rsid w:val="00D97EAA"/>
    <w:rsid w:val="00E059B9"/>
    <w:rsid w:val="00ED7BF1"/>
    <w:rsid w:val="00EE43AC"/>
    <w:rsid w:val="00F60694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05558"/>
  </w:style>
  <w:style w:type="character" w:customStyle="1" w:styleId="RodapChar">
    <w:name w:val="Rodapé Char"/>
    <w:basedOn w:val="Fontepargpadro"/>
    <w:link w:val="Rodap"/>
    <w:uiPriority w:val="99"/>
    <w:qFormat/>
    <w:rsid w:val="00C0555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87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7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05558"/>
  </w:style>
  <w:style w:type="character" w:customStyle="1" w:styleId="RodapChar">
    <w:name w:val="Rodapé Char"/>
    <w:basedOn w:val="Fontepargpadro"/>
    <w:link w:val="Rodap"/>
    <w:uiPriority w:val="99"/>
    <w:qFormat/>
    <w:rsid w:val="00C0555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87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7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Coluna 1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Linha 1</c:v>
                </c:pt>
                <c:pt idx="1">
                  <c:v>Linha 2</c:v>
                </c:pt>
                <c:pt idx="2">
                  <c:v>Linha 3</c:v>
                </c:pt>
                <c:pt idx="3">
                  <c:v>Linha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9.1</c:v>
                </c:pt>
                <c:pt idx="1">
                  <c:v>2.4</c:v>
                </c:pt>
                <c:pt idx="2">
                  <c:v>3.1</c:v>
                </c:pt>
                <c:pt idx="3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B6-D04F-B89B-12E7B2CAB9F8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Coluna 2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Linha 1</c:v>
                </c:pt>
                <c:pt idx="1">
                  <c:v>Linha 2</c:v>
                </c:pt>
                <c:pt idx="2">
                  <c:v>Linha 3</c:v>
                </c:pt>
                <c:pt idx="3">
                  <c:v>Linha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3.2</c:v>
                </c:pt>
                <c:pt idx="1">
                  <c:v>8.8000000000000007</c:v>
                </c:pt>
                <c:pt idx="2">
                  <c:v>1.5</c:v>
                </c:pt>
                <c:pt idx="3">
                  <c:v>9.02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B6-D04F-B89B-12E7B2CAB9F8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Coluna 3</c:v>
                </c:pt>
              </c:strCache>
            </c:strRef>
          </c:tx>
          <c:spPr>
            <a:solidFill>
              <a:srgbClr val="FFD32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Linha 1</c:v>
                </c:pt>
                <c:pt idx="1">
                  <c:v>Linha 2</c:v>
                </c:pt>
                <c:pt idx="2">
                  <c:v>Linha 3</c:v>
                </c:pt>
                <c:pt idx="3">
                  <c:v>Linha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4.54</c:v>
                </c:pt>
                <c:pt idx="1">
                  <c:v>9.65</c:v>
                </c:pt>
                <c:pt idx="2">
                  <c:v>3.7</c:v>
                </c:pt>
                <c:pt idx="3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B6-D04F-B89B-12E7B2CAB9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8801152"/>
        <c:axId val="153961216"/>
      </c:barChart>
      <c:catAx>
        <c:axId val="13880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pt-BR"/>
          </a:p>
        </c:txPr>
        <c:crossAx val="153961216"/>
        <c:crosses val="autoZero"/>
        <c:auto val="1"/>
        <c:lblAlgn val="ctr"/>
        <c:lblOffset val="100"/>
        <c:noMultiLvlLbl val="1"/>
      </c:catAx>
      <c:valAx>
        <c:axId val="153961216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pt-BR"/>
          </a:p>
        </c:txPr>
        <c:crossAx val="138801152"/>
        <c:crosses val="autoZero"/>
        <c:crossBetween val="between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pt-BR"/>
        </a:p>
      </c:txPr>
    </c:legend>
    <c:plotVisOnly val="1"/>
    <c:dispBlanksAs val="gap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dc:description/>
  <cp:lastModifiedBy>lucas soares guimarães soares</cp:lastModifiedBy>
  <cp:revision>8</cp:revision>
  <dcterms:created xsi:type="dcterms:W3CDTF">2019-10-29T21:29:00Z</dcterms:created>
  <dcterms:modified xsi:type="dcterms:W3CDTF">2019-10-30T02:05:00Z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