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PERFIL SOCIODEMOGRÁFICO DOS CASOS DE LEISHMANIOSE VISCERAL NO ESTADO DO PARÁ ENTRE 2019 E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Patricia Cristina Sousa de Freitas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Maria Eduarda Rodrigues Figueiredo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Beatriz Fernanda Cardoso Sarquis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Lucas Araújo Ferreira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Graduanda de Biomedicina. Centro Universitário Fibra. patysouza1215@gmail.com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Graduanda de Biomedicina. Centro Universitário Fibra. drodriguess24@yahoo.com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Graduanda de Biomedicina. Centro Universitário Fibra. beatrizsarquis@gmail.com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Mestre em Biologia de Agentes Infecciosos e Parasitários. Universidade Federal do Pará (UFPA). lucas.parasitologist@gmail.com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24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24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Leishmaniose Visceral é uma doença causada por protozoários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gênero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Leishmania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zoonose, é transmitida principalmente pela fêmea do flebotomíneo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Lutzomyia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afeta canídeos silvestres, cães domésticos e o ser humano, sendo encontrado em zonas rurais é uma doença crônica e sistêmica. O repasto do flebotomíneo infectado, que inocula a forma promastigota no hospedeiro, inicia o ciclo biológico, tem preferência pelas células fagocitarias mononucleadas que após sua conversão na forma amastigota, cai na corrente sanguínea se locomovendo para regiões como órgãos linfóides, rim, fígado e trato digestivo. Dessa forma, as manifestações clínicas apresentam sintomas como febre intermitente, hepatomegalia e leva o paciente ao óbito.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a prevalência sociodemográfica do número de casos de Leishmaniose Visceral no Estado do Pará, entre os anos de 2019 e 2022.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 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dados epidemiológicos foram obtidos a partir de notificações de casos de Leishmaniose Visceral no Estado do Pará, com faixa etária de ≤1 a ≥80 anos, incluídos no banco de dados do Sistema de Informação de Agravos de Notificação (SINAN), coletados variáveis por: Ano, Faixa etária, Sexo, Município, Escolaridade e Critérios. Os dados quantitativos foram analisados e planilhados com o programa Microsoft Excel 365.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Resultados e Discussão: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Foram notificados 916 casos no estado do Pará entre o período estudado, com a prevalência do sexo masculino com 557 casos (60,80%). Destes, 2019 apresentou maior número de registros, seguido de 2020, 2021 e 2022. Dos dados, o município de Parauapebas tem destaque com maior prevalência, com cerca 120 casos, Marabá com 102 e Canaã dos Carajás com 54 casos constatados. A faixa etária mais acometida é entre 20 a 39 anos de idade com 224 casos (24,45%), comparado à idade menos afetada que é acima de 80 anos que representa apenas 6 notificações (0,65%). Além disso, o êxito de cura foi de 646 casos, equiparado ao número de óbitos, que equivale a 85 ocorrências. Com isso, foi notado que os locais destacados participaram de grande avanço demográfico urbano, dado que, quanto maior o avanço urbano, maior o número de pessoas expostas. Nesse prisma, há uma relação contrária sobre os casos de óbito, pois, o aumento da urbanização facilita o acesso a tratamento, levando ao fator da cura.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Leishmaniose Visceral continua sendo um problema grave de saúde pública</w:t>
      </w:r>
      <w:r w:rsidDel="00000000" w:rsidR="00000000" w:rsidRPr="00000000">
        <w:rPr>
          <w:sz w:val="24"/>
          <w:szCs w:val="24"/>
          <w:rtl w:val="0"/>
        </w:rPr>
        <w:t xml:space="preserve">, sendo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imprescindível a necessidade de políticas públicas de educação e conscientização eficiente</w:t>
      </w:r>
      <w:r w:rsidDel="00000000" w:rsidR="00000000" w:rsidRPr="00000000">
        <w:rPr>
          <w:sz w:val="24"/>
          <w:szCs w:val="24"/>
          <w:rtl w:val="0"/>
        </w:rPr>
        <w:t xml:space="preserve">. Para que consoante a isso,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profilaxia </w:t>
      </w:r>
      <w:r w:rsidDel="00000000" w:rsidR="00000000" w:rsidRPr="00000000">
        <w:rPr>
          <w:sz w:val="24"/>
          <w:szCs w:val="24"/>
          <w:rtl w:val="0"/>
        </w:rPr>
        <w:t xml:space="preserve">possa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resultar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forma mais consistente na proteção à saúde da população.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Prevalência; Saúde Pública; Fatores de Risco; Leishmaniose Visceral; Demografia.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de Temática do Evento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Parasitologia.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vigilância em saúde. Núcleo de vigilância epidemiológica. Secretaria da saúde do estado do Ceará.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Boletim Epidemiológico Leishmaniose Visceral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Fortaleza, Ceará. 2019.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QUEIROZ, Márcia. ALVES, João. CORREIA, Jailson.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Leishmaniose visceral:características clínico-epidemiológicas em crianças de área endêmica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Jornal de Pediatria - Vol. 80, Nº2, 2004.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50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-188589</wp:posOffset>
          </wp:positionH>
          <wp:positionV relativeFrom="paragraph">
            <wp:posOffset>181610</wp:posOffset>
          </wp:positionV>
          <wp:extent cx="687463" cy="628285"/>
          <wp:effectExtent b="0" l="0" r="0" t="0"/>
          <wp:wrapNone/>
          <wp:docPr descr="Diagrama&#10;&#10;Descrição gerada automaticamente" id="5" name="image5.png"/>
          <a:graphic>
            <a:graphicData uri="http://schemas.openxmlformats.org/drawingml/2006/picture">
              <pic:pic>
                <pic:nvPicPr>
                  <pic:cNvPr descr="Diagrama&#10;&#10;Descrição gerada automaticamente" id="0" name="image5.png"/>
                  <pic:cNvPicPr preferRelativeResize="0"/>
                </pic:nvPicPr>
                <pic:blipFill>
                  <a:blip r:embed="rId1"/>
                  <a:srcRect b="9285" l="33442" r="31983" t="13156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-83814</wp:posOffset>
          </wp:positionH>
          <wp:positionV relativeFrom="paragraph">
            <wp:posOffset>137160</wp:posOffset>
          </wp:positionV>
          <wp:extent cx="998220" cy="460375"/>
          <wp:effectExtent b="0" l="0" r="0" t="0"/>
          <wp:wrapNone/>
          <wp:docPr descr="Logotipo, nome da empresa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2.png"/>
                  <pic:cNvPicPr preferRelativeResize="0"/>
                </pic:nvPicPr>
                <pic:blipFill>
                  <a:blip r:embed="rId3"/>
                  <a:srcRect b="27537" l="20038" r="23378" t="30040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b="0" l="0" r="0" t="0"/>
          <wp:wrapNone/>
          <wp:docPr descr="Uma imagem contendo quarto&#10;&#10;Descrição gerada automaticamente" id="1" name="image1.png"/>
          <a:graphic>
            <a:graphicData uri="http://schemas.openxmlformats.org/drawingml/2006/picture">
              <pic:pic>
                <pic:nvPicPr>
                  <pic:cNvPr descr="Uma imagem contendo quarto&#10;&#10;Descrição gerada automaticamente"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b="0" l="0" r="0" t="0"/>
          <wp:wrapNone/>
          <wp:docPr descr="Logotipo, Ícone&#10;&#10;Descrição gerada automaticamente" id="3" name="image3.png"/>
          <a:graphic>
            <a:graphicData uri="http://schemas.openxmlformats.org/drawingml/2006/picture">
              <pic:pic>
                <pic:nvPicPr>
                  <pic:cNvPr descr="Logotipo, Ícone&#10;&#10;Descrição gerada automaticamente" id="0" name="image3.png"/>
                  <pic:cNvPicPr preferRelativeResize="0"/>
                </pic:nvPicPr>
                <pic:blipFill>
                  <a:blip r:embed="rId5"/>
                  <a:srcRect b="0" l="14418" r="14336" t="0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60065" cy="1202395"/>
          <wp:effectExtent b="0" l="0" r="0" t="0"/>
          <wp:docPr descr="Logotipo, nome da empresa&#10;&#10;Descrição gerada automaticamente" id="6" name="image6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6.png"/>
                  <pic:cNvPicPr preferRelativeResize="0"/>
                </pic:nvPicPr>
                <pic:blipFill>
                  <a:blip r:embed="rId1"/>
                  <a:srcRect b="13680" l="1320" r="1441" t="13641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