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C457" w14:textId="100F24C2" w:rsidR="00E3782C" w:rsidRDefault="00E55603" w:rsidP="00E3782C">
      <w:pPr>
        <w:pStyle w:val="Ttulo"/>
      </w:pPr>
      <w:r>
        <w:t>ANÁLISE D</w:t>
      </w:r>
      <w:r w:rsidR="007E42B7">
        <w:t>A</w:t>
      </w:r>
      <w:r>
        <w:t xml:space="preserve"> SUSCETIBILIDADE À EROSÃO </w:t>
      </w:r>
      <w:r w:rsidR="007E42B7">
        <w:t>NO MUNICÍPIO DE JUIZ DE FORA</w:t>
      </w:r>
      <w:r w:rsidR="00590B82">
        <w:t xml:space="preserve"> A PARTIR DO MÉTODO AHP</w:t>
      </w:r>
    </w:p>
    <w:p w14:paraId="1DD9891C" w14:textId="77777777" w:rsidR="00983F26" w:rsidRDefault="00FB3E0D" w:rsidP="00983F26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Mariana Barcelos de Vasconcelos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Caroline Maciel Doná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4A784A">
        <w:rPr>
          <w:sz w:val="24"/>
          <w:szCs w:val="24"/>
          <w:vertAlign w:val="superscript"/>
        </w:rPr>
        <w:t>3</w:t>
      </w:r>
      <w:r>
        <w:rPr>
          <w:spacing w:val="-3"/>
          <w:sz w:val="24"/>
          <w:szCs w:val="24"/>
        </w:rPr>
        <w:t xml:space="preserve">Samara Calçado de Azevedo, 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Nívea Adriana Dias Pons</w:t>
      </w:r>
    </w:p>
    <w:p w14:paraId="253282E5" w14:textId="51895D9F" w:rsidR="00FB3E0D" w:rsidRPr="00983F26" w:rsidRDefault="00FB3E0D" w:rsidP="00B91689">
      <w:pPr>
        <w:spacing w:line="228" w:lineRule="exact"/>
        <w:ind w:left="77" w:right="209"/>
        <w:jc w:val="center"/>
        <w:rPr>
          <w:b/>
          <w:bCs/>
          <w:i/>
        </w:rPr>
      </w:pPr>
      <w:r w:rsidRPr="000C6208">
        <w:rPr>
          <w:i/>
          <w:sz w:val="24"/>
          <w:szCs w:val="24"/>
          <w:vertAlign w:val="superscript"/>
        </w:rPr>
        <w:t>1</w:t>
      </w:r>
      <w:r w:rsidRPr="00B91689">
        <w:rPr>
          <w:i/>
          <w:sz w:val="24"/>
          <w:szCs w:val="24"/>
        </w:rPr>
        <w:t xml:space="preserve">Universidade Federal de Itajubá, e-mail: marianabarcelos@unifei.edu.br; </w:t>
      </w:r>
      <w:r w:rsidRPr="000C6208">
        <w:rPr>
          <w:i/>
          <w:sz w:val="24"/>
          <w:szCs w:val="24"/>
          <w:vertAlign w:val="superscript"/>
        </w:rPr>
        <w:t>2</w:t>
      </w:r>
      <w:r w:rsidRPr="00B91689">
        <w:rPr>
          <w:i/>
          <w:sz w:val="24"/>
          <w:szCs w:val="24"/>
        </w:rPr>
        <w:t xml:space="preserve">Universidade Federal de Itajubá, e-mail: d2026100470@unifei.edu.br; </w:t>
      </w:r>
      <w:r w:rsidRPr="000C6208">
        <w:rPr>
          <w:i/>
          <w:sz w:val="24"/>
          <w:szCs w:val="24"/>
          <w:vertAlign w:val="superscript"/>
        </w:rPr>
        <w:t>3</w:t>
      </w:r>
      <w:r w:rsidRPr="00B91689">
        <w:rPr>
          <w:i/>
          <w:sz w:val="24"/>
          <w:szCs w:val="24"/>
        </w:rPr>
        <w:t xml:space="preserve">Universidade Federal de Itajubá, e-mail: </w:t>
      </w:r>
      <w:hyperlink r:id="rId8" w:history="1">
        <w:r w:rsidRPr="00B91689">
          <w:rPr>
            <w:i/>
            <w:sz w:val="24"/>
            <w:szCs w:val="24"/>
          </w:rPr>
          <w:t>samara_calcado@unifei.edu.br</w:t>
        </w:r>
      </w:hyperlink>
      <w:r w:rsidRPr="00B91689">
        <w:rPr>
          <w:i/>
          <w:sz w:val="24"/>
          <w:szCs w:val="24"/>
        </w:rPr>
        <w:t xml:space="preserve">; </w:t>
      </w:r>
      <w:r w:rsidRPr="000C6208">
        <w:rPr>
          <w:i/>
          <w:sz w:val="24"/>
          <w:szCs w:val="24"/>
          <w:vertAlign w:val="superscript"/>
        </w:rPr>
        <w:t>4</w:t>
      </w:r>
      <w:r w:rsidRPr="00B91689">
        <w:rPr>
          <w:i/>
          <w:sz w:val="24"/>
          <w:szCs w:val="24"/>
        </w:rPr>
        <w:t xml:space="preserve">Universidade Federal de Itajubá, e-mail: </w:t>
      </w:r>
      <w:r w:rsidRPr="00B91689">
        <w:rPr>
          <w:i/>
          <w:sz w:val="24"/>
          <w:szCs w:val="24"/>
        </w:rPr>
        <w:fldChar w:fldCharType="begin"/>
      </w:r>
      <w:r w:rsidRPr="00B91689">
        <w:rPr>
          <w:i/>
          <w:sz w:val="24"/>
          <w:szCs w:val="24"/>
        </w:rPr>
        <w:instrText>HYPERLINK "mailto:npons@unifei.edu.br"</w:instrText>
      </w:r>
      <w:r w:rsidRPr="00B91689">
        <w:rPr>
          <w:i/>
          <w:sz w:val="24"/>
          <w:szCs w:val="24"/>
        </w:rPr>
      </w:r>
      <w:r w:rsidRPr="00B91689">
        <w:rPr>
          <w:i/>
          <w:sz w:val="24"/>
          <w:szCs w:val="24"/>
        </w:rPr>
        <w:fldChar w:fldCharType="separate"/>
      </w:r>
      <w:r w:rsidRPr="00B91689">
        <w:rPr>
          <w:i/>
          <w:sz w:val="24"/>
          <w:szCs w:val="24"/>
        </w:rPr>
        <w:t>npons@unifei.edu.br</w:t>
      </w:r>
      <w:r w:rsidRPr="00B91689">
        <w:rPr>
          <w:i/>
          <w:sz w:val="24"/>
          <w:szCs w:val="24"/>
        </w:rPr>
        <w:fldChar w:fldCharType="end"/>
      </w:r>
    </w:p>
    <w:p w14:paraId="5AD9CD01" w14:textId="77777777" w:rsidR="00CE0972" w:rsidRDefault="00CE0972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</w:p>
    <w:p w14:paraId="7E90039C" w14:textId="7F898C56" w:rsidR="00753138" w:rsidRPr="0015695F" w:rsidRDefault="00DE0DB9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15695F">
        <w:rPr>
          <w:b/>
          <w:bCs/>
          <w:i/>
          <w:spacing w:val="-2"/>
          <w:sz w:val="24"/>
          <w:szCs w:val="24"/>
        </w:rPr>
        <w:t>Ambiente e Clima</w:t>
      </w:r>
    </w:p>
    <w:p w14:paraId="125F6DD1" w14:textId="49FD5492" w:rsidR="009C4B75" w:rsidRPr="005F70B0" w:rsidRDefault="00DE0DB9" w:rsidP="00753138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15695F">
        <w:rPr>
          <w:b/>
          <w:bCs/>
          <w:i/>
          <w:spacing w:val="-2"/>
          <w:sz w:val="24"/>
          <w:szCs w:val="24"/>
        </w:rPr>
        <w:t>Gestão de riscos climáticos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0C7DF398" w:rsidR="00E3782C" w:rsidRPr="005F70B0" w:rsidRDefault="001C0C6F" w:rsidP="00E3782C">
      <w:pPr>
        <w:ind w:right="209"/>
        <w:jc w:val="both"/>
        <w:rPr>
          <w:iCs/>
          <w:sz w:val="24"/>
          <w:szCs w:val="24"/>
        </w:rPr>
      </w:pPr>
      <w:r w:rsidRPr="001C0C6F">
        <w:rPr>
          <w:iCs/>
          <w:sz w:val="24"/>
          <w:szCs w:val="24"/>
        </w:rPr>
        <w:t>Em fevereiro de 2026, o município de Juiz de Fora, Minas Gerais, foi atingido por temporais extremos que resultaram em graves impactos socioambientais, evidenciando a necessidade de planejamento territorial e</w:t>
      </w:r>
      <w:r w:rsidR="00C83454">
        <w:rPr>
          <w:iCs/>
          <w:sz w:val="24"/>
          <w:szCs w:val="24"/>
        </w:rPr>
        <w:t xml:space="preserve"> </w:t>
      </w:r>
      <w:r w:rsidRPr="001C0C6F">
        <w:rPr>
          <w:iCs/>
          <w:sz w:val="24"/>
          <w:szCs w:val="24"/>
        </w:rPr>
        <w:t xml:space="preserve">gestão de riscos. Nesse contexto, o presente trabalho tem como objetivo mapear a suscetibilidade à erosão em Juiz de Fora a partir da integração dos parâmetros de pedologia, declividade e uso e ocupação do solo, ponderados pelo método de Análise Hierárquica de Processos (AHP). </w:t>
      </w:r>
      <w:r w:rsidR="00007EC0" w:rsidRPr="00007EC0">
        <w:rPr>
          <w:iCs/>
          <w:sz w:val="24"/>
          <w:szCs w:val="24"/>
        </w:rPr>
        <w:t xml:space="preserve">Os parâmetros foram obtidos da Embrapa, do Modelo Digital de Elevação do SRTM e do MapBiomas, processados </w:t>
      </w:r>
      <w:r w:rsidR="00007EC0">
        <w:rPr>
          <w:iCs/>
          <w:sz w:val="24"/>
          <w:szCs w:val="24"/>
        </w:rPr>
        <w:t>no</w:t>
      </w:r>
      <w:r w:rsidR="00007EC0" w:rsidRPr="00007EC0">
        <w:rPr>
          <w:iCs/>
          <w:sz w:val="24"/>
          <w:szCs w:val="24"/>
        </w:rPr>
        <w:t xml:space="preserve"> QGIS.</w:t>
      </w:r>
      <w:r w:rsidR="00007EC0">
        <w:rPr>
          <w:iCs/>
          <w:sz w:val="24"/>
          <w:szCs w:val="24"/>
        </w:rPr>
        <w:t xml:space="preserve"> </w:t>
      </w:r>
      <w:r w:rsidRPr="001C0C6F">
        <w:rPr>
          <w:iCs/>
          <w:sz w:val="24"/>
          <w:szCs w:val="24"/>
        </w:rPr>
        <w:t>A aplicação do AHP resultou em pesos normalizados de 0,61 para pedologia, 0,29 para declividade e 0,10 para uso e ocupação do solo, com Razão de Consistência</w:t>
      </w:r>
      <w:r>
        <w:rPr>
          <w:iCs/>
          <w:sz w:val="24"/>
          <w:szCs w:val="24"/>
        </w:rPr>
        <w:t xml:space="preserve"> (RC)</w:t>
      </w:r>
      <w:r w:rsidRPr="001C0C6F">
        <w:rPr>
          <w:iCs/>
          <w:sz w:val="24"/>
          <w:szCs w:val="24"/>
        </w:rPr>
        <w:t xml:space="preserve"> de 4%, </w:t>
      </w:r>
      <w:r w:rsidR="003F4998" w:rsidRPr="003F4998">
        <w:rPr>
          <w:iCs/>
          <w:sz w:val="24"/>
          <w:szCs w:val="24"/>
        </w:rPr>
        <w:t>abaixo do limite de</w:t>
      </w:r>
      <w:r w:rsidRPr="001C0C6F">
        <w:rPr>
          <w:iCs/>
          <w:sz w:val="24"/>
          <w:szCs w:val="24"/>
        </w:rPr>
        <w:t xml:space="preserve"> 10%. O mapa gerado indica predominância da classe de média suscetibilidade </w:t>
      </w:r>
      <w:r w:rsidR="00862B5A">
        <w:rPr>
          <w:iCs/>
          <w:sz w:val="24"/>
          <w:szCs w:val="24"/>
        </w:rPr>
        <w:t xml:space="preserve">à erosão </w:t>
      </w:r>
      <w:r w:rsidRPr="001C0C6F">
        <w:rPr>
          <w:iCs/>
          <w:sz w:val="24"/>
          <w:szCs w:val="24"/>
        </w:rPr>
        <w:t>na maior parte do território,</w:t>
      </w:r>
      <w:r w:rsidR="00137842">
        <w:rPr>
          <w:iCs/>
          <w:sz w:val="24"/>
          <w:szCs w:val="24"/>
        </w:rPr>
        <w:t xml:space="preserve"> que representa </w:t>
      </w:r>
      <w:r w:rsidR="00137842" w:rsidRPr="00A9114D">
        <w:rPr>
          <w:sz w:val="24"/>
          <w:szCs w:val="24"/>
        </w:rPr>
        <w:t>89,52% do total</w:t>
      </w:r>
      <w:r w:rsidR="00137842">
        <w:rPr>
          <w:sz w:val="24"/>
          <w:szCs w:val="24"/>
        </w:rPr>
        <w:t>,</w:t>
      </w:r>
      <w:r w:rsidRPr="001C0C6F">
        <w:rPr>
          <w:iCs/>
          <w:sz w:val="24"/>
          <w:szCs w:val="24"/>
        </w:rPr>
        <w:t xml:space="preserve"> enquanto as classes alta e muito alta </w:t>
      </w:r>
      <w:r>
        <w:rPr>
          <w:iCs/>
          <w:sz w:val="24"/>
          <w:szCs w:val="24"/>
        </w:rPr>
        <w:t>se concentram</w:t>
      </w:r>
      <w:r w:rsidRPr="001C0C6F">
        <w:rPr>
          <w:iCs/>
          <w:sz w:val="24"/>
          <w:szCs w:val="24"/>
        </w:rPr>
        <w:t xml:space="preserve"> em áreas de ocorrência de Cambissolos Háplicos Tb Distróficos </w:t>
      </w:r>
      <w:r w:rsidR="00351925">
        <w:rPr>
          <w:iCs/>
          <w:sz w:val="24"/>
          <w:szCs w:val="24"/>
        </w:rPr>
        <w:t xml:space="preserve">em </w:t>
      </w:r>
      <w:r w:rsidRPr="001C0C6F">
        <w:rPr>
          <w:iCs/>
          <w:sz w:val="24"/>
          <w:szCs w:val="24"/>
        </w:rPr>
        <w:t xml:space="preserve">relevos montanhosos. </w:t>
      </w:r>
      <w:r w:rsidR="00BD5FD8" w:rsidRPr="00BD5FD8">
        <w:rPr>
          <w:iCs/>
          <w:sz w:val="24"/>
          <w:szCs w:val="24"/>
        </w:rPr>
        <w:t xml:space="preserve">Os resultados demonstram a eficácia do método AHP </w:t>
      </w:r>
      <w:r w:rsidR="00FC12D6" w:rsidRPr="00FC12D6">
        <w:rPr>
          <w:iCs/>
          <w:sz w:val="24"/>
          <w:szCs w:val="24"/>
        </w:rPr>
        <w:t>como ferramenta multicritério eficaz para identificar áreas de maior vulnerabilidade e orientar ações preventivas de planejamento territorial.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0CE30BFE" w:rsidR="009C4B75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1958B0">
        <w:rPr>
          <w:sz w:val="24"/>
          <w:szCs w:val="24"/>
        </w:rPr>
        <w:t>Integração;</w:t>
      </w:r>
      <w:r w:rsidR="001958B0" w:rsidRPr="001958B0">
        <w:rPr>
          <w:bCs/>
          <w:spacing w:val="-2"/>
          <w:sz w:val="24"/>
          <w:szCs w:val="24"/>
        </w:rPr>
        <w:t xml:space="preserve"> Planejamento territorial</w:t>
      </w:r>
      <w:r w:rsidR="001958B0">
        <w:rPr>
          <w:bCs/>
          <w:spacing w:val="-2"/>
          <w:sz w:val="24"/>
          <w:szCs w:val="24"/>
        </w:rPr>
        <w:t>;</w:t>
      </w:r>
      <w:r w:rsidR="001958B0">
        <w:rPr>
          <w:sz w:val="24"/>
          <w:szCs w:val="24"/>
        </w:rPr>
        <w:t xml:space="preserve"> Vulnerabilidade.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F668FB">
      <w:pPr>
        <w:spacing w:line="360" w:lineRule="auto"/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63CC24C3" w14:textId="6A5FA37D" w:rsidR="004B0C59" w:rsidRDefault="004B0C59" w:rsidP="00F668FB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B0C59">
        <w:rPr>
          <w:sz w:val="24"/>
          <w:szCs w:val="24"/>
        </w:rPr>
        <w:t xml:space="preserve">O município de Juiz de Fora, em Minas Gerais, sofreu com chuvas extremas em fevereiro de 2026, configurando um desastre socioambiental de grande impacto. De acordo com o Laboratório de Climatologia e Análise Ambiental da Universidade Federal de Juiz de Fora (LabCAA, 2026), em um período de 12 horas o volume pluviométrico superou em quatro vezes a média esperada para todo o mês, sendo este o maior evento registrado no histórico do município. </w:t>
      </w:r>
      <w:r w:rsidR="00674047">
        <w:rPr>
          <w:sz w:val="24"/>
          <w:szCs w:val="24"/>
        </w:rPr>
        <w:t>De acordo com as informações dispostas na nota técnica do Observatório de Clima e Saúde da Fundação Oswaldo Cruz, o</w:t>
      </w:r>
      <w:r w:rsidRPr="004B0C59">
        <w:rPr>
          <w:sz w:val="24"/>
          <w:szCs w:val="24"/>
        </w:rPr>
        <w:t xml:space="preserve"> desastre resultou em</w:t>
      </w:r>
      <w:r w:rsidR="00674047">
        <w:rPr>
          <w:sz w:val="24"/>
          <w:szCs w:val="24"/>
        </w:rPr>
        <w:t xml:space="preserve"> 58</w:t>
      </w:r>
      <w:r w:rsidRPr="004B0C59">
        <w:rPr>
          <w:sz w:val="24"/>
          <w:szCs w:val="24"/>
        </w:rPr>
        <w:t xml:space="preserve"> mortes, </w:t>
      </w:r>
      <w:r w:rsidR="00674047">
        <w:rPr>
          <w:sz w:val="24"/>
          <w:szCs w:val="24"/>
        </w:rPr>
        <w:t>4.200</w:t>
      </w:r>
      <w:r w:rsidRPr="004B0C59">
        <w:rPr>
          <w:sz w:val="24"/>
          <w:szCs w:val="24"/>
        </w:rPr>
        <w:t xml:space="preserve"> pessoas desalojadas</w:t>
      </w:r>
      <w:r w:rsidR="00674047">
        <w:rPr>
          <w:sz w:val="24"/>
          <w:szCs w:val="24"/>
        </w:rPr>
        <w:t>, além de 11 desaparecidos (Fiocruz, 2026)</w:t>
      </w:r>
      <w:r>
        <w:rPr>
          <w:sz w:val="24"/>
          <w:szCs w:val="24"/>
        </w:rPr>
        <w:t>.</w:t>
      </w:r>
    </w:p>
    <w:p w14:paraId="7B905253" w14:textId="7281BF06" w:rsidR="004B0C59" w:rsidRDefault="00D40219" w:rsidP="00D40219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cenário se torna mais preocupante visto que Juiz de Fora possui 25% da população </w:t>
      </w:r>
      <w:r>
        <w:rPr>
          <w:sz w:val="24"/>
          <w:szCs w:val="24"/>
        </w:rPr>
        <w:lastRenderedPageBreak/>
        <w:t>total exposta em áreas de risco, totalizando 128.946 habitantes nessa situação (IBGE; Cemaden, 2018)</w:t>
      </w:r>
      <w:r w:rsidR="004B0C59" w:rsidRPr="004B0C59">
        <w:rPr>
          <w:sz w:val="24"/>
          <w:szCs w:val="24"/>
        </w:rPr>
        <w:t xml:space="preserve">. Tais dados evidenciam que a recorrência e a intensidade dos eventos extremos no município não são casuais, mas </w:t>
      </w:r>
      <w:r w:rsidR="00590B82">
        <w:rPr>
          <w:sz w:val="24"/>
          <w:szCs w:val="24"/>
        </w:rPr>
        <w:t xml:space="preserve">sim um </w:t>
      </w:r>
      <w:r w:rsidR="004B0C59" w:rsidRPr="004B0C59">
        <w:rPr>
          <w:sz w:val="24"/>
          <w:szCs w:val="24"/>
        </w:rPr>
        <w:t>reflexo de uma combinação entre características físicas do território</w:t>
      </w:r>
      <w:r w:rsidR="004B0C59">
        <w:rPr>
          <w:sz w:val="24"/>
          <w:szCs w:val="24"/>
        </w:rPr>
        <w:t xml:space="preserve">, como </w:t>
      </w:r>
      <w:r w:rsidR="004B0C59" w:rsidRPr="004B0C59">
        <w:rPr>
          <w:sz w:val="24"/>
          <w:szCs w:val="24"/>
        </w:rPr>
        <w:t xml:space="preserve">relevo acidentado, solos </w:t>
      </w:r>
      <w:r w:rsidR="00590B82">
        <w:rPr>
          <w:sz w:val="24"/>
          <w:szCs w:val="24"/>
        </w:rPr>
        <w:t>suscetíveis à erosão</w:t>
      </w:r>
      <w:r w:rsidR="004B0C59" w:rsidRPr="004B0C59">
        <w:rPr>
          <w:sz w:val="24"/>
          <w:szCs w:val="24"/>
        </w:rPr>
        <w:t xml:space="preserve"> e intensa ocupação de encostas</w:t>
      </w:r>
      <w:r w:rsidR="004B0C59">
        <w:rPr>
          <w:sz w:val="24"/>
          <w:szCs w:val="24"/>
        </w:rPr>
        <w:t xml:space="preserve">, </w:t>
      </w:r>
      <w:r w:rsidR="004B0C59" w:rsidRPr="004B0C59">
        <w:rPr>
          <w:sz w:val="24"/>
          <w:szCs w:val="24"/>
        </w:rPr>
        <w:t xml:space="preserve">e a </w:t>
      </w:r>
      <w:r w:rsidR="004B0C59">
        <w:rPr>
          <w:sz w:val="24"/>
          <w:szCs w:val="24"/>
        </w:rPr>
        <w:t>falta</w:t>
      </w:r>
      <w:r w:rsidR="004B0C59" w:rsidRPr="004B0C59">
        <w:rPr>
          <w:sz w:val="24"/>
          <w:szCs w:val="24"/>
        </w:rPr>
        <w:t xml:space="preserve"> de planejamento preventivo adequado</w:t>
      </w:r>
      <w:r w:rsidR="00C77735">
        <w:rPr>
          <w:sz w:val="24"/>
          <w:szCs w:val="24"/>
        </w:rPr>
        <w:t xml:space="preserve"> (Gomes </w:t>
      </w:r>
      <w:r w:rsidR="00C77735" w:rsidRPr="00A945A4">
        <w:rPr>
          <w:i/>
          <w:iCs/>
          <w:sz w:val="24"/>
          <w:szCs w:val="24"/>
        </w:rPr>
        <w:t>et al</w:t>
      </w:r>
      <w:r w:rsidR="00C77735">
        <w:rPr>
          <w:sz w:val="24"/>
          <w:szCs w:val="24"/>
        </w:rPr>
        <w:t>., 2012)</w:t>
      </w:r>
      <w:r w:rsidR="004B0C59" w:rsidRPr="004B0C59">
        <w:rPr>
          <w:sz w:val="24"/>
          <w:szCs w:val="24"/>
        </w:rPr>
        <w:t>.</w:t>
      </w:r>
    </w:p>
    <w:p w14:paraId="19E31A66" w14:textId="20D1B8E8" w:rsidR="00F668FB" w:rsidRDefault="00B45980" w:rsidP="00E5729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45980">
        <w:rPr>
          <w:sz w:val="24"/>
          <w:szCs w:val="24"/>
        </w:rPr>
        <w:t>Nesse contexto, o mapeamento das áreas de maior suscetibilidade à erosão constitui</w:t>
      </w:r>
      <w:r w:rsidR="00CE7AC5">
        <w:rPr>
          <w:sz w:val="24"/>
          <w:szCs w:val="24"/>
        </w:rPr>
        <w:t>-se como um</w:t>
      </w:r>
      <w:r w:rsidRPr="00B45980">
        <w:rPr>
          <w:sz w:val="24"/>
          <w:szCs w:val="24"/>
        </w:rPr>
        <w:t xml:space="preserve"> instrumento essencial para orientar a gestão de riscos e o </w:t>
      </w:r>
      <w:r>
        <w:rPr>
          <w:sz w:val="24"/>
          <w:szCs w:val="24"/>
        </w:rPr>
        <w:t>planejamento</w:t>
      </w:r>
      <w:r w:rsidRPr="00B45980">
        <w:rPr>
          <w:sz w:val="24"/>
          <w:szCs w:val="24"/>
        </w:rPr>
        <w:t xml:space="preserve"> territorial. O método de Análise Hierárquica de Processos (AHP), desenvolvido por Saaty (1990), destaca-se como ferramenta </w:t>
      </w:r>
      <w:r>
        <w:rPr>
          <w:sz w:val="24"/>
          <w:szCs w:val="24"/>
        </w:rPr>
        <w:t xml:space="preserve">de suporte </w:t>
      </w:r>
      <w:r w:rsidRPr="00B45980">
        <w:rPr>
          <w:sz w:val="24"/>
          <w:szCs w:val="24"/>
        </w:rPr>
        <w:t>à decisão espacial por permitir a integração de</w:t>
      </w:r>
      <w:r w:rsidR="00C801C2">
        <w:rPr>
          <w:sz w:val="24"/>
          <w:szCs w:val="24"/>
        </w:rPr>
        <w:t xml:space="preserve"> vários</w:t>
      </w:r>
      <w:r w:rsidRPr="00B459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parâmetros </w:t>
      </w:r>
      <w:r w:rsidRPr="00B45980">
        <w:rPr>
          <w:sz w:val="24"/>
          <w:szCs w:val="24"/>
        </w:rPr>
        <w:t>com pesos diferenciados</w:t>
      </w:r>
      <w:r w:rsidR="00960C71">
        <w:rPr>
          <w:sz w:val="24"/>
          <w:szCs w:val="24"/>
        </w:rPr>
        <w:t xml:space="preserve">. </w:t>
      </w:r>
      <w:r w:rsidRPr="00B45980">
        <w:rPr>
          <w:sz w:val="24"/>
          <w:szCs w:val="24"/>
        </w:rPr>
        <w:t xml:space="preserve">Assim, o presente trabalho tem como objetivo mapear a suscetibilidade à erosão no município de Juiz de Fora a partir da integração dos </w:t>
      </w:r>
      <w:r w:rsidR="00E57296">
        <w:rPr>
          <w:sz w:val="24"/>
          <w:szCs w:val="24"/>
        </w:rPr>
        <w:t>parâmetros</w:t>
      </w:r>
      <w:r w:rsidRPr="00B45980">
        <w:rPr>
          <w:sz w:val="24"/>
          <w:szCs w:val="24"/>
        </w:rPr>
        <w:t xml:space="preserve"> de pedologia, declividade e uso e ocupação do solo, ponderados pelo método AHP em ambiente de Sistema de Informação Geográfica (SIG).</w:t>
      </w:r>
    </w:p>
    <w:p w14:paraId="4BFB13D0" w14:textId="77777777" w:rsidR="009C39B3" w:rsidRPr="005F70B0" w:rsidRDefault="009C39B3" w:rsidP="009C39B3">
      <w:pPr>
        <w:jc w:val="both"/>
        <w:rPr>
          <w:sz w:val="24"/>
          <w:szCs w:val="24"/>
        </w:rPr>
      </w:pPr>
    </w:p>
    <w:p w14:paraId="208760B7" w14:textId="653A6907" w:rsidR="00E3782C" w:rsidRDefault="00E3782C" w:rsidP="00E57296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14D330A7" w14:textId="7967DFB4" w:rsidR="00123D76" w:rsidRDefault="00F14682" w:rsidP="00F668FB">
      <w:pPr>
        <w:spacing w:line="360" w:lineRule="auto"/>
        <w:ind w:right="209" w:firstLine="720"/>
        <w:jc w:val="both"/>
        <w:rPr>
          <w:b/>
          <w:bCs/>
          <w:sz w:val="28"/>
          <w:szCs w:val="28"/>
        </w:rPr>
      </w:pPr>
      <w:r>
        <w:rPr>
          <w:iCs/>
          <w:sz w:val="24"/>
          <w:szCs w:val="24"/>
        </w:rPr>
        <w:t>O município de Juiz de Fora está localizado na porção sudeste do estado de Minas Gerais, com altitudes variando entre 467 metros e 1.104 metros</w:t>
      </w:r>
      <w:r w:rsidR="00DE503D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(</w:t>
      </w:r>
      <w:r w:rsidR="007A4966">
        <w:rPr>
          <w:iCs/>
          <w:sz w:val="24"/>
          <w:szCs w:val="24"/>
        </w:rPr>
        <w:t>Juiz de Fora</w:t>
      </w:r>
      <w:r>
        <w:rPr>
          <w:iCs/>
          <w:sz w:val="24"/>
          <w:szCs w:val="24"/>
        </w:rPr>
        <w:t xml:space="preserve">, </w:t>
      </w:r>
      <w:r w:rsidR="00DE503D">
        <w:rPr>
          <w:iCs/>
          <w:sz w:val="24"/>
          <w:szCs w:val="24"/>
        </w:rPr>
        <w:t>2018)</w:t>
      </w:r>
      <w:r>
        <w:rPr>
          <w:iCs/>
          <w:sz w:val="24"/>
          <w:szCs w:val="24"/>
        </w:rPr>
        <w:t>.</w:t>
      </w:r>
      <w:r w:rsidR="00DE503D">
        <w:rPr>
          <w:iCs/>
          <w:sz w:val="24"/>
          <w:szCs w:val="24"/>
        </w:rPr>
        <w:t xml:space="preserve"> O mapa de localização (Figua 1) foi elaborado com base nas malhas municipais fornecidas pelo Instituto Brasileiro de Geografia e Estatística (IBGE, 2025).</w:t>
      </w:r>
    </w:p>
    <w:p w14:paraId="6276D772" w14:textId="15AFA93D" w:rsidR="003A63FE" w:rsidRPr="003A63FE" w:rsidRDefault="003A63FE" w:rsidP="00733945">
      <w:pPr>
        <w:ind w:right="209"/>
        <w:jc w:val="center"/>
        <w:rPr>
          <w:b/>
          <w:bCs/>
          <w:sz w:val="20"/>
          <w:szCs w:val="20"/>
        </w:rPr>
      </w:pPr>
      <w:r w:rsidRPr="003A63FE">
        <w:rPr>
          <w:b/>
          <w:bCs/>
          <w:iCs/>
          <w:sz w:val="20"/>
          <w:szCs w:val="20"/>
        </w:rPr>
        <w:t xml:space="preserve">Figura </w:t>
      </w:r>
      <w:r w:rsidR="009757A8">
        <w:rPr>
          <w:b/>
          <w:bCs/>
          <w:iCs/>
          <w:sz w:val="20"/>
          <w:szCs w:val="20"/>
        </w:rPr>
        <w:t>1</w:t>
      </w:r>
      <w:r w:rsidRPr="003A63FE">
        <w:rPr>
          <w:b/>
          <w:bCs/>
          <w:iCs/>
          <w:sz w:val="20"/>
          <w:szCs w:val="20"/>
        </w:rPr>
        <w:t xml:space="preserve"> - Mapa de localização do município de Juiz de Fora, Minas Gerais</w:t>
      </w:r>
    </w:p>
    <w:p w14:paraId="2B4FF2BE" w14:textId="01EA8B24" w:rsidR="003A63FE" w:rsidRDefault="0084305A" w:rsidP="00464F4C">
      <w:pPr>
        <w:pStyle w:val="Corpodetexto"/>
        <w:keepNext/>
        <w:jc w:val="center"/>
      </w:pPr>
      <w:r>
        <w:rPr>
          <w:noProof/>
        </w:rPr>
        <w:drawing>
          <wp:inline distT="0" distB="0" distL="0" distR="0" wp14:anchorId="1DE88DD1" wp14:editId="5220E8D8">
            <wp:extent cx="5384723" cy="2412000"/>
            <wp:effectExtent l="0" t="0" r="6985" b="7620"/>
            <wp:docPr id="76731895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318956" name="Imagem 76731895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86" b="24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723" cy="24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4573C9" w14:textId="3AD73EA6" w:rsidR="00596389" w:rsidRDefault="00596389" w:rsidP="005275C9">
      <w:pPr>
        <w:pStyle w:val="Corpodetexto"/>
        <w:keepNext/>
        <w:spacing w:line="360" w:lineRule="auto"/>
      </w:pPr>
      <w:r>
        <w:t>Fonte:</w:t>
      </w:r>
      <w:r w:rsidR="00D55A47">
        <w:t xml:space="preserve"> Autoras (</w:t>
      </w:r>
      <w:r>
        <w:t>2026</w:t>
      </w:r>
      <w:r w:rsidR="00D55A47">
        <w:t>)</w:t>
      </w:r>
      <w:r>
        <w:t>.</w:t>
      </w:r>
    </w:p>
    <w:p w14:paraId="27EFFAB5" w14:textId="66314A3B" w:rsidR="00F5165B" w:rsidRDefault="00F5165B" w:rsidP="0065751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5165B">
        <w:rPr>
          <w:sz w:val="24"/>
          <w:szCs w:val="24"/>
        </w:rPr>
        <w:t xml:space="preserve">Para </w:t>
      </w:r>
      <w:r>
        <w:rPr>
          <w:sz w:val="24"/>
          <w:szCs w:val="24"/>
        </w:rPr>
        <w:t>a análise da suscetibilidade à erosão em Juiz de Fora</w:t>
      </w:r>
      <w:r w:rsidRPr="00F5165B">
        <w:rPr>
          <w:sz w:val="24"/>
          <w:szCs w:val="24"/>
        </w:rPr>
        <w:t>, foram consideradas três variáveis: pedologia, declividade e uso e ocupação do solo. O mapa pedológico foi feito de acordo com a base da Embrapa,</w:t>
      </w:r>
      <w:r w:rsidR="00657515">
        <w:rPr>
          <w:sz w:val="24"/>
          <w:szCs w:val="24"/>
        </w:rPr>
        <w:t xml:space="preserve"> </w:t>
      </w:r>
      <w:r w:rsidR="00657515" w:rsidRPr="00657515">
        <w:rPr>
          <w:sz w:val="24"/>
          <w:szCs w:val="24"/>
        </w:rPr>
        <w:t>desenvolvid</w:t>
      </w:r>
      <w:r w:rsidR="000932B9">
        <w:rPr>
          <w:sz w:val="24"/>
          <w:szCs w:val="24"/>
        </w:rPr>
        <w:t>o</w:t>
      </w:r>
      <w:r w:rsidR="00657515">
        <w:rPr>
          <w:sz w:val="24"/>
          <w:szCs w:val="24"/>
        </w:rPr>
        <w:t xml:space="preserve"> </w:t>
      </w:r>
      <w:r w:rsidR="00657515" w:rsidRPr="00657515">
        <w:rPr>
          <w:sz w:val="24"/>
          <w:szCs w:val="24"/>
        </w:rPr>
        <w:t>por Coelho (2024),</w:t>
      </w:r>
      <w:r w:rsidRPr="00F5165B">
        <w:rPr>
          <w:sz w:val="24"/>
          <w:szCs w:val="24"/>
        </w:rPr>
        <w:t xml:space="preserve"> enquanto a declividade foi </w:t>
      </w:r>
      <w:r w:rsidR="00D03990">
        <w:rPr>
          <w:sz w:val="24"/>
          <w:szCs w:val="24"/>
        </w:rPr>
        <w:t xml:space="preserve">derivada </w:t>
      </w:r>
      <w:r w:rsidRPr="00F5165B">
        <w:rPr>
          <w:sz w:val="24"/>
          <w:szCs w:val="24"/>
        </w:rPr>
        <w:t>do Modelo Digital de Elevação</w:t>
      </w:r>
      <w:r w:rsidR="00D03990">
        <w:rPr>
          <w:sz w:val="24"/>
          <w:szCs w:val="24"/>
        </w:rPr>
        <w:t xml:space="preserve"> (MDE)</w:t>
      </w:r>
      <w:r w:rsidRPr="00F5165B">
        <w:rPr>
          <w:sz w:val="24"/>
          <w:szCs w:val="24"/>
        </w:rPr>
        <w:t xml:space="preserve"> SRTM </w:t>
      </w:r>
      <w:r w:rsidR="00D03990">
        <w:rPr>
          <w:sz w:val="24"/>
          <w:szCs w:val="24"/>
        </w:rPr>
        <w:t>(</w:t>
      </w:r>
      <w:r w:rsidRPr="00F5165B">
        <w:rPr>
          <w:sz w:val="24"/>
          <w:szCs w:val="24"/>
        </w:rPr>
        <w:t>resolução de 30 metros</w:t>
      </w:r>
      <w:r w:rsidR="00D03990">
        <w:rPr>
          <w:sz w:val="24"/>
          <w:szCs w:val="24"/>
        </w:rPr>
        <w:t>)</w:t>
      </w:r>
      <w:r w:rsidRPr="00F5165B">
        <w:rPr>
          <w:sz w:val="24"/>
          <w:szCs w:val="24"/>
        </w:rPr>
        <w:t xml:space="preserve">, obtido através </w:t>
      </w:r>
      <w:r w:rsidRPr="00F5165B">
        <w:rPr>
          <w:sz w:val="24"/>
          <w:szCs w:val="24"/>
        </w:rPr>
        <w:lastRenderedPageBreak/>
        <w:t xml:space="preserve">da Topodata, e o mapa de uso e ocupação do solo foi obtido por meio do </w:t>
      </w:r>
      <w:r w:rsidR="009A7300">
        <w:rPr>
          <w:sz w:val="24"/>
          <w:szCs w:val="24"/>
        </w:rPr>
        <w:t xml:space="preserve">projeto </w:t>
      </w:r>
      <w:r w:rsidRPr="00F5165B">
        <w:rPr>
          <w:sz w:val="24"/>
          <w:szCs w:val="24"/>
        </w:rPr>
        <w:t xml:space="preserve">MapBiomas, utilizando a classificação referente ao ano de 2024. Para cada uma dessas variáveis foi aplicado um peso, seguindo </w:t>
      </w:r>
      <w:r w:rsidR="00DB7FEC">
        <w:rPr>
          <w:sz w:val="24"/>
          <w:szCs w:val="24"/>
        </w:rPr>
        <w:t xml:space="preserve">o método </w:t>
      </w:r>
      <w:r w:rsidR="00B45980">
        <w:rPr>
          <w:sz w:val="24"/>
          <w:szCs w:val="24"/>
        </w:rPr>
        <w:t xml:space="preserve">AHP </w:t>
      </w:r>
      <w:r w:rsidRPr="00F5165B">
        <w:rPr>
          <w:sz w:val="24"/>
          <w:szCs w:val="24"/>
        </w:rPr>
        <w:t>de Saaty (19</w:t>
      </w:r>
      <w:r w:rsidR="00D379FC">
        <w:rPr>
          <w:sz w:val="24"/>
          <w:szCs w:val="24"/>
        </w:rPr>
        <w:t>9</w:t>
      </w:r>
      <w:r w:rsidRPr="00F5165B">
        <w:rPr>
          <w:sz w:val="24"/>
          <w:szCs w:val="24"/>
        </w:rPr>
        <w:t>0</w:t>
      </w:r>
      <w:r w:rsidR="00B45980">
        <w:rPr>
          <w:sz w:val="24"/>
          <w:szCs w:val="24"/>
        </w:rPr>
        <w:t>).</w:t>
      </w:r>
    </w:p>
    <w:p w14:paraId="02E79939" w14:textId="13710AD3" w:rsidR="00F5165B" w:rsidRDefault="00F5165B" w:rsidP="006C14F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5165B">
        <w:rPr>
          <w:sz w:val="24"/>
          <w:szCs w:val="24"/>
        </w:rPr>
        <w:t xml:space="preserve">A aplicação do AHP inicia-se com a </w:t>
      </w:r>
      <w:r>
        <w:rPr>
          <w:sz w:val="24"/>
          <w:szCs w:val="24"/>
        </w:rPr>
        <w:t xml:space="preserve">ponderação </w:t>
      </w:r>
      <w:r w:rsidRPr="00F5165B">
        <w:rPr>
          <w:sz w:val="24"/>
          <w:szCs w:val="24"/>
        </w:rPr>
        <w:t>das variávei</w:t>
      </w:r>
      <w:r>
        <w:rPr>
          <w:sz w:val="24"/>
          <w:szCs w:val="24"/>
        </w:rPr>
        <w:t>s</w:t>
      </w:r>
      <w:r w:rsidR="009A7300">
        <w:rPr>
          <w:sz w:val="24"/>
          <w:szCs w:val="24"/>
        </w:rPr>
        <w:t xml:space="preserve"> por meio de comparações par a par</w:t>
      </w:r>
      <w:r w:rsidR="006C14F2">
        <w:rPr>
          <w:sz w:val="24"/>
          <w:szCs w:val="24"/>
        </w:rPr>
        <w:t>. Nesse processo, são atribuídos valores n</w:t>
      </w:r>
      <w:r w:rsidR="007D58CC">
        <w:rPr>
          <w:sz w:val="24"/>
          <w:szCs w:val="24"/>
        </w:rPr>
        <w:t>u</w:t>
      </w:r>
      <w:r w:rsidR="006C14F2">
        <w:rPr>
          <w:sz w:val="24"/>
          <w:szCs w:val="24"/>
        </w:rPr>
        <w:t>m</w:t>
      </w:r>
      <w:r w:rsidR="007D58CC">
        <w:rPr>
          <w:sz w:val="24"/>
          <w:szCs w:val="24"/>
        </w:rPr>
        <w:t>é</w:t>
      </w:r>
      <w:r w:rsidR="006C14F2">
        <w:rPr>
          <w:sz w:val="24"/>
          <w:szCs w:val="24"/>
        </w:rPr>
        <w:t xml:space="preserve">ricos que expressam a importância relativa de um fator sobre o outro, utilizando a escala </w:t>
      </w:r>
      <w:r w:rsidRPr="00F5165B">
        <w:rPr>
          <w:sz w:val="24"/>
          <w:szCs w:val="24"/>
        </w:rPr>
        <w:t>proposta por Saaty e Vargas (1991), que varia de 1 a 9, onde o valor 1 indica "igual importância" e o valor 9 representa "extrema importância" de um fator em relação ao outro. Os valores recíprocos são atribuídos às posições simétricas da matriz</w:t>
      </w:r>
      <w:r w:rsidR="009A7300">
        <w:rPr>
          <w:sz w:val="24"/>
          <w:szCs w:val="24"/>
        </w:rPr>
        <w:t xml:space="preserve"> para garantir consistência matemática</w:t>
      </w:r>
      <w:r w:rsidRPr="00F5165B">
        <w:rPr>
          <w:sz w:val="24"/>
          <w:szCs w:val="24"/>
        </w:rPr>
        <w:t>.</w:t>
      </w:r>
    </w:p>
    <w:p w14:paraId="3A91E164" w14:textId="6B80C55E" w:rsidR="00B96767" w:rsidRDefault="006C14F2" w:rsidP="007D5E09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6C14F2">
        <w:rPr>
          <w:sz w:val="24"/>
          <w:szCs w:val="24"/>
        </w:rPr>
        <w:t xml:space="preserve">Os valores </w:t>
      </w:r>
      <w:r w:rsidR="009A7300">
        <w:rPr>
          <w:sz w:val="24"/>
          <w:szCs w:val="24"/>
        </w:rPr>
        <w:t>resultantes</w:t>
      </w:r>
      <w:r w:rsidRPr="006C14F2">
        <w:rPr>
          <w:sz w:val="24"/>
          <w:szCs w:val="24"/>
        </w:rPr>
        <w:t xml:space="preserve"> </w:t>
      </w:r>
      <w:r w:rsidR="00A379DD">
        <w:rPr>
          <w:sz w:val="24"/>
          <w:szCs w:val="24"/>
        </w:rPr>
        <w:t>são</w:t>
      </w:r>
      <w:r w:rsidRPr="006C14F2">
        <w:rPr>
          <w:sz w:val="24"/>
          <w:szCs w:val="24"/>
        </w:rPr>
        <w:t xml:space="preserve"> sintetizados para estabelecer </w:t>
      </w:r>
      <w:r w:rsidR="009A5E19">
        <w:rPr>
          <w:sz w:val="24"/>
          <w:szCs w:val="24"/>
        </w:rPr>
        <w:t>uma</w:t>
      </w:r>
      <w:r w:rsidRPr="006C14F2">
        <w:rPr>
          <w:sz w:val="24"/>
          <w:szCs w:val="24"/>
        </w:rPr>
        <w:t xml:space="preserve"> ordem hierárquica das variáveis, gerando um vetor de pesos normalizados para cada critério. A confiabilidade dos julgamentos é verificada por meio do cálculo da Razão de Consistência (RC), </w:t>
      </w:r>
      <w:r w:rsidR="009A5E19">
        <w:rPr>
          <w:sz w:val="24"/>
          <w:szCs w:val="24"/>
        </w:rPr>
        <w:t xml:space="preserve">que depende </w:t>
      </w:r>
      <w:r w:rsidRPr="006C14F2">
        <w:rPr>
          <w:sz w:val="24"/>
          <w:szCs w:val="24"/>
        </w:rPr>
        <w:t>do Índice de Consistência (IC) e do Índice Randômico (IR), conforme as equações estabelecidas por Saaty (</w:t>
      </w:r>
      <w:r w:rsidR="00A329D4">
        <w:rPr>
          <w:sz w:val="24"/>
          <w:szCs w:val="24"/>
        </w:rPr>
        <w:t>1987</w:t>
      </w:r>
      <w:r w:rsidRPr="006C14F2">
        <w:rPr>
          <w:sz w:val="24"/>
          <w:szCs w:val="24"/>
        </w:rPr>
        <w:t>)</w:t>
      </w:r>
      <w:r w:rsidR="000A02B2">
        <w:rPr>
          <w:sz w:val="24"/>
          <w:szCs w:val="24"/>
        </w:rPr>
        <w:t xml:space="preserve">. </w:t>
      </w:r>
      <w:r w:rsidR="007D5E09" w:rsidRPr="007D5E09">
        <w:rPr>
          <w:sz w:val="24"/>
          <w:szCs w:val="24"/>
        </w:rPr>
        <w:t xml:space="preserve">Para que os pesos sejam aceitáveis, a RC deve ser inferior a 10% (0,10). </w:t>
      </w:r>
    </w:p>
    <w:p w14:paraId="0524FBFB" w14:textId="2BB86100" w:rsidR="007D5E09" w:rsidRDefault="00E76C28" w:rsidP="007D5E09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E76C28">
        <w:rPr>
          <w:sz w:val="24"/>
          <w:szCs w:val="24"/>
        </w:rPr>
        <w:t xml:space="preserve">Com os pesos definidos e validados, utilizou-se o </w:t>
      </w:r>
      <w:r w:rsidRPr="00E76C28">
        <w:rPr>
          <w:i/>
          <w:iCs/>
          <w:sz w:val="24"/>
          <w:szCs w:val="24"/>
        </w:rPr>
        <w:t>plugin</w:t>
      </w:r>
      <w:r w:rsidRPr="00E76C28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E76C28">
        <w:rPr>
          <w:sz w:val="24"/>
          <w:szCs w:val="24"/>
        </w:rPr>
        <w:t>Análise Multicritério Ponderada</w:t>
      </w:r>
      <w:r w:rsidR="00DB6A35">
        <w:rPr>
          <w:sz w:val="24"/>
          <w:szCs w:val="24"/>
        </w:rPr>
        <w:t xml:space="preserve"> - </w:t>
      </w:r>
      <w:r w:rsidR="00DB6A35" w:rsidRPr="00E76C28">
        <w:rPr>
          <w:sz w:val="24"/>
          <w:szCs w:val="24"/>
        </w:rPr>
        <w:t>(AMP)</w:t>
      </w:r>
      <w:r>
        <w:rPr>
          <w:sz w:val="24"/>
          <w:szCs w:val="24"/>
        </w:rPr>
        <w:t>”</w:t>
      </w:r>
      <w:r w:rsidRPr="00E76C28">
        <w:rPr>
          <w:sz w:val="24"/>
          <w:szCs w:val="24"/>
        </w:rPr>
        <w:t xml:space="preserve"> no </w:t>
      </w:r>
      <w:r w:rsidR="00A945A4" w:rsidRPr="00A945A4">
        <w:rPr>
          <w:i/>
          <w:iCs/>
          <w:sz w:val="24"/>
          <w:szCs w:val="24"/>
        </w:rPr>
        <w:t>software</w:t>
      </w:r>
      <w:r w:rsidR="00A945A4">
        <w:rPr>
          <w:sz w:val="24"/>
          <w:szCs w:val="24"/>
        </w:rPr>
        <w:t xml:space="preserve"> </w:t>
      </w:r>
      <w:r w:rsidRPr="00E76C28">
        <w:rPr>
          <w:sz w:val="24"/>
          <w:szCs w:val="24"/>
        </w:rPr>
        <w:t>QGIS (versão 3.44.8) para a integração dos dados. A ferramenta permite inserir os pesos do autovetor normalizado tanto na matriz geral</w:t>
      </w:r>
      <w:r>
        <w:rPr>
          <w:sz w:val="24"/>
          <w:szCs w:val="24"/>
        </w:rPr>
        <w:t xml:space="preserve">, </w:t>
      </w:r>
      <w:r w:rsidRPr="00E76C28">
        <w:rPr>
          <w:sz w:val="24"/>
          <w:szCs w:val="24"/>
        </w:rPr>
        <w:t>que pondera a influência relativa entre os parâmetros (</w:t>
      </w:r>
      <w:r>
        <w:rPr>
          <w:sz w:val="24"/>
          <w:szCs w:val="24"/>
        </w:rPr>
        <w:t>pedologia</w:t>
      </w:r>
      <w:r w:rsidRPr="00E76C28">
        <w:rPr>
          <w:sz w:val="24"/>
          <w:szCs w:val="24"/>
        </w:rPr>
        <w:t>, declividade e uso e ocupação do solo)</w:t>
      </w:r>
      <w:r>
        <w:rPr>
          <w:sz w:val="24"/>
          <w:szCs w:val="24"/>
        </w:rPr>
        <w:t>,</w:t>
      </w:r>
      <w:r w:rsidRPr="00E76C28">
        <w:rPr>
          <w:sz w:val="24"/>
          <w:szCs w:val="24"/>
        </w:rPr>
        <w:t xml:space="preserve"> quanto nas matrizes específicas de cada parâmetro</w:t>
      </w:r>
      <w:r w:rsidR="00A379DD">
        <w:rPr>
          <w:sz w:val="24"/>
          <w:szCs w:val="24"/>
        </w:rPr>
        <w:t xml:space="preserve">. </w:t>
      </w:r>
      <w:r w:rsidRPr="00E76C28">
        <w:rPr>
          <w:sz w:val="24"/>
          <w:szCs w:val="24"/>
        </w:rPr>
        <w:t>A combinação dessas matrizes resultou no mapa final de suscetibilidade à erosão.</w:t>
      </w:r>
      <w:r w:rsidR="00DB6A35">
        <w:rPr>
          <w:sz w:val="24"/>
          <w:szCs w:val="24"/>
        </w:rPr>
        <w:t xml:space="preserve"> A Figura 2 demonstra o fluxo metodológico seguido.</w:t>
      </w:r>
    </w:p>
    <w:p w14:paraId="333985E2" w14:textId="641AB9AB" w:rsidR="006B2EB3" w:rsidRPr="006B2EB3" w:rsidRDefault="006B2EB3" w:rsidP="00A379DD">
      <w:pPr>
        <w:pStyle w:val="Legenda"/>
        <w:keepNext/>
        <w:spacing w:after="0" w:line="360" w:lineRule="auto"/>
        <w:jc w:val="center"/>
        <w:rPr>
          <w:b/>
          <w:bCs/>
          <w:i w:val="0"/>
          <w:iCs w:val="0"/>
          <w:color w:val="auto"/>
          <w:sz w:val="20"/>
          <w:szCs w:val="20"/>
        </w:rPr>
      </w:pPr>
      <w:r w:rsidRPr="006B2EB3">
        <w:rPr>
          <w:b/>
          <w:bCs/>
          <w:i w:val="0"/>
          <w:iCs w:val="0"/>
          <w:color w:val="auto"/>
          <w:sz w:val="20"/>
          <w:szCs w:val="20"/>
        </w:rPr>
        <w:t xml:space="preserve">Figura </w:t>
      </w:r>
      <w:r w:rsidR="00454278">
        <w:rPr>
          <w:b/>
          <w:bCs/>
          <w:i w:val="0"/>
          <w:iCs w:val="0"/>
          <w:color w:val="auto"/>
          <w:sz w:val="20"/>
          <w:szCs w:val="20"/>
        </w:rPr>
        <w:t>2</w:t>
      </w:r>
      <w:r w:rsidRPr="006B2EB3">
        <w:rPr>
          <w:b/>
          <w:bCs/>
          <w:i w:val="0"/>
          <w:iCs w:val="0"/>
          <w:color w:val="auto"/>
          <w:sz w:val="20"/>
          <w:szCs w:val="20"/>
        </w:rPr>
        <w:t xml:space="preserve"> - Fluxograma da ponderação pelo método AHP</w:t>
      </w:r>
    </w:p>
    <w:p w14:paraId="73C9E118" w14:textId="4F3912B1" w:rsidR="00665ED4" w:rsidRDefault="004C375B" w:rsidP="00421159">
      <w:pPr>
        <w:pStyle w:val="Corpodetexto"/>
        <w:spacing w:before="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B8EF00F" wp14:editId="2B726EEE">
            <wp:extent cx="5762625" cy="1609725"/>
            <wp:effectExtent l="0" t="0" r="9525" b="9525"/>
            <wp:docPr id="2815434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543433" name="Imagem 28154343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99" b="43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86823E" w14:textId="3833B8EF" w:rsidR="00FB35F8" w:rsidRPr="00FB35F8" w:rsidRDefault="00FB35F8" w:rsidP="00FB35F8">
      <w:pPr>
        <w:pStyle w:val="Corpodetexto"/>
        <w:keepNext/>
        <w:spacing w:line="360" w:lineRule="auto"/>
      </w:pPr>
      <w:r w:rsidRPr="00DE0B17">
        <w:t xml:space="preserve">Fonte: </w:t>
      </w:r>
      <w:r w:rsidR="00D55A47">
        <w:t>Autoras (2026).</w:t>
      </w:r>
    </w:p>
    <w:p w14:paraId="12FCD9CA" w14:textId="3D5A2557" w:rsidR="00E400A0" w:rsidRDefault="00FB35F8" w:rsidP="00BC3486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156E1" w:rsidRPr="002156E1">
        <w:rPr>
          <w:sz w:val="24"/>
          <w:szCs w:val="24"/>
        </w:rPr>
        <w:t xml:space="preserve">Na matriz geral, a pedologia recebeu maior peso entre os </w:t>
      </w:r>
      <w:r w:rsidR="00C26359">
        <w:rPr>
          <w:sz w:val="24"/>
          <w:szCs w:val="24"/>
        </w:rPr>
        <w:t xml:space="preserve">outros </w:t>
      </w:r>
      <w:r w:rsidR="002156E1" w:rsidRPr="002156E1">
        <w:rPr>
          <w:sz w:val="24"/>
          <w:szCs w:val="24"/>
        </w:rPr>
        <w:t xml:space="preserve">parâmetros, seguida da declividade e do uso e ocupação do solo. Essa hierarquia </w:t>
      </w:r>
      <w:r w:rsidR="007B5998">
        <w:rPr>
          <w:sz w:val="24"/>
          <w:szCs w:val="24"/>
        </w:rPr>
        <w:t xml:space="preserve">de influência </w:t>
      </w:r>
      <w:r w:rsidR="000F206D">
        <w:rPr>
          <w:sz w:val="24"/>
          <w:szCs w:val="24"/>
        </w:rPr>
        <w:t xml:space="preserve">na dinâmica </w:t>
      </w:r>
      <w:r w:rsidR="004B54F7">
        <w:rPr>
          <w:sz w:val="24"/>
          <w:szCs w:val="24"/>
        </w:rPr>
        <w:t xml:space="preserve">da erosão </w:t>
      </w:r>
      <w:r w:rsidR="002156E1" w:rsidRPr="002156E1">
        <w:rPr>
          <w:sz w:val="24"/>
          <w:szCs w:val="24"/>
        </w:rPr>
        <w:t>se justifica pelo caráter relativamente estável dos fatores físicos do terreno em comparação à dinâmica do uso e ocupação, que se altera ao longo do tempo.</w:t>
      </w:r>
      <w:r w:rsidR="00C26359">
        <w:rPr>
          <w:sz w:val="24"/>
          <w:szCs w:val="24"/>
        </w:rPr>
        <w:t xml:space="preserve"> </w:t>
      </w:r>
      <w:r w:rsidR="002156E1">
        <w:rPr>
          <w:sz w:val="24"/>
          <w:szCs w:val="24"/>
        </w:rPr>
        <w:t>No que diz respeito à pedologia, entre os solos identificados na área de estudo,  o Latossolo Vermelho-Amarelo Distrófico</w:t>
      </w:r>
      <w:r w:rsidR="00860F49">
        <w:rPr>
          <w:sz w:val="24"/>
          <w:szCs w:val="24"/>
        </w:rPr>
        <w:t xml:space="preserve"> </w:t>
      </w:r>
      <w:r w:rsidR="00860F49">
        <w:rPr>
          <w:sz w:val="24"/>
          <w:szCs w:val="24"/>
        </w:rPr>
        <w:lastRenderedPageBreak/>
        <w:t>recebeu menor peso por ser mais estruturado, profundo e estabilizado, enquanto o Cambissolo Háplico Tb Distrófico recebeu maior peso por ser menos estruturado (Santos, 2015).</w:t>
      </w:r>
      <w:r w:rsidR="007F1A72">
        <w:rPr>
          <w:sz w:val="24"/>
          <w:szCs w:val="24"/>
        </w:rPr>
        <w:t xml:space="preserve"> Quanto </w:t>
      </w:r>
      <w:r w:rsidR="0030736C">
        <w:rPr>
          <w:sz w:val="24"/>
          <w:szCs w:val="24"/>
        </w:rPr>
        <w:t>à</w:t>
      </w:r>
      <w:r w:rsidR="007F1A72">
        <w:rPr>
          <w:sz w:val="24"/>
          <w:szCs w:val="24"/>
        </w:rPr>
        <w:t xml:space="preserve"> declividade, adotou-se o princípio de que quanto maior o declive, </w:t>
      </w:r>
      <w:r w:rsidR="00CA55FA">
        <w:rPr>
          <w:sz w:val="24"/>
          <w:szCs w:val="24"/>
        </w:rPr>
        <w:t xml:space="preserve">maior a energia cinética da água da chuva, portanto, </w:t>
      </w:r>
      <w:r w:rsidR="007F1A72">
        <w:rPr>
          <w:sz w:val="24"/>
          <w:szCs w:val="24"/>
        </w:rPr>
        <w:t>maior o potencial erosivo</w:t>
      </w:r>
      <w:r w:rsidR="00CA55FA">
        <w:rPr>
          <w:sz w:val="24"/>
          <w:szCs w:val="24"/>
        </w:rPr>
        <w:t xml:space="preserve">. </w:t>
      </w:r>
      <w:r w:rsidR="002156E1" w:rsidRPr="002156E1">
        <w:rPr>
          <w:sz w:val="24"/>
          <w:szCs w:val="24"/>
        </w:rPr>
        <w:t xml:space="preserve">Por fim, para o uso e ocupação do solo, considerou-se que o potencial erosivo aumenta à medida que a cobertura vegetal diminui: áreas de formação florestal, por exemplo, receberam </w:t>
      </w:r>
      <w:r w:rsidR="004B334F">
        <w:rPr>
          <w:sz w:val="24"/>
          <w:szCs w:val="24"/>
        </w:rPr>
        <w:t xml:space="preserve">um </w:t>
      </w:r>
      <w:r w:rsidR="00674B2C">
        <w:rPr>
          <w:sz w:val="24"/>
          <w:szCs w:val="24"/>
        </w:rPr>
        <w:t>peso menor</w:t>
      </w:r>
      <w:r w:rsidR="002156E1" w:rsidRPr="002156E1">
        <w:rPr>
          <w:sz w:val="24"/>
          <w:szCs w:val="24"/>
        </w:rPr>
        <w:t xml:space="preserve">, enquanto áreas sem cobertura vegetal receberam </w:t>
      </w:r>
      <w:r w:rsidR="004B334F">
        <w:rPr>
          <w:sz w:val="24"/>
          <w:szCs w:val="24"/>
        </w:rPr>
        <w:t>um peso maior</w:t>
      </w:r>
      <w:r w:rsidR="00FD583D">
        <w:rPr>
          <w:sz w:val="24"/>
          <w:szCs w:val="24"/>
        </w:rPr>
        <w:t xml:space="preserve"> (Santos; Nascimento, 2020)</w:t>
      </w:r>
      <w:r w:rsidR="002156E1" w:rsidRPr="002156E1">
        <w:rPr>
          <w:sz w:val="24"/>
          <w:szCs w:val="24"/>
        </w:rPr>
        <w:t>.</w:t>
      </w:r>
      <w:r w:rsidR="006C49CE">
        <w:rPr>
          <w:sz w:val="24"/>
          <w:szCs w:val="24"/>
        </w:rPr>
        <w:t xml:space="preserve"> </w:t>
      </w:r>
      <w:r w:rsidR="00A93136" w:rsidRPr="00A93136">
        <w:rPr>
          <w:sz w:val="24"/>
          <w:szCs w:val="24"/>
        </w:rPr>
        <w:t>A Figura 3 apresenta os mapas de pedologia (A), elaborado com base na Embrapa por Coelho (2024), de declividade (B), obtido a partir do MDE SRTM da Topodata, e de uso e ocupação do solo (C), baseado nos dados do MapBiomas.</w:t>
      </w:r>
    </w:p>
    <w:p w14:paraId="7B88EB44" w14:textId="6836E840" w:rsidR="00E400A0" w:rsidRPr="00E400A0" w:rsidRDefault="00E400A0" w:rsidP="006C49CE">
      <w:pPr>
        <w:pStyle w:val="Legenda"/>
        <w:keepNext/>
        <w:spacing w:after="0"/>
        <w:jc w:val="center"/>
        <w:rPr>
          <w:b/>
          <w:bCs/>
          <w:i w:val="0"/>
          <w:iCs w:val="0"/>
          <w:color w:val="auto"/>
          <w:sz w:val="20"/>
          <w:szCs w:val="20"/>
        </w:rPr>
      </w:pPr>
      <w:r w:rsidRPr="00E400A0">
        <w:rPr>
          <w:b/>
          <w:bCs/>
          <w:i w:val="0"/>
          <w:iCs w:val="0"/>
          <w:color w:val="auto"/>
          <w:sz w:val="20"/>
          <w:szCs w:val="20"/>
        </w:rPr>
        <w:t xml:space="preserve">Figura </w:t>
      </w:r>
      <w:r w:rsidR="006C49CE">
        <w:rPr>
          <w:b/>
          <w:bCs/>
          <w:i w:val="0"/>
          <w:iCs w:val="0"/>
          <w:color w:val="auto"/>
          <w:sz w:val="20"/>
          <w:szCs w:val="20"/>
        </w:rPr>
        <w:t>3</w:t>
      </w:r>
      <w:r w:rsidRPr="00E400A0">
        <w:rPr>
          <w:b/>
          <w:bCs/>
          <w:i w:val="0"/>
          <w:iCs w:val="0"/>
          <w:color w:val="auto"/>
          <w:sz w:val="20"/>
          <w:szCs w:val="20"/>
        </w:rPr>
        <w:t xml:space="preserve"> - Mapas de pedologia</w:t>
      </w:r>
      <w:r w:rsidR="00D55A47">
        <w:rPr>
          <w:b/>
          <w:bCs/>
          <w:i w:val="0"/>
          <w:iCs w:val="0"/>
          <w:color w:val="auto"/>
          <w:sz w:val="20"/>
          <w:szCs w:val="20"/>
        </w:rPr>
        <w:t xml:space="preserve"> (A)</w:t>
      </w:r>
      <w:r w:rsidRPr="00E400A0">
        <w:rPr>
          <w:b/>
          <w:bCs/>
          <w:i w:val="0"/>
          <w:iCs w:val="0"/>
          <w:color w:val="auto"/>
          <w:sz w:val="20"/>
          <w:szCs w:val="20"/>
        </w:rPr>
        <w:t>, declividade</w:t>
      </w:r>
      <w:r w:rsidR="00D55A47">
        <w:rPr>
          <w:b/>
          <w:bCs/>
          <w:i w:val="0"/>
          <w:iCs w:val="0"/>
          <w:color w:val="auto"/>
          <w:sz w:val="20"/>
          <w:szCs w:val="20"/>
        </w:rPr>
        <w:t xml:space="preserve"> (B) </w:t>
      </w:r>
      <w:r w:rsidRPr="00E400A0">
        <w:rPr>
          <w:b/>
          <w:bCs/>
          <w:i w:val="0"/>
          <w:iCs w:val="0"/>
          <w:color w:val="auto"/>
          <w:sz w:val="20"/>
          <w:szCs w:val="20"/>
        </w:rPr>
        <w:t>e uso e ocupação do solo</w:t>
      </w:r>
      <w:r w:rsidR="00D55A47">
        <w:rPr>
          <w:b/>
          <w:bCs/>
          <w:i w:val="0"/>
          <w:iCs w:val="0"/>
          <w:color w:val="auto"/>
          <w:sz w:val="20"/>
          <w:szCs w:val="20"/>
        </w:rPr>
        <w:t xml:space="preserve"> (C)</w:t>
      </w:r>
      <w:r w:rsidRPr="00E400A0">
        <w:rPr>
          <w:b/>
          <w:bCs/>
          <w:i w:val="0"/>
          <w:iCs w:val="0"/>
          <w:color w:val="auto"/>
          <w:sz w:val="20"/>
          <w:szCs w:val="20"/>
        </w:rPr>
        <w:t xml:space="preserve"> de Juiz de Fora</w:t>
      </w:r>
    </w:p>
    <w:p w14:paraId="289C4632" w14:textId="401AB712" w:rsidR="00E400A0" w:rsidRDefault="00E400A0" w:rsidP="006C49CE">
      <w:pPr>
        <w:pStyle w:val="Corpodetex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4118C9" wp14:editId="0825EF91">
            <wp:extent cx="5761355" cy="3249295"/>
            <wp:effectExtent l="0" t="0" r="0" b="8255"/>
            <wp:docPr id="1899003834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24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0E60EE" w14:textId="2E2B077B" w:rsidR="006C49CE" w:rsidRDefault="006C49CE" w:rsidP="006C49CE">
      <w:pPr>
        <w:pStyle w:val="Corpodetexto"/>
        <w:keepNext/>
        <w:spacing w:line="360" w:lineRule="auto"/>
      </w:pPr>
      <w:r w:rsidRPr="00DE0B17">
        <w:t xml:space="preserve">Fonte: </w:t>
      </w:r>
      <w:r w:rsidR="00D55A47">
        <w:t>Autoras (2026).</w:t>
      </w:r>
    </w:p>
    <w:p w14:paraId="7C964DC3" w14:textId="77777777" w:rsidR="009C39B3" w:rsidRPr="006C49CE" w:rsidRDefault="009C39B3" w:rsidP="009C39B3">
      <w:pPr>
        <w:jc w:val="both"/>
      </w:pPr>
    </w:p>
    <w:p w14:paraId="71573541" w14:textId="3C71B544" w:rsidR="00E3782C" w:rsidRDefault="00E3782C" w:rsidP="00F668FB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7C5F8BF" w14:textId="7D21D481" w:rsidR="00C749F0" w:rsidRDefault="00E400A0" w:rsidP="00F668FB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A aplicação do método AHP resultou em pesos normalizados de 0,61 para pedologia, 0,29 para declividade e 0,10 para uso e ocupação do solo. A RC da matriz geral foi de 0,04, valor inferior ao limite de 0,10 estabelecido por Saaty (1990), o que indica coerência dos julgamentos realizados. As matrizes individuais de pedologia, declividade e uso e ocupação do solo também apresentaram RC dentro do limite aceitável, com valores iguais a 0,06, 0,09 e 0,09, respectivamente.</w:t>
      </w:r>
    </w:p>
    <w:p w14:paraId="5AAA14F6" w14:textId="5076DF8C" w:rsidR="00D10625" w:rsidRDefault="004E6B98" w:rsidP="00C36506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9114D" w:rsidRPr="00A9114D">
        <w:rPr>
          <w:sz w:val="24"/>
          <w:szCs w:val="24"/>
        </w:rPr>
        <w:t xml:space="preserve">O mapa de suscetibilidade à erosão (Figura 4) indica que a classe </w:t>
      </w:r>
      <w:r w:rsidR="00C36506">
        <w:rPr>
          <w:sz w:val="24"/>
          <w:szCs w:val="24"/>
        </w:rPr>
        <w:t>“M</w:t>
      </w:r>
      <w:r w:rsidR="00A9114D" w:rsidRPr="00A9114D">
        <w:rPr>
          <w:sz w:val="24"/>
          <w:szCs w:val="24"/>
        </w:rPr>
        <w:t>édia</w:t>
      </w:r>
      <w:r w:rsidR="00C36506">
        <w:rPr>
          <w:sz w:val="24"/>
          <w:szCs w:val="24"/>
        </w:rPr>
        <w:t>”</w:t>
      </w:r>
      <w:r w:rsidR="00A9114D" w:rsidRPr="00A9114D">
        <w:rPr>
          <w:sz w:val="24"/>
          <w:szCs w:val="24"/>
        </w:rPr>
        <w:t xml:space="preserve"> predomina </w:t>
      </w:r>
      <w:r w:rsidR="00A9114D" w:rsidRPr="00A9114D">
        <w:rPr>
          <w:sz w:val="24"/>
          <w:szCs w:val="24"/>
        </w:rPr>
        <w:lastRenderedPageBreak/>
        <w:t>em grande parte da área de estudo, abrangendo 1.283,20 km</w:t>
      </w:r>
      <w:r w:rsidR="00924E37" w:rsidRPr="00924E37">
        <w:rPr>
          <w:sz w:val="24"/>
          <w:szCs w:val="24"/>
          <w:vertAlign w:val="superscript"/>
        </w:rPr>
        <w:t>2</w:t>
      </w:r>
      <w:r w:rsidR="00924E37">
        <w:rPr>
          <w:sz w:val="24"/>
          <w:szCs w:val="24"/>
        </w:rPr>
        <w:t xml:space="preserve"> </w:t>
      </w:r>
      <w:r w:rsidR="00335B34">
        <w:rPr>
          <w:sz w:val="24"/>
          <w:szCs w:val="24"/>
        </w:rPr>
        <w:t>(</w:t>
      </w:r>
      <w:r w:rsidR="00A9114D" w:rsidRPr="00A9114D">
        <w:rPr>
          <w:sz w:val="24"/>
          <w:szCs w:val="24"/>
        </w:rPr>
        <w:t>89,52% do total</w:t>
      </w:r>
      <w:r w:rsidR="00335B34">
        <w:rPr>
          <w:sz w:val="24"/>
          <w:szCs w:val="24"/>
        </w:rPr>
        <w:t>)</w:t>
      </w:r>
      <w:r w:rsidR="00D10625">
        <w:rPr>
          <w:sz w:val="24"/>
          <w:szCs w:val="24"/>
        </w:rPr>
        <w:t xml:space="preserve">, </w:t>
      </w:r>
      <w:r w:rsidR="00335B34">
        <w:rPr>
          <w:sz w:val="24"/>
          <w:szCs w:val="24"/>
        </w:rPr>
        <w:t xml:space="preserve">e está associada </w:t>
      </w:r>
      <w:r w:rsidR="00A9114D" w:rsidRPr="00A9114D">
        <w:rPr>
          <w:sz w:val="24"/>
          <w:szCs w:val="24"/>
        </w:rPr>
        <w:t>à ocorrência de Cambissolos Háplicos Tb Distróficos, solos cuja menor estruturação e profundidade reduzida os tornam mais vulneráveis a processos erosivos (Santos, 2015).</w:t>
      </w:r>
      <w:r w:rsidR="00C36506">
        <w:rPr>
          <w:sz w:val="24"/>
          <w:szCs w:val="24"/>
        </w:rPr>
        <w:t xml:space="preserve"> </w:t>
      </w:r>
      <w:r w:rsidR="00D10625" w:rsidRPr="00D10625">
        <w:rPr>
          <w:sz w:val="24"/>
          <w:szCs w:val="24"/>
        </w:rPr>
        <w:t xml:space="preserve">As classes </w:t>
      </w:r>
      <w:r w:rsidR="00D10625">
        <w:rPr>
          <w:sz w:val="24"/>
          <w:szCs w:val="24"/>
        </w:rPr>
        <w:t>“A</w:t>
      </w:r>
      <w:r w:rsidR="00D10625" w:rsidRPr="00D10625">
        <w:rPr>
          <w:sz w:val="24"/>
          <w:szCs w:val="24"/>
        </w:rPr>
        <w:t>lta</w:t>
      </w:r>
      <w:r w:rsidR="00D10625">
        <w:rPr>
          <w:sz w:val="24"/>
          <w:szCs w:val="24"/>
        </w:rPr>
        <w:t>”</w:t>
      </w:r>
      <w:r w:rsidR="00D10625" w:rsidRPr="00D10625">
        <w:rPr>
          <w:sz w:val="24"/>
          <w:szCs w:val="24"/>
        </w:rPr>
        <w:t xml:space="preserve"> e </w:t>
      </w:r>
      <w:r w:rsidR="00D10625">
        <w:rPr>
          <w:sz w:val="24"/>
          <w:szCs w:val="24"/>
        </w:rPr>
        <w:t>“M</w:t>
      </w:r>
      <w:r w:rsidR="00D10625" w:rsidRPr="00D10625">
        <w:rPr>
          <w:sz w:val="24"/>
          <w:szCs w:val="24"/>
        </w:rPr>
        <w:t>uito alta</w:t>
      </w:r>
      <w:r w:rsidR="00D10625">
        <w:rPr>
          <w:sz w:val="24"/>
          <w:szCs w:val="24"/>
        </w:rPr>
        <w:t>”</w:t>
      </w:r>
      <w:r w:rsidR="00FE64D3">
        <w:rPr>
          <w:sz w:val="24"/>
          <w:szCs w:val="24"/>
        </w:rPr>
        <w:t xml:space="preserve"> </w:t>
      </w:r>
      <w:r w:rsidR="00F918AE">
        <w:rPr>
          <w:sz w:val="24"/>
          <w:szCs w:val="24"/>
        </w:rPr>
        <w:t>podem estar</w:t>
      </w:r>
      <w:r w:rsidR="00D10625" w:rsidRPr="00D10625">
        <w:rPr>
          <w:sz w:val="24"/>
          <w:szCs w:val="24"/>
        </w:rPr>
        <w:t xml:space="preserve"> associadas a relevos montanhosos e fortemente montanhosos, </w:t>
      </w:r>
      <w:r w:rsidR="00FE64D3">
        <w:rPr>
          <w:sz w:val="24"/>
          <w:szCs w:val="24"/>
        </w:rPr>
        <w:t>somando</w:t>
      </w:r>
      <w:r w:rsidR="00D10625" w:rsidRPr="00D10625">
        <w:rPr>
          <w:sz w:val="24"/>
          <w:szCs w:val="24"/>
        </w:rPr>
        <w:t xml:space="preserve"> 65,56 km</w:t>
      </w:r>
      <w:r w:rsidR="00B173C4" w:rsidRPr="00B173C4">
        <w:rPr>
          <w:sz w:val="24"/>
          <w:szCs w:val="24"/>
          <w:vertAlign w:val="superscript"/>
        </w:rPr>
        <w:t>2</w:t>
      </w:r>
      <w:r w:rsidR="00B173C4">
        <w:rPr>
          <w:sz w:val="24"/>
          <w:szCs w:val="24"/>
        </w:rPr>
        <w:t xml:space="preserve"> </w:t>
      </w:r>
      <w:r w:rsidR="00D10625" w:rsidRPr="00D10625">
        <w:rPr>
          <w:sz w:val="24"/>
          <w:szCs w:val="24"/>
        </w:rPr>
        <w:t>(4,57%), sendo 54,60 km</w:t>
      </w:r>
      <w:r w:rsidR="00524889" w:rsidRPr="00524889">
        <w:rPr>
          <w:sz w:val="24"/>
          <w:szCs w:val="24"/>
          <w:vertAlign w:val="superscript"/>
        </w:rPr>
        <w:t>2</w:t>
      </w:r>
      <w:r w:rsidR="00D10625" w:rsidRPr="00D10625">
        <w:rPr>
          <w:sz w:val="24"/>
          <w:szCs w:val="24"/>
        </w:rPr>
        <w:t xml:space="preserve"> (3,81%) </w:t>
      </w:r>
      <w:r w:rsidR="007304CD">
        <w:rPr>
          <w:sz w:val="24"/>
          <w:szCs w:val="24"/>
        </w:rPr>
        <w:t>da</w:t>
      </w:r>
      <w:r w:rsidR="00D10625" w:rsidRPr="00D10625">
        <w:rPr>
          <w:sz w:val="24"/>
          <w:szCs w:val="24"/>
        </w:rPr>
        <w:t xml:space="preserve"> classe </w:t>
      </w:r>
      <w:r w:rsidR="00524889">
        <w:rPr>
          <w:sz w:val="24"/>
          <w:szCs w:val="24"/>
        </w:rPr>
        <w:t>“</w:t>
      </w:r>
      <w:r w:rsidR="00D10625" w:rsidRPr="00D10625">
        <w:rPr>
          <w:sz w:val="24"/>
          <w:szCs w:val="24"/>
        </w:rPr>
        <w:t>Alta</w:t>
      </w:r>
      <w:r w:rsidR="00524889">
        <w:rPr>
          <w:sz w:val="24"/>
          <w:szCs w:val="24"/>
        </w:rPr>
        <w:t>”</w:t>
      </w:r>
      <w:r w:rsidR="00D10625" w:rsidRPr="00D10625">
        <w:rPr>
          <w:sz w:val="24"/>
          <w:szCs w:val="24"/>
        </w:rPr>
        <w:t xml:space="preserve"> e 10,96 km</w:t>
      </w:r>
      <w:r w:rsidR="00524889" w:rsidRPr="00524889">
        <w:rPr>
          <w:sz w:val="24"/>
          <w:szCs w:val="24"/>
          <w:vertAlign w:val="superscript"/>
        </w:rPr>
        <w:t>2</w:t>
      </w:r>
      <w:r w:rsidR="00D10625" w:rsidRPr="00D10625">
        <w:rPr>
          <w:sz w:val="24"/>
          <w:szCs w:val="24"/>
        </w:rPr>
        <w:t xml:space="preserve"> (0,76%) </w:t>
      </w:r>
      <w:r w:rsidR="007304CD">
        <w:rPr>
          <w:sz w:val="24"/>
          <w:szCs w:val="24"/>
        </w:rPr>
        <w:t>da</w:t>
      </w:r>
      <w:r w:rsidR="00D10625" w:rsidRPr="00D10625">
        <w:rPr>
          <w:sz w:val="24"/>
          <w:szCs w:val="24"/>
        </w:rPr>
        <w:t xml:space="preserve"> </w:t>
      </w:r>
      <w:r w:rsidR="00524889">
        <w:rPr>
          <w:sz w:val="24"/>
          <w:szCs w:val="24"/>
        </w:rPr>
        <w:t>“</w:t>
      </w:r>
      <w:r w:rsidR="00D10625" w:rsidRPr="00D10625">
        <w:rPr>
          <w:sz w:val="24"/>
          <w:szCs w:val="24"/>
        </w:rPr>
        <w:t>Muito alta</w:t>
      </w:r>
      <w:r w:rsidR="00524889">
        <w:rPr>
          <w:sz w:val="24"/>
          <w:szCs w:val="24"/>
        </w:rPr>
        <w:t>”</w:t>
      </w:r>
      <w:r w:rsidR="00D10625" w:rsidRPr="00D10625">
        <w:rPr>
          <w:sz w:val="24"/>
          <w:szCs w:val="24"/>
        </w:rPr>
        <w:t xml:space="preserve">. Já as classes </w:t>
      </w:r>
      <w:r w:rsidR="00CF7F67">
        <w:rPr>
          <w:sz w:val="24"/>
          <w:szCs w:val="24"/>
        </w:rPr>
        <w:t>“M</w:t>
      </w:r>
      <w:r w:rsidR="00D10625" w:rsidRPr="00D10625">
        <w:rPr>
          <w:sz w:val="24"/>
          <w:szCs w:val="24"/>
        </w:rPr>
        <w:t>uito baixa</w:t>
      </w:r>
      <w:r w:rsidR="00CF7F67">
        <w:rPr>
          <w:sz w:val="24"/>
          <w:szCs w:val="24"/>
        </w:rPr>
        <w:t>”</w:t>
      </w:r>
      <w:r w:rsidR="00D10625" w:rsidRPr="00D10625">
        <w:rPr>
          <w:sz w:val="24"/>
          <w:szCs w:val="24"/>
        </w:rPr>
        <w:t xml:space="preserve"> e </w:t>
      </w:r>
      <w:r w:rsidR="00CF7F67">
        <w:rPr>
          <w:sz w:val="24"/>
          <w:szCs w:val="24"/>
        </w:rPr>
        <w:t>“B</w:t>
      </w:r>
      <w:r w:rsidR="00D10625" w:rsidRPr="00D10625">
        <w:rPr>
          <w:sz w:val="24"/>
          <w:szCs w:val="24"/>
        </w:rPr>
        <w:t>aixa</w:t>
      </w:r>
      <w:r w:rsidR="00CF7F67">
        <w:rPr>
          <w:sz w:val="24"/>
          <w:szCs w:val="24"/>
        </w:rPr>
        <w:t>”</w:t>
      </w:r>
      <w:r w:rsidR="00D10625" w:rsidRPr="00D10625">
        <w:rPr>
          <w:sz w:val="24"/>
          <w:szCs w:val="24"/>
        </w:rPr>
        <w:t xml:space="preserve">, </w:t>
      </w:r>
      <w:r w:rsidR="00CF7F67">
        <w:rPr>
          <w:sz w:val="24"/>
          <w:szCs w:val="24"/>
        </w:rPr>
        <w:t xml:space="preserve">com </w:t>
      </w:r>
      <w:r w:rsidR="00D10625" w:rsidRPr="00D10625">
        <w:rPr>
          <w:sz w:val="24"/>
          <w:szCs w:val="24"/>
        </w:rPr>
        <w:t>3,21 km</w:t>
      </w:r>
      <w:r w:rsidR="00CF7F67" w:rsidRPr="00CF7F67">
        <w:rPr>
          <w:sz w:val="24"/>
          <w:szCs w:val="24"/>
          <w:vertAlign w:val="superscript"/>
        </w:rPr>
        <w:t>2</w:t>
      </w:r>
      <w:r w:rsidR="00CF7F67">
        <w:rPr>
          <w:sz w:val="24"/>
          <w:szCs w:val="24"/>
        </w:rPr>
        <w:t xml:space="preserve"> </w:t>
      </w:r>
      <w:r w:rsidR="00D10625" w:rsidRPr="00D10625">
        <w:rPr>
          <w:sz w:val="24"/>
          <w:szCs w:val="24"/>
        </w:rPr>
        <w:t>(0,22%) e 81,41 km</w:t>
      </w:r>
      <w:r w:rsidR="00785CA7" w:rsidRPr="00785CA7">
        <w:rPr>
          <w:sz w:val="24"/>
          <w:szCs w:val="24"/>
          <w:vertAlign w:val="superscript"/>
        </w:rPr>
        <w:t>2</w:t>
      </w:r>
      <w:r w:rsidR="00D10625" w:rsidRPr="00D10625">
        <w:rPr>
          <w:sz w:val="24"/>
          <w:szCs w:val="24"/>
        </w:rPr>
        <w:t xml:space="preserve"> (5,68%), respectivamente, correspondem principalmente aos corpos d'água e às áreas de formação florestal, como observado no mapa de uso e ocupação do solo, onde a cobertura vegetal exerce papel protetor sobre o solo (Santos; Nascimento, 2020).</w:t>
      </w:r>
    </w:p>
    <w:p w14:paraId="5C77A992" w14:textId="6365F8CB" w:rsidR="004E6B98" w:rsidRPr="00C61FA8" w:rsidRDefault="004E6B98" w:rsidP="00C61FA8">
      <w:pPr>
        <w:pStyle w:val="Legenda"/>
        <w:keepNext/>
        <w:spacing w:after="0"/>
        <w:jc w:val="center"/>
        <w:rPr>
          <w:b/>
          <w:bCs/>
          <w:i w:val="0"/>
          <w:iCs w:val="0"/>
          <w:color w:val="auto"/>
          <w:sz w:val="20"/>
          <w:szCs w:val="20"/>
        </w:rPr>
      </w:pPr>
      <w:r w:rsidRPr="00C61FA8">
        <w:rPr>
          <w:b/>
          <w:bCs/>
          <w:i w:val="0"/>
          <w:iCs w:val="0"/>
          <w:color w:val="auto"/>
          <w:sz w:val="20"/>
          <w:szCs w:val="20"/>
        </w:rPr>
        <w:t xml:space="preserve">Figura </w:t>
      </w:r>
      <w:r w:rsidR="00960A9B">
        <w:rPr>
          <w:b/>
          <w:bCs/>
          <w:i w:val="0"/>
          <w:iCs w:val="0"/>
          <w:color w:val="auto"/>
          <w:sz w:val="20"/>
          <w:szCs w:val="20"/>
        </w:rPr>
        <w:t>4</w:t>
      </w:r>
      <w:r w:rsidR="00960A9B" w:rsidRPr="00C61FA8">
        <w:rPr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C61FA8">
        <w:rPr>
          <w:b/>
          <w:bCs/>
          <w:i w:val="0"/>
          <w:iCs w:val="0"/>
          <w:color w:val="auto"/>
          <w:sz w:val="20"/>
          <w:szCs w:val="20"/>
        </w:rPr>
        <w:t>- Mapa de suscetibilidade à erosão do município de Juiz de Fora</w:t>
      </w:r>
    </w:p>
    <w:p w14:paraId="483FF47B" w14:textId="47D23F81" w:rsidR="008C6D12" w:rsidRDefault="00276320" w:rsidP="008C6D12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7DB13B9" wp14:editId="21C1DA8A">
            <wp:extent cx="5762625" cy="2618509"/>
            <wp:effectExtent l="0" t="0" r="0" b="0"/>
            <wp:docPr id="1038390552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390552" name="Imagem 1038390552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18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079D3" w14:textId="57BA37C1" w:rsidR="00243512" w:rsidRDefault="00C61FA8" w:rsidP="00C61FA8">
      <w:pPr>
        <w:pStyle w:val="Corpodetexto"/>
        <w:keepNext/>
        <w:spacing w:line="360" w:lineRule="auto"/>
      </w:pPr>
      <w:r w:rsidRPr="00DE0B17">
        <w:t xml:space="preserve">Fonte: </w:t>
      </w:r>
      <w:r w:rsidR="00875F31">
        <w:t>Autoras (2026).</w:t>
      </w:r>
    </w:p>
    <w:p w14:paraId="1C25DF7A" w14:textId="562A5CC7" w:rsidR="00243512" w:rsidRPr="005F70B0" w:rsidRDefault="00243512" w:rsidP="003A108C">
      <w:pPr>
        <w:pStyle w:val="Corpodetexto"/>
        <w:spacing w:before="240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321148F7" w14:textId="0F54A95C" w:rsidR="00396890" w:rsidRPr="00396890" w:rsidRDefault="00396890" w:rsidP="00396890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396890">
        <w:rPr>
          <w:sz w:val="24"/>
          <w:szCs w:val="24"/>
        </w:rPr>
        <w:t xml:space="preserve">O presente estudo demonstrou que a integração dos parâmetros de pedologia, declividade e uso e ocupação do solo, ponderados pelo método AHP, constitui uma abordagem eficaz para o mapeamento da suscetibilidade à erosão no município de Juiz de Fora. </w:t>
      </w:r>
      <w:r>
        <w:rPr>
          <w:sz w:val="24"/>
          <w:szCs w:val="24"/>
        </w:rPr>
        <w:t>A pedologia se mostrou ser o fator de maior influência no processo erosivo, evidenciando que as características dos solos condicionam de form</w:t>
      </w:r>
      <w:r w:rsidR="00A546A6">
        <w:rPr>
          <w:sz w:val="24"/>
          <w:szCs w:val="24"/>
        </w:rPr>
        <w:t>a</w:t>
      </w:r>
      <w:r>
        <w:rPr>
          <w:sz w:val="24"/>
          <w:szCs w:val="24"/>
        </w:rPr>
        <w:t xml:space="preserve"> determinante a vulnerabilidade do terreno. </w:t>
      </w:r>
    </w:p>
    <w:p w14:paraId="1EBC74F5" w14:textId="4D122300" w:rsidR="00840354" w:rsidRPr="00396890" w:rsidRDefault="00396890" w:rsidP="00396890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396890">
        <w:rPr>
          <w:sz w:val="24"/>
          <w:szCs w:val="24"/>
        </w:rPr>
        <w:t xml:space="preserve">Os resultados reforçam a urgência do planejamento territorial preventivo em Juiz de Fora, município que combina características físicas vulneráveis com elevada ocupação </w:t>
      </w:r>
      <w:r>
        <w:rPr>
          <w:sz w:val="24"/>
          <w:szCs w:val="24"/>
        </w:rPr>
        <w:t>em</w:t>
      </w:r>
      <w:r w:rsidRPr="00396890">
        <w:rPr>
          <w:sz w:val="24"/>
          <w:szCs w:val="24"/>
        </w:rPr>
        <w:t xml:space="preserve"> áreas de risco. O mapeamento pode subsidiar a identificação de áreas prioritárias para intervenção e contribuir para a redução dos impactos de eventos extremos</w:t>
      </w:r>
      <w:r w:rsidR="00A2441E">
        <w:rPr>
          <w:sz w:val="24"/>
          <w:szCs w:val="24"/>
        </w:rPr>
        <w:t>,</w:t>
      </w:r>
      <w:r w:rsidRPr="00396890">
        <w:rPr>
          <w:sz w:val="24"/>
          <w:szCs w:val="24"/>
        </w:rPr>
        <w:t xml:space="preserve"> como o registrado em fevereiro de 2026. Estudos futuros poderiam incorporar dados de erodibilidade do solo </w:t>
      </w:r>
      <w:r>
        <w:rPr>
          <w:sz w:val="24"/>
          <w:szCs w:val="24"/>
        </w:rPr>
        <w:t>pluviométricos</w:t>
      </w:r>
      <w:r w:rsidRPr="00396890">
        <w:rPr>
          <w:sz w:val="24"/>
          <w:szCs w:val="24"/>
        </w:rPr>
        <w:t xml:space="preserve"> para aprimorar o mapeamento e aumentar a precisão das estimativas de suscetibilidade</w:t>
      </w:r>
      <w:r>
        <w:rPr>
          <w:sz w:val="24"/>
          <w:szCs w:val="24"/>
        </w:rPr>
        <w:t xml:space="preserve"> à erosão</w:t>
      </w:r>
      <w:r w:rsidRPr="00396890">
        <w:rPr>
          <w:sz w:val="24"/>
          <w:szCs w:val="24"/>
        </w:rPr>
        <w:t>.</w:t>
      </w:r>
    </w:p>
    <w:p w14:paraId="58B32154" w14:textId="3AF5B758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lastRenderedPageBreak/>
        <w:t>Agradecimentos</w:t>
      </w:r>
    </w:p>
    <w:p w14:paraId="731FE0DA" w14:textId="1C609FF6" w:rsidR="005F70B0" w:rsidRDefault="001E3119" w:rsidP="002B010F">
      <w:pPr>
        <w:pStyle w:val="Corpodetexto"/>
        <w:tabs>
          <w:tab w:val="left" w:pos="720"/>
          <w:tab w:val="left" w:pos="1440"/>
          <w:tab w:val="left" w:pos="2962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114A1" w:rsidRPr="008114A1">
        <w:rPr>
          <w:sz w:val="24"/>
          <w:szCs w:val="24"/>
        </w:rPr>
        <w:t>O presente trabalho foi realizado com apoio da Coordenação de Aperfeiçoamento de Pessoal de Nível Superior - Brasil (CAPES) - Código de Financiamento 001</w:t>
      </w:r>
      <w:r w:rsidR="008114A1">
        <w:rPr>
          <w:sz w:val="24"/>
          <w:szCs w:val="24"/>
        </w:rPr>
        <w:t>.</w:t>
      </w:r>
    </w:p>
    <w:p w14:paraId="4D9155F1" w14:textId="77777777" w:rsidR="003D4096" w:rsidRDefault="003D4096" w:rsidP="003D4096">
      <w:pPr>
        <w:jc w:val="both"/>
        <w:rPr>
          <w:sz w:val="24"/>
          <w:szCs w:val="24"/>
        </w:rPr>
      </w:pP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1BEBEC65" w14:textId="77777777" w:rsidR="00577C15" w:rsidRPr="00727F0E" w:rsidRDefault="00577C15" w:rsidP="00657515">
      <w:pPr>
        <w:pStyle w:val="Corpodetexto"/>
        <w:rPr>
          <w:sz w:val="24"/>
          <w:szCs w:val="24"/>
          <w:lang w:val="pt-BR"/>
        </w:rPr>
      </w:pPr>
      <w:r w:rsidRPr="003E609F">
        <w:rPr>
          <w:sz w:val="24"/>
          <w:szCs w:val="24"/>
        </w:rPr>
        <w:t xml:space="preserve">COELHO, M. R. </w:t>
      </w:r>
      <w:r w:rsidRPr="003E609F">
        <w:rPr>
          <w:b/>
          <w:bCs/>
          <w:sz w:val="24"/>
          <w:szCs w:val="24"/>
        </w:rPr>
        <w:t>Base de dados de erodibilidade do solo do Brasil</w:t>
      </w:r>
      <w:r w:rsidRPr="003E609F">
        <w:rPr>
          <w:sz w:val="24"/>
          <w:szCs w:val="24"/>
        </w:rPr>
        <w:t xml:space="preserve">. Embrapa (CNPS), 2024. Disponível em: </w:t>
      </w:r>
      <w:r>
        <w:fldChar w:fldCharType="begin"/>
      </w:r>
      <w:r>
        <w:instrText>HYPERLINK "https://geoinfo.dados.embrapa.br/catalogue/" \l "/document/6602"</w:instrText>
      </w:r>
      <w:r>
        <w:fldChar w:fldCharType="separate"/>
      </w:r>
      <w:r w:rsidRPr="003E609F">
        <w:rPr>
          <w:sz w:val="24"/>
          <w:szCs w:val="24"/>
        </w:rPr>
        <w:t>https://geoinfo.dados.embrapa.br/catalogue/#/document/6602</w:t>
      </w:r>
      <w:r>
        <w:fldChar w:fldCharType="end"/>
      </w:r>
      <w:r w:rsidRPr="003E609F">
        <w:rPr>
          <w:sz w:val="24"/>
          <w:szCs w:val="24"/>
        </w:rPr>
        <w:t xml:space="preserve">. </w:t>
      </w:r>
      <w:r w:rsidRPr="00727F0E">
        <w:rPr>
          <w:sz w:val="24"/>
          <w:szCs w:val="24"/>
          <w:lang w:val="pt-BR"/>
        </w:rPr>
        <w:t>Acesso em: 4 jun. 2026.</w:t>
      </w:r>
    </w:p>
    <w:p w14:paraId="36CCC525" w14:textId="77777777" w:rsidR="00577C15" w:rsidRPr="00727F0E" w:rsidRDefault="00577C15" w:rsidP="00657515">
      <w:pPr>
        <w:pStyle w:val="Corpodetexto"/>
        <w:rPr>
          <w:sz w:val="24"/>
          <w:szCs w:val="24"/>
          <w:lang w:val="pt-BR"/>
        </w:rPr>
      </w:pPr>
    </w:p>
    <w:p w14:paraId="44D8A13B" w14:textId="77777777" w:rsidR="00577C15" w:rsidRPr="003E609F" w:rsidRDefault="00577C15" w:rsidP="00F87250">
      <w:pPr>
        <w:pStyle w:val="Corpodetexto"/>
        <w:rPr>
          <w:sz w:val="24"/>
          <w:szCs w:val="24"/>
          <w:lang w:val="pt-BR"/>
        </w:rPr>
      </w:pPr>
      <w:r w:rsidRPr="003E609F">
        <w:rPr>
          <w:sz w:val="24"/>
          <w:szCs w:val="24"/>
          <w:lang w:val="pt-BR"/>
        </w:rPr>
        <w:t xml:space="preserve">FIOCRUZ. </w:t>
      </w:r>
      <w:r w:rsidRPr="003E609F">
        <w:rPr>
          <w:b/>
          <w:bCs/>
          <w:sz w:val="24"/>
          <w:szCs w:val="24"/>
          <w:lang w:val="pt-BR"/>
        </w:rPr>
        <w:t>Impactos das Inundações e Deslizamentos em Juiz de Fora e Região (MG) e Recomendações para o Setor Saúde</w:t>
      </w:r>
      <w:r w:rsidRPr="003E609F">
        <w:rPr>
          <w:sz w:val="24"/>
          <w:szCs w:val="24"/>
          <w:lang w:val="pt-BR"/>
        </w:rPr>
        <w:t xml:space="preserve">. Nota técnica do Observatório de Clima e Saúde, p. 1-17, 2026. </w:t>
      </w:r>
    </w:p>
    <w:p w14:paraId="59A30959" w14:textId="77777777" w:rsidR="00577C15" w:rsidRPr="003E609F" w:rsidRDefault="00577C15" w:rsidP="00F87250">
      <w:pPr>
        <w:pStyle w:val="Corpodetexto"/>
        <w:rPr>
          <w:sz w:val="24"/>
          <w:szCs w:val="24"/>
          <w:lang w:val="pt-BR"/>
        </w:rPr>
      </w:pPr>
    </w:p>
    <w:p w14:paraId="45AE2A4D" w14:textId="77777777" w:rsidR="00577C15" w:rsidRPr="003E609F" w:rsidRDefault="00577C15" w:rsidP="00F87250">
      <w:pPr>
        <w:pStyle w:val="Corpodetexto"/>
        <w:rPr>
          <w:sz w:val="24"/>
          <w:szCs w:val="24"/>
          <w:lang w:val="pt-BR"/>
        </w:rPr>
      </w:pPr>
      <w:r w:rsidRPr="003E609F">
        <w:rPr>
          <w:sz w:val="24"/>
          <w:szCs w:val="24"/>
          <w:lang w:val="pt-BR"/>
        </w:rPr>
        <w:t xml:space="preserve">GOMES, M. A. </w:t>
      </w:r>
      <w:r w:rsidRPr="003E609F">
        <w:rPr>
          <w:i/>
          <w:iCs/>
          <w:sz w:val="24"/>
          <w:szCs w:val="24"/>
          <w:lang w:val="pt-BR"/>
        </w:rPr>
        <w:t>et al</w:t>
      </w:r>
      <w:r w:rsidRPr="003E609F">
        <w:rPr>
          <w:sz w:val="24"/>
          <w:szCs w:val="24"/>
          <w:lang w:val="pt-BR"/>
        </w:rPr>
        <w:t xml:space="preserve">. Solos, manejo e aspectos hidrológicos na bacia hidrográfica do Araújos, Viçosa – MG. </w:t>
      </w:r>
      <w:r w:rsidRPr="003E609F">
        <w:rPr>
          <w:b/>
          <w:bCs/>
          <w:sz w:val="24"/>
          <w:szCs w:val="24"/>
          <w:lang w:val="pt-BR"/>
        </w:rPr>
        <w:t>Revista Árvore</w:t>
      </w:r>
      <w:r w:rsidRPr="003E609F">
        <w:rPr>
          <w:sz w:val="24"/>
          <w:szCs w:val="24"/>
          <w:lang w:val="pt-BR"/>
        </w:rPr>
        <w:t>, v. 36, n. 1, p. 93-102, 2012.</w:t>
      </w:r>
    </w:p>
    <w:p w14:paraId="4BABB2AD" w14:textId="77777777" w:rsidR="00577C15" w:rsidRPr="003E609F" w:rsidRDefault="00577C15" w:rsidP="00F87250">
      <w:pPr>
        <w:pStyle w:val="Corpodetexto"/>
        <w:rPr>
          <w:sz w:val="24"/>
          <w:szCs w:val="24"/>
          <w:lang w:val="pt-BR"/>
        </w:rPr>
      </w:pPr>
    </w:p>
    <w:p w14:paraId="4599ABF5" w14:textId="77777777" w:rsidR="00577C15" w:rsidRPr="003E609F" w:rsidRDefault="00577C15">
      <w:pPr>
        <w:pStyle w:val="Corpodetexto"/>
        <w:rPr>
          <w:sz w:val="24"/>
          <w:szCs w:val="24"/>
        </w:rPr>
      </w:pPr>
      <w:r w:rsidRPr="003E609F">
        <w:rPr>
          <w:sz w:val="24"/>
          <w:szCs w:val="24"/>
        </w:rPr>
        <w:t xml:space="preserve">IBGE – INSTITUTO BRASILEIRO DE GEOGRAFIA E ESTATÍSTICA. </w:t>
      </w:r>
      <w:r w:rsidRPr="003E609F">
        <w:rPr>
          <w:b/>
          <w:bCs/>
          <w:sz w:val="24"/>
          <w:szCs w:val="24"/>
        </w:rPr>
        <w:t>Malha municipal:</w:t>
      </w:r>
      <w:r w:rsidRPr="003E609F">
        <w:rPr>
          <w:sz w:val="24"/>
          <w:szCs w:val="24"/>
        </w:rPr>
        <w:t xml:space="preserve"> Minas Gerais. Rio de Janeiro, 2025.</w:t>
      </w:r>
    </w:p>
    <w:p w14:paraId="31D478E4" w14:textId="77777777" w:rsidR="00577C15" w:rsidRPr="003E609F" w:rsidRDefault="00577C15">
      <w:pPr>
        <w:pStyle w:val="Corpodetexto"/>
        <w:rPr>
          <w:sz w:val="24"/>
          <w:szCs w:val="24"/>
        </w:rPr>
      </w:pPr>
    </w:p>
    <w:p w14:paraId="3366A3A1" w14:textId="77777777" w:rsidR="00577C15" w:rsidRPr="003E609F" w:rsidRDefault="00577C15" w:rsidP="00F87250">
      <w:pPr>
        <w:pStyle w:val="Corpodetexto"/>
        <w:rPr>
          <w:sz w:val="24"/>
          <w:szCs w:val="24"/>
          <w:lang w:val="pt-BR"/>
        </w:rPr>
      </w:pPr>
      <w:r w:rsidRPr="003E609F">
        <w:rPr>
          <w:sz w:val="24"/>
          <w:szCs w:val="24"/>
          <w:lang w:val="pt-BR"/>
        </w:rPr>
        <w:t xml:space="preserve">IBGE; CEMADEN. </w:t>
      </w:r>
      <w:r w:rsidRPr="003E609F">
        <w:rPr>
          <w:b/>
          <w:bCs/>
          <w:sz w:val="24"/>
          <w:szCs w:val="24"/>
          <w:lang w:val="pt-BR"/>
        </w:rPr>
        <w:t>População em áreas de risco no Brasil</w:t>
      </w:r>
      <w:r w:rsidRPr="003E609F">
        <w:rPr>
          <w:sz w:val="24"/>
          <w:szCs w:val="24"/>
          <w:lang w:val="pt-BR"/>
        </w:rPr>
        <w:t>. Rio de Janeiro: IBGE, 2018.</w:t>
      </w:r>
    </w:p>
    <w:p w14:paraId="765A8A89" w14:textId="77777777" w:rsidR="00577C15" w:rsidRPr="003E609F" w:rsidRDefault="00577C15" w:rsidP="00F87250">
      <w:pPr>
        <w:pStyle w:val="Corpodetexto"/>
        <w:rPr>
          <w:sz w:val="24"/>
          <w:szCs w:val="24"/>
          <w:lang w:val="pt-BR"/>
        </w:rPr>
      </w:pPr>
    </w:p>
    <w:p w14:paraId="03A0383A" w14:textId="77777777" w:rsidR="00577C15" w:rsidRPr="003E609F" w:rsidRDefault="00577C15">
      <w:pPr>
        <w:pStyle w:val="Corpodetexto"/>
        <w:rPr>
          <w:sz w:val="24"/>
          <w:szCs w:val="24"/>
        </w:rPr>
      </w:pPr>
      <w:r w:rsidRPr="003E609F">
        <w:rPr>
          <w:sz w:val="24"/>
          <w:szCs w:val="24"/>
        </w:rPr>
        <w:t xml:space="preserve">JUIZ DE FORA. Prefeitura Municipal. </w:t>
      </w:r>
      <w:r w:rsidRPr="003E609F">
        <w:rPr>
          <w:b/>
          <w:bCs/>
          <w:sz w:val="24"/>
          <w:szCs w:val="24"/>
        </w:rPr>
        <w:t>Características do município</w:t>
      </w:r>
      <w:r w:rsidRPr="003E609F">
        <w:rPr>
          <w:sz w:val="24"/>
          <w:szCs w:val="24"/>
        </w:rPr>
        <w:t>. Juiz de Fora, 2018. Disponível em: https://www.pjf.mg.gov.br/institucional/cidade/caracteristicas.php. Acesso em: 20 jun. 2026.</w:t>
      </w:r>
    </w:p>
    <w:p w14:paraId="6A52C7D7" w14:textId="77777777" w:rsidR="00637031" w:rsidRPr="003E609F" w:rsidRDefault="00637031">
      <w:pPr>
        <w:pStyle w:val="Corpodetexto"/>
        <w:rPr>
          <w:sz w:val="24"/>
          <w:szCs w:val="24"/>
        </w:rPr>
      </w:pPr>
    </w:p>
    <w:p w14:paraId="40ED68D0" w14:textId="11B51EC1" w:rsidR="00637031" w:rsidRPr="00727F0E" w:rsidRDefault="00637031">
      <w:pPr>
        <w:pStyle w:val="Corpodetexto"/>
        <w:rPr>
          <w:sz w:val="24"/>
          <w:szCs w:val="24"/>
          <w:lang w:val="en-US"/>
        </w:rPr>
      </w:pPr>
      <w:r w:rsidRPr="003E609F">
        <w:rPr>
          <w:sz w:val="24"/>
          <w:szCs w:val="24"/>
        </w:rPr>
        <w:t xml:space="preserve">LABCAA. </w:t>
      </w:r>
      <w:r w:rsidRPr="003E609F">
        <w:rPr>
          <w:b/>
          <w:bCs/>
          <w:sz w:val="24"/>
          <w:szCs w:val="24"/>
        </w:rPr>
        <w:t>A maior chuva da história de Juiz de Fora</w:t>
      </w:r>
      <w:r w:rsidRPr="003E609F">
        <w:rPr>
          <w:sz w:val="24"/>
          <w:szCs w:val="24"/>
        </w:rPr>
        <w:t xml:space="preserve">. Juiz de Fora: UFJF, 2026. Disponível em: </w:t>
      </w:r>
      <w:r w:rsidR="003E609F">
        <w:fldChar w:fldCharType="begin"/>
      </w:r>
      <w:r w:rsidR="003E609F">
        <w:instrText>HYPERLINK "https://www2.ufjf.br/labcaa/2026/02/24/a-maior-chuva-da-historia-de-juiz-de-fora/"</w:instrText>
      </w:r>
      <w:r w:rsidR="003E609F">
        <w:fldChar w:fldCharType="separate"/>
      </w:r>
      <w:r w:rsidR="003E609F" w:rsidRPr="003E609F">
        <w:rPr>
          <w:rStyle w:val="Hyperlink"/>
          <w:color w:val="auto"/>
          <w:sz w:val="24"/>
          <w:szCs w:val="24"/>
          <w:u w:val="none"/>
        </w:rPr>
        <w:t>https://www2.ufjf.br/labcaa/2026/02/24/a-maior-chuva-da-historia-de-juiz-de-fora/</w:t>
      </w:r>
      <w:r w:rsidR="003E609F">
        <w:fldChar w:fldCharType="end"/>
      </w:r>
      <w:r w:rsidRPr="003E609F">
        <w:rPr>
          <w:sz w:val="24"/>
          <w:szCs w:val="24"/>
        </w:rPr>
        <w:t>.</w:t>
      </w:r>
      <w:r w:rsidR="003E609F" w:rsidRPr="003E609F">
        <w:rPr>
          <w:sz w:val="24"/>
          <w:szCs w:val="24"/>
        </w:rPr>
        <w:t xml:space="preserve"> </w:t>
      </w:r>
      <w:proofErr w:type="spellStart"/>
      <w:r w:rsidR="003E609F" w:rsidRPr="00727F0E">
        <w:rPr>
          <w:sz w:val="24"/>
          <w:szCs w:val="24"/>
          <w:lang w:val="en-US"/>
        </w:rPr>
        <w:t>Acesso</w:t>
      </w:r>
      <w:proofErr w:type="spellEnd"/>
      <w:r w:rsidR="003E609F" w:rsidRPr="00727F0E">
        <w:rPr>
          <w:sz w:val="24"/>
          <w:szCs w:val="24"/>
          <w:lang w:val="en-US"/>
        </w:rPr>
        <w:t xml:space="preserve"> </w:t>
      </w:r>
      <w:proofErr w:type="spellStart"/>
      <w:r w:rsidR="003E609F" w:rsidRPr="00727F0E">
        <w:rPr>
          <w:sz w:val="24"/>
          <w:szCs w:val="24"/>
          <w:lang w:val="en-US"/>
        </w:rPr>
        <w:t>em</w:t>
      </w:r>
      <w:proofErr w:type="spellEnd"/>
      <w:r w:rsidR="003E609F" w:rsidRPr="00727F0E">
        <w:rPr>
          <w:sz w:val="24"/>
          <w:szCs w:val="24"/>
          <w:lang w:val="en-US"/>
        </w:rPr>
        <w:t>: 19 jun. 2026.</w:t>
      </w:r>
    </w:p>
    <w:p w14:paraId="2C487CDC" w14:textId="77777777" w:rsidR="00577C15" w:rsidRPr="00727F0E" w:rsidRDefault="00577C15">
      <w:pPr>
        <w:pStyle w:val="Corpodetexto"/>
        <w:rPr>
          <w:sz w:val="24"/>
          <w:szCs w:val="24"/>
          <w:lang w:val="en-US"/>
        </w:rPr>
      </w:pPr>
    </w:p>
    <w:p w14:paraId="3499A94A" w14:textId="77777777" w:rsidR="00577C15" w:rsidRPr="003E609F" w:rsidRDefault="00577C15" w:rsidP="00F87250">
      <w:pPr>
        <w:pStyle w:val="Corpodetexto"/>
        <w:rPr>
          <w:sz w:val="24"/>
          <w:szCs w:val="24"/>
          <w:lang w:val="en-US"/>
        </w:rPr>
      </w:pPr>
      <w:r w:rsidRPr="003E609F">
        <w:rPr>
          <w:sz w:val="24"/>
          <w:szCs w:val="24"/>
          <w:lang w:val="en-US"/>
        </w:rPr>
        <w:t xml:space="preserve">SAATY, R. W. The analytic hierarchy process – what it is and how it is used. </w:t>
      </w:r>
      <w:r w:rsidRPr="003E609F">
        <w:rPr>
          <w:b/>
          <w:bCs/>
          <w:sz w:val="24"/>
          <w:szCs w:val="24"/>
          <w:lang w:val="en-US"/>
        </w:rPr>
        <w:t>Mathematical Modelling</w:t>
      </w:r>
      <w:r w:rsidRPr="003E609F">
        <w:rPr>
          <w:sz w:val="24"/>
          <w:szCs w:val="24"/>
          <w:lang w:val="en-US"/>
        </w:rPr>
        <w:t>, v. 9, n. 3-5, p. 161-176, 1987.</w:t>
      </w:r>
    </w:p>
    <w:p w14:paraId="11DA8F94" w14:textId="77777777" w:rsidR="00577C15" w:rsidRPr="003E609F" w:rsidRDefault="00577C15" w:rsidP="00F87250">
      <w:pPr>
        <w:pStyle w:val="Corpodetexto"/>
        <w:rPr>
          <w:lang w:val="en-US"/>
        </w:rPr>
      </w:pPr>
    </w:p>
    <w:p w14:paraId="060059C6" w14:textId="741CAAB6" w:rsidR="00577C15" w:rsidRPr="003E609F" w:rsidRDefault="00577C15">
      <w:pPr>
        <w:pStyle w:val="Corpodetexto"/>
        <w:rPr>
          <w:sz w:val="24"/>
          <w:szCs w:val="24"/>
          <w:lang w:val="en-US"/>
        </w:rPr>
      </w:pPr>
      <w:r w:rsidRPr="003E609F">
        <w:rPr>
          <w:sz w:val="24"/>
          <w:szCs w:val="24"/>
          <w:lang w:val="en-US"/>
        </w:rPr>
        <w:t xml:space="preserve">SAATY, T. L. How to </w:t>
      </w:r>
      <w:proofErr w:type="gramStart"/>
      <w:r w:rsidRPr="003E609F">
        <w:rPr>
          <w:sz w:val="24"/>
          <w:szCs w:val="24"/>
          <w:lang w:val="en-US"/>
        </w:rPr>
        <w:t>make a decision</w:t>
      </w:r>
      <w:proofErr w:type="gramEnd"/>
      <w:r w:rsidRPr="003E609F">
        <w:rPr>
          <w:sz w:val="24"/>
          <w:szCs w:val="24"/>
          <w:lang w:val="en-US"/>
        </w:rPr>
        <w:t xml:space="preserve">: The Analytic Hierarchy Process. </w:t>
      </w:r>
      <w:r w:rsidRPr="003E609F">
        <w:rPr>
          <w:b/>
          <w:bCs/>
          <w:sz w:val="24"/>
          <w:szCs w:val="24"/>
          <w:lang w:val="en-US"/>
        </w:rPr>
        <w:t>European Journal of Operational Research</w:t>
      </w:r>
      <w:r w:rsidRPr="003E609F">
        <w:rPr>
          <w:sz w:val="24"/>
          <w:szCs w:val="24"/>
          <w:lang w:val="en-US"/>
        </w:rPr>
        <w:t>, v. 48, p. 9-26, 1990.</w:t>
      </w:r>
    </w:p>
    <w:p w14:paraId="370FCC48" w14:textId="77777777" w:rsidR="00577C15" w:rsidRPr="003E609F" w:rsidRDefault="00577C15">
      <w:pPr>
        <w:pStyle w:val="Corpodetexto"/>
        <w:rPr>
          <w:sz w:val="24"/>
          <w:szCs w:val="24"/>
          <w:lang w:val="en-US"/>
        </w:rPr>
      </w:pPr>
    </w:p>
    <w:p w14:paraId="5680A4E5" w14:textId="77777777" w:rsidR="00577C15" w:rsidRPr="00727F0E" w:rsidRDefault="00577C15" w:rsidP="00DB6A35">
      <w:pPr>
        <w:pStyle w:val="Corpodetexto"/>
        <w:rPr>
          <w:sz w:val="24"/>
          <w:szCs w:val="24"/>
          <w:lang w:val="pt-BR"/>
        </w:rPr>
      </w:pPr>
      <w:r w:rsidRPr="003E609F">
        <w:rPr>
          <w:sz w:val="24"/>
          <w:szCs w:val="24"/>
          <w:lang w:val="en-US"/>
        </w:rPr>
        <w:t xml:space="preserve">SAATY, T. L.; VARGAS, L. G. </w:t>
      </w:r>
      <w:r w:rsidRPr="003E609F">
        <w:rPr>
          <w:b/>
          <w:bCs/>
          <w:sz w:val="24"/>
          <w:szCs w:val="24"/>
          <w:lang w:val="en-US"/>
        </w:rPr>
        <w:t>Prediction, projection and forecasting</w:t>
      </w:r>
      <w:r w:rsidRPr="003E609F">
        <w:rPr>
          <w:sz w:val="24"/>
          <w:szCs w:val="24"/>
          <w:lang w:val="en-US"/>
        </w:rPr>
        <w:t xml:space="preserve">. </w:t>
      </w:r>
      <w:r w:rsidRPr="00727F0E">
        <w:rPr>
          <w:sz w:val="24"/>
          <w:szCs w:val="24"/>
          <w:lang w:val="pt-BR"/>
        </w:rPr>
        <w:t xml:space="preserve">Boston: </w:t>
      </w:r>
      <w:proofErr w:type="spellStart"/>
      <w:r w:rsidRPr="00727F0E">
        <w:rPr>
          <w:sz w:val="24"/>
          <w:szCs w:val="24"/>
          <w:lang w:val="pt-BR"/>
        </w:rPr>
        <w:t>Kluwer</w:t>
      </w:r>
      <w:proofErr w:type="spellEnd"/>
      <w:r w:rsidRPr="00727F0E">
        <w:rPr>
          <w:sz w:val="24"/>
          <w:szCs w:val="24"/>
          <w:lang w:val="pt-BR"/>
        </w:rPr>
        <w:t xml:space="preserve"> </w:t>
      </w:r>
      <w:proofErr w:type="spellStart"/>
      <w:r w:rsidRPr="00727F0E">
        <w:rPr>
          <w:sz w:val="24"/>
          <w:szCs w:val="24"/>
          <w:lang w:val="pt-BR"/>
        </w:rPr>
        <w:t>Academic</w:t>
      </w:r>
      <w:proofErr w:type="spellEnd"/>
      <w:r w:rsidRPr="00727F0E">
        <w:rPr>
          <w:sz w:val="24"/>
          <w:szCs w:val="24"/>
          <w:lang w:val="pt-BR"/>
        </w:rPr>
        <w:t xml:space="preserve"> </w:t>
      </w:r>
      <w:proofErr w:type="spellStart"/>
      <w:r w:rsidRPr="00727F0E">
        <w:rPr>
          <w:sz w:val="24"/>
          <w:szCs w:val="24"/>
          <w:lang w:val="pt-BR"/>
        </w:rPr>
        <w:t>Publishers</w:t>
      </w:r>
      <w:proofErr w:type="spellEnd"/>
      <w:r w:rsidRPr="00727F0E">
        <w:rPr>
          <w:sz w:val="24"/>
          <w:szCs w:val="24"/>
          <w:lang w:val="pt-BR"/>
        </w:rPr>
        <w:t>, 1991.</w:t>
      </w:r>
    </w:p>
    <w:p w14:paraId="1E4A164B" w14:textId="77777777" w:rsidR="00577C15" w:rsidRPr="00727F0E" w:rsidRDefault="00577C15" w:rsidP="00DB6A35">
      <w:pPr>
        <w:pStyle w:val="Corpodetexto"/>
        <w:rPr>
          <w:sz w:val="24"/>
          <w:szCs w:val="24"/>
          <w:lang w:val="pt-BR"/>
        </w:rPr>
      </w:pPr>
    </w:p>
    <w:p w14:paraId="2042C63A" w14:textId="77777777" w:rsidR="00577C15" w:rsidRPr="003E609F" w:rsidRDefault="00577C15" w:rsidP="00F87250">
      <w:pPr>
        <w:pStyle w:val="Corpodetexto"/>
        <w:rPr>
          <w:sz w:val="24"/>
          <w:szCs w:val="24"/>
          <w:lang w:val="pt-BR"/>
        </w:rPr>
      </w:pPr>
      <w:r w:rsidRPr="003E609F">
        <w:rPr>
          <w:sz w:val="24"/>
          <w:szCs w:val="24"/>
          <w:lang w:val="pt-BR"/>
        </w:rPr>
        <w:t xml:space="preserve">SANTOS, M. S.; NASCIMENTO, P. S. Análise da suscetibilidade e vulnerabilidade à erosão hídrica pelo processo analítico hierárquico (AHP). </w:t>
      </w:r>
      <w:r w:rsidRPr="003E609F">
        <w:rPr>
          <w:b/>
          <w:bCs/>
          <w:sz w:val="24"/>
          <w:szCs w:val="24"/>
          <w:lang w:val="pt-BR"/>
        </w:rPr>
        <w:t>Revista Eletrônica de Gestão e Tecnologias Ambientais</w:t>
      </w:r>
      <w:r w:rsidRPr="003E609F">
        <w:rPr>
          <w:sz w:val="24"/>
          <w:szCs w:val="24"/>
          <w:lang w:val="pt-BR"/>
        </w:rPr>
        <w:t>, v. 9, n. 1, p. 1-19, 2020.</w:t>
      </w:r>
    </w:p>
    <w:p w14:paraId="668A8DDE" w14:textId="77777777" w:rsidR="00577C15" w:rsidRPr="003E609F" w:rsidRDefault="00577C15" w:rsidP="00F87250">
      <w:pPr>
        <w:pStyle w:val="Corpodetexto"/>
        <w:rPr>
          <w:sz w:val="24"/>
          <w:szCs w:val="24"/>
          <w:lang w:val="pt-BR"/>
        </w:rPr>
      </w:pPr>
    </w:p>
    <w:p w14:paraId="3CBB5B2A" w14:textId="77777777" w:rsidR="00577C15" w:rsidRPr="00F87250" w:rsidRDefault="00577C15" w:rsidP="00DB6A35">
      <w:pPr>
        <w:pStyle w:val="Corpodetexto"/>
        <w:rPr>
          <w:sz w:val="24"/>
          <w:szCs w:val="24"/>
          <w:lang w:val="pt-BR"/>
        </w:rPr>
      </w:pPr>
      <w:r w:rsidRPr="003E609F">
        <w:rPr>
          <w:sz w:val="24"/>
          <w:szCs w:val="24"/>
          <w:lang w:val="pt-BR"/>
        </w:rPr>
        <w:t xml:space="preserve">SANTOS, S. A. Análise de suscetibilidade e potencial à erosão laminar da Área de Preservação Ambiental das Nascentes do Rio Vermelho. In: SIMPÓSIO BRASILEIRO DE SENSORIAMENTO REMOTO, 17, 2015, João Pessoa. </w:t>
      </w:r>
      <w:r w:rsidRPr="003E609F">
        <w:rPr>
          <w:b/>
          <w:bCs/>
          <w:sz w:val="24"/>
          <w:szCs w:val="24"/>
          <w:lang w:val="pt-BR"/>
        </w:rPr>
        <w:t>Anais</w:t>
      </w:r>
      <w:r w:rsidRPr="003E609F">
        <w:rPr>
          <w:sz w:val="24"/>
          <w:szCs w:val="24"/>
          <w:lang w:val="pt-BR"/>
        </w:rPr>
        <w:t xml:space="preserve"> [...]. João Pessoa: INPE, 2015. p. 7246-7251.</w:t>
      </w:r>
    </w:p>
    <w:sectPr w:rsidR="00577C15" w:rsidRPr="00F87250" w:rsidSect="008913F4">
      <w:headerReference w:type="default" r:id="rId13"/>
      <w:footerReference w:type="default" r:id="rId14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EBF2D" w14:textId="77777777" w:rsidR="000D686F" w:rsidRDefault="000D686F">
      <w:r>
        <w:separator/>
      </w:r>
    </w:p>
  </w:endnote>
  <w:endnote w:type="continuationSeparator" w:id="0">
    <w:p w14:paraId="182CCEAD" w14:textId="77777777" w:rsidR="000D686F" w:rsidRDefault="000D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C9AA3" w14:textId="77777777" w:rsidR="000D686F" w:rsidRDefault="000D686F">
      <w:r>
        <w:separator/>
      </w:r>
    </w:p>
  </w:footnote>
  <w:footnote w:type="continuationSeparator" w:id="0">
    <w:p w14:paraId="3146D188" w14:textId="77777777" w:rsidR="000D686F" w:rsidRDefault="000D6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7EC0"/>
    <w:rsid w:val="000149B9"/>
    <w:rsid w:val="0004282D"/>
    <w:rsid w:val="000449F4"/>
    <w:rsid w:val="00045396"/>
    <w:rsid w:val="00063364"/>
    <w:rsid w:val="00073597"/>
    <w:rsid w:val="000815CB"/>
    <w:rsid w:val="00084F86"/>
    <w:rsid w:val="00087CD4"/>
    <w:rsid w:val="000932B9"/>
    <w:rsid w:val="000A02B2"/>
    <w:rsid w:val="000B76DB"/>
    <w:rsid w:val="000C4E23"/>
    <w:rsid w:val="000C6208"/>
    <w:rsid w:val="000D686F"/>
    <w:rsid w:val="000F206D"/>
    <w:rsid w:val="0010345D"/>
    <w:rsid w:val="00103736"/>
    <w:rsid w:val="00123D76"/>
    <w:rsid w:val="001317F2"/>
    <w:rsid w:val="0013358B"/>
    <w:rsid w:val="00137842"/>
    <w:rsid w:val="00150A81"/>
    <w:rsid w:val="0015695F"/>
    <w:rsid w:val="00157AC0"/>
    <w:rsid w:val="00177BE5"/>
    <w:rsid w:val="001958B0"/>
    <w:rsid w:val="001C0C6F"/>
    <w:rsid w:val="001C5BCC"/>
    <w:rsid w:val="001D1935"/>
    <w:rsid w:val="001E3119"/>
    <w:rsid w:val="001E64B0"/>
    <w:rsid w:val="00206F77"/>
    <w:rsid w:val="002156E1"/>
    <w:rsid w:val="002324CF"/>
    <w:rsid w:val="00243512"/>
    <w:rsid w:val="00276320"/>
    <w:rsid w:val="00287B9C"/>
    <w:rsid w:val="00292462"/>
    <w:rsid w:val="002B010F"/>
    <w:rsid w:val="002B553B"/>
    <w:rsid w:val="002D2C21"/>
    <w:rsid w:val="002F2D9F"/>
    <w:rsid w:val="003003B2"/>
    <w:rsid w:val="00302839"/>
    <w:rsid w:val="0030736C"/>
    <w:rsid w:val="0031361E"/>
    <w:rsid w:val="00323B68"/>
    <w:rsid w:val="00333B1C"/>
    <w:rsid w:val="00335B34"/>
    <w:rsid w:val="00346B84"/>
    <w:rsid w:val="00351925"/>
    <w:rsid w:val="0035237B"/>
    <w:rsid w:val="0036523D"/>
    <w:rsid w:val="0036697E"/>
    <w:rsid w:val="00367BC9"/>
    <w:rsid w:val="00375541"/>
    <w:rsid w:val="003800B6"/>
    <w:rsid w:val="003861F9"/>
    <w:rsid w:val="0039621C"/>
    <w:rsid w:val="00396890"/>
    <w:rsid w:val="003A108C"/>
    <w:rsid w:val="003A63FE"/>
    <w:rsid w:val="003C3FD1"/>
    <w:rsid w:val="003D4096"/>
    <w:rsid w:val="003E609F"/>
    <w:rsid w:val="003F4998"/>
    <w:rsid w:val="00420A62"/>
    <w:rsid w:val="00421159"/>
    <w:rsid w:val="00447DE6"/>
    <w:rsid w:val="00454278"/>
    <w:rsid w:val="0045688F"/>
    <w:rsid w:val="00464F4C"/>
    <w:rsid w:val="0046543E"/>
    <w:rsid w:val="00472D02"/>
    <w:rsid w:val="004743D4"/>
    <w:rsid w:val="004A706E"/>
    <w:rsid w:val="004A784A"/>
    <w:rsid w:val="004B0C59"/>
    <w:rsid w:val="004B11A9"/>
    <w:rsid w:val="004B334F"/>
    <w:rsid w:val="004B54F7"/>
    <w:rsid w:val="004C375B"/>
    <w:rsid w:val="004E551A"/>
    <w:rsid w:val="004E6B98"/>
    <w:rsid w:val="005037DE"/>
    <w:rsid w:val="005053BC"/>
    <w:rsid w:val="00510550"/>
    <w:rsid w:val="005127B1"/>
    <w:rsid w:val="00524889"/>
    <w:rsid w:val="005259CE"/>
    <w:rsid w:val="005275C9"/>
    <w:rsid w:val="00556226"/>
    <w:rsid w:val="00577C15"/>
    <w:rsid w:val="00590B82"/>
    <w:rsid w:val="00596389"/>
    <w:rsid w:val="005C689C"/>
    <w:rsid w:val="005D4C0B"/>
    <w:rsid w:val="005F70B0"/>
    <w:rsid w:val="00600B6F"/>
    <w:rsid w:val="00602281"/>
    <w:rsid w:val="00610EDA"/>
    <w:rsid w:val="00624629"/>
    <w:rsid w:val="0062670D"/>
    <w:rsid w:val="00636B3B"/>
    <w:rsid w:val="00637031"/>
    <w:rsid w:val="00657515"/>
    <w:rsid w:val="00665ED4"/>
    <w:rsid w:val="00674047"/>
    <w:rsid w:val="00674B2C"/>
    <w:rsid w:val="00694319"/>
    <w:rsid w:val="006A6918"/>
    <w:rsid w:val="006B2EB3"/>
    <w:rsid w:val="006C14F2"/>
    <w:rsid w:val="006C49CE"/>
    <w:rsid w:val="006C67D1"/>
    <w:rsid w:val="00727F0E"/>
    <w:rsid w:val="007304CD"/>
    <w:rsid w:val="00733945"/>
    <w:rsid w:val="007432D4"/>
    <w:rsid w:val="00753138"/>
    <w:rsid w:val="007561D8"/>
    <w:rsid w:val="00770796"/>
    <w:rsid w:val="00776021"/>
    <w:rsid w:val="00785CA7"/>
    <w:rsid w:val="007A4966"/>
    <w:rsid w:val="007A7463"/>
    <w:rsid w:val="007B5998"/>
    <w:rsid w:val="007B5DB9"/>
    <w:rsid w:val="007D58CC"/>
    <w:rsid w:val="007D5E09"/>
    <w:rsid w:val="007E42B7"/>
    <w:rsid w:val="007F08C1"/>
    <w:rsid w:val="007F1A72"/>
    <w:rsid w:val="007F26A6"/>
    <w:rsid w:val="007F6A29"/>
    <w:rsid w:val="008114A1"/>
    <w:rsid w:val="008116F8"/>
    <w:rsid w:val="00820E41"/>
    <w:rsid w:val="008255A1"/>
    <w:rsid w:val="00840354"/>
    <w:rsid w:val="0084305A"/>
    <w:rsid w:val="008446A8"/>
    <w:rsid w:val="00846CAC"/>
    <w:rsid w:val="00860F49"/>
    <w:rsid w:val="00861A78"/>
    <w:rsid w:val="00862B5A"/>
    <w:rsid w:val="00864E3D"/>
    <w:rsid w:val="00875F31"/>
    <w:rsid w:val="008858BD"/>
    <w:rsid w:val="008913F4"/>
    <w:rsid w:val="008A25EE"/>
    <w:rsid w:val="008C6D12"/>
    <w:rsid w:val="008D6A12"/>
    <w:rsid w:val="009167CC"/>
    <w:rsid w:val="009216FD"/>
    <w:rsid w:val="00924E37"/>
    <w:rsid w:val="00960A9B"/>
    <w:rsid w:val="00960C71"/>
    <w:rsid w:val="0096147D"/>
    <w:rsid w:val="009757A8"/>
    <w:rsid w:val="00983F26"/>
    <w:rsid w:val="009A5E19"/>
    <w:rsid w:val="009A7300"/>
    <w:rsid w:val="009C347D"/>
    <w:rsid w:val="009C39B3"/>
    <w:rsid w:val="009C4B75"/>
    <w:rsid w:val="009E0BF5"/>
    <w:rsid w:val="009F63DD"/>
    <w:rsid w:val="00A015C9"/>
    <w:rsid w:val="00A23AAA"/>
    <w:rsid w:val="00A2441E"/>
    <w:rsid w:val="00A314E9"/>
    <w:rsid w:val="00A326D5"/>
    <w:rsid w:val="00A329D4"/>
    <w:rsid w:val="00A32F42"/>
    <w:rsid w:val="00A33E6F"/>
    <w:rsid w:val="00A34CC8"/>
    <w:rsid w:val="00A379DD"/>
    <w:rsid w:val="00A508F3"/>
    <w:rsid w:val="00A524FD"/>
    <w:rsid w:val="00A546A6"/>
    <w:rsid w:val="00A55FF1"/>
    <w:rsid w:val="00A768D6"/>
    <w:rsid w:val="00A86FDD"/>
    <w:rsid w:val="00A9114D"/>
    <w:rsid w:val="00A93136"/>
    <w:rsid w:val="00A945A4"/>
    <w:rsid w:val="00A974B1"/>
    <w:rsid w:val="00AA3694"/>
    <w:rsid w:val="00AA702F"/>
    <w:rsid w:val="00AB0A83"/>
    <w:rsid w:val="00AC6BD5"/>
    <w:rsid w:val="00AD22F1"/>
    <w:rsid w:val="00AF5124"/>
    <w:rsid w:val="00B173C4"/>
    <w:rsid w:val="00B20E9B"/>
    <w:rsid w:val="00B45980"/>
    <w:rsid w:val="00B52A7A"/>
    <w:rsid w:val="00B60601"/>
    <w:rsid w:val="00B74F4E"/>
    <w:rsid w:val="00B91689"/>
    <w:rsid w:val="00B96767"/>
    <w:rsid w:val="00B97BFE"/>
    <w:rsid w:val="00BB63B3"/>
    <w:rsid w:val="00BC2B10"/>
    <w:rsid w:val="00BC3486"/>
    <w:rsid w:val="00BC3965"/>
    <w:rsid w:val="00BD5FD8"/>
    <w:rsid w:val="00BE04ED"/>
    <w:rsid w:val="00C0546F"/>
    <w:rsid w:val="00C26359"/>
    <w:rsid w:val="00C36506"/>
    <w:rsid w:val="00C377F7"/>
    <w:rsid w:val="00C44CDC"/>
    <w:rsid w:val="00C47C46"/>
    <w:rsid w:val="00C538C1"/>
    <w:rsid w:val="00C60F3C"/>
    <w:rsid w:val="00C61FA8"/>
    <w:rsid w:val="00C635CB"/>
    <w:rsid w:val="00C749F0"/>
    <w:rsid w:val="00C77735"/>
    <w:rsid w:val="00C801C2"/>
    <w:rsid w:val="00C83454"/>
    <w:rsid w:val="00CA55FA"/>
    <w:rsid w:val="00CB1446"/>
    <w:rsid w:val="00CB341D"/>
    <w:rsid w:val="00CB6B8B"/>
    <w:rsid w:val="00CB7608"/>
    <w:rsid w:val="00CB7AEA"/>
    <w:rsid w:val="00CE0972"/>
    <w:rsid w:val="00CE3240"/>
    <w:rsid w:val="00CE4AC3"/>
    <w:rsid w:val="00CE5DAD"/>
    <w:rsid w:val="00CE7AC5"/>
    <w:rsid w:val="00CF4F5E"/>
    <w:rsid w:val="00CF7F67"/>
    <w:rsid w:val="00D03990"/>
    <w:rsid w:val="00D10625"/>
    <w:rsid w:val="00D21DDC"/>
    <w:rsid w:val="00D379FC"/>
    <w:rsid w:val="00D40219"/>
    <w:rsid w:val="00D55A47"/>
    <w:rsid w:val="00D562AF"/>
    <w:rsid w:val="00D57518"/>
    <w:rsid w:val="00D64A7D"/>
    <w:rsid w:val="00D67938"/>
    <w:rsid w:val="00D7359E"/>
    <w:rsid w:val="00D77A6E"/>
    <w:rsid w:val="00DA22D8"/>
    <w:rsid w:val="00DA3975"/>
    <w:rsid w:val="00DA60F0"/>
    <w:rsid w:val="00DB6A35"/>
    <w:rsid w:val="00DB7FEC"/>
    <w:rsid w:val="00DE0B17"/>
    <w:rsid w:val="00DE0DB9"/>
    <w:rsid w:val="00DE503D"/>
    <w:rsid w:val="00E11C63"/>
    <w:rsid w:val="00E33C8D"/>
    <w:rsid w:val="00E3782C"/>
    <w:rsid w:val="00E400A0"/>
    <w:rsid w:val="00E4053D"/>
    <w:rsid w:val="00E41817"/>
    <w:rsid w:val="00E479B3"/>
    <w:rsid w:val="00E55603"/>
    <w:rsid w:val="00E57296"/>
    <w:rsid w:val="00E76C28"/>
    <w:rsid w:val="00E866DD"/>
    <w:rsid w:val="00E86B08"/>
    <w:rsid w:val="00EA2464"/>
    <w:rsid w:val="00EA25BE"/>
    <w:rsid w:val="00EB58BD"/>
    <w:rsid w:val="00F00C89"/>
    <w:rsid w:val="00F10606"/>
    <w:rsid w:val="00F135CC"/>
    <w:rsid w:val="00F14682"/>
    <w:rsid w:val="00F35603"/>
    <w:rsid w:val="00F45424"/>
    <w:rsid w:val="00F463E1"/>
    <w:rsid w:val="00F46A60"/>
    <w:rsid w:val="00F5165B"/>
    <w:rsid w:val="00F63F51"/>
    <w:rsid w:val="00F668FB"/>
    <w:rsid w:val="00F87250"/>
    <w:rsid w:val="00F918AE"/>
    <w:rsid w:val="00FA0932"/>
    <w:rsid w:val="00FA530E"/>
    <w:rsid w:val="00FB35F8"/>
    <w:rsid w:val="00FB3E0D"/>
    <w:rsid w:val="00FC12D6"/>
    <w:rsid w:val="00FD583D"/>
    <w:rsid w:val="00FE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3A63FE"/>
    <w:pPr>
      <w:spacing w:after="200"/>
    </w:pPr>
    <w:rPr>
      <w:i/>
      <w:iCs/>
      <w:color w:val="1F497D" w:themeColor="text2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0A02B2"/>
    <w:rPr>
      <w:color w:val="666666"/>
    </w:rPr>
  </w:style>
  <w:style w:type="character" w:customStyle="1" w:styleId="CorpodetextoChar">
    <w:name w:val="Corpo de texto Char"/>
    <w:basedOn w:val="Fontepargpadro"/>
    <w:link w:val="Corpodetexto"/>
    <w:uiPriority w:val="1"/>
    <w:rsid w:val="00FB35F8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B144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B144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326D5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FB3E0D"/>
    <w:rPr>
      <w:rFonts w:ascii="Times New Roman" w:eastAsia="Times New Roman" w:hAnsi="Times New Roman" w:cs="Times New Roman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ra_calcado@unifei.edu.b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72CE1-3DFF-4368-B462-45B92792C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1975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cristiano poleto</dc:creator>
  <cp:lastModifiedBy>Revisor</cp:lastModifiedBy>
  <cp:revision>7</cp:revision>
  <dcterms:created xsi:type="dcterms:W3CDTF">2026-06-30T19:46:00Z</dcterms:created>
  <dcterms:modified xsi:type="dcterms:W3CDTF">2026-06-30T19:49:00Z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